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jc w:val="center"/>
        <w:rPr/>
      </w:pPr>
      <w:r w:rsidDel="00000000" w:rsidR="00000000" w:rsidRPr="00000000">
        <w:rPr>
          <w:rFonts w:ascii="Aptos" w:cs="Aptos" w:eastAsia="Aptos" w:hAnsi="Aptos"/>
        </w:rPr>
        <w:drawing>
          <wp:inline distB="0" distT="0" distL="0" distR="0">
            <wp:extent cx="2998772" cy="1195431"/>
            <wp:effectExtent b="0" l="0" r="0" t="0"/>
            <wp:docPr descr="A close-up of black text&#10;&#10;AI-generated content may be incorrect." id="2" name="image1.png"/>
            <a:graphic>
              <a:graphicData uri="http://schemas.openxmlformats.org/drawingml/2006/picture">
                <pic:pic>
                  <pic:nvPicPr>
                    <pic:cNvPr descr="A close-up of black text&#10;&#10;AI-generated content may be incorrect."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998772" cy="1195431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spacing w:before="212" w:lineRule="auto"/>
        <w:rPr>
          <w:sz w:val="48"/>
          <w:szCs w:val="48"/>
        </w:rPr>
      </w:pPr>
      <w:r w:rsidDel="00000000" w:rsidR="00000000" w:rsidRPr="00000000">
        <w:rPr>
          <w:b w:val="1"/>
          <w:bCs w:val="1"/>
          <w:sz w:val="48"/>
          <w:szCs w:val="48"/>
          <w:rtl w:val="0"/>
        </w:rPr>
        <w:t xml:space="preserve">Module Name: </w:t>
      </w:r>
      <w:r w:rsidDel="00000000" w:rsidR="00000000" w:rsidRPr="00000000">
        <w:rPr>
          <w:sz w:val="48"/>
          <w:szCs w:val="48"/>
          <w:rtl w:val="0"/>
        </w:rPr>
        <w:t xml:space="preserve">Professional Career Development </w:t>
      </w:r>
    </w:p>
    <w:p w:rsidR="00000000" w:rsidDel="00000000" w:rsidP="00000000" w:rsidRDefault="00000000" w:rsidRPr="00000000" w14:paraId="00000003">
      <w:pPr>
        <w:spacing w:before="212" w:lineRule="auto"/>
        <w:rPr>
          <w:b w:val="1"/>
          <w:bCs w:val="1"/>
          <w:sz w:val="48"/>
          <w:szCs w:val="48"/>
        </w:rPr>
      </w:pPr>
      <w:r w:rsidDel="00000000" w:rsidR="00000000" w:rsidRPr="00000000">
        <w:rPr>
          <w:b w:val="1"/>
          <w:bCs w:val="1"/>
          <w:sz w:val="48"/>
          <w:szCs w:val="48"/>
          <w:rtl w:val="0"/>
        </w:rPr>
        <w:t xml:space="preserve">Module Code:  </w:t>
      </w:r>
      <w:r w:rsidDel="00000000" w:rsidR="00000000" w:rsidRPr="00000000">
        <w:rPr>
          <w:sz w:val="48"/>
          <w:szCs w:val="48"/>
          <w:rtl w:val="0"/>
        </w:rPr>
        <w:t xml:space="preserve">BMSW4012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spacing w:before="212" w:lineRule="auto"/>
        <w:rPr>
          <w:sz w:val="48"/>
          <w:szCs w:val="48"/>
        </w:rPr>
      </w:pPr>
      <w:r w:rsidDel="00000000" w:rsidR="00000000" w:rsidRPr="00000000">
        <w:rPr>
          <w:b w:val="1"/>
          <w:bCs w:val="1"/>
          <w:sz w:val="48"/>
          <w:szCs w:val="48"/>
          <w:rtl w:val="0"/>
        </w:rPr>
        <w:t xml:space="preserve">Assessment 1: </w:t>
      </w:r>
      <w:r w:rsidDel="00000000" w:rsidR="00000000" w:rsidRPr="00000000">
        <w:rPr>
          <w:sz w:val="48"/>
          <w:szCs w:val="48"/>
          <w:rtl w:val="0"/>
        </w:rPr>
        <w:t xml:space="preserve">Reflective Essay</w:t>
      </w:r>
    </w:p>
    <w:p w:rsidR="00000000" w:rsidDel="00000000" w:rsidP="00000000" w:rsidRDefault="00000000" w:rsidRPr="00000000" w14:paraId="00000005">
      <w:pPr>
        <w:spacing w:before="3" w:lineRule="auto"/>
        <w:rPr>
          <w:rFonts w:ascii="Arial" w:cs="Arial" w:eastAsia="Arial" w:hAnsi="Arial"/>
          <w:b w:val="1"/>
          <w:bCs w:val="1"/>
          <w:sz w:val="48"/>
          <w:szCs w:val="48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48"/>
          <w:szCs w:val="48"/>
          <w:rtl w:val="0"/>
        </w:rPr>
        <w:t xml:space="preserve">Student Name: Phillip Jokkene Latigo</w:t>
      </w:r>
    </w:p>
    <w:p w:rsidR="00000000" w:rsidDel="00000000" w:rsidP="00000000" w:rsidRDefault="00000000" w:rsidRPr="00000000" w14:paraId="00000006">
      <w:pPr>
        <w:spacing w:before="3" w:lineRule="auto"/>
        <w:rPr>
          <w:rFonts w:ascii="Arial" w:cs="Arial" w:eastAsia="Arial" w:hAnsi="Arial"/>
          <w:b w:val="1"/>
          <w:bCs w:val="1"/>
          <w:sz w:val="48"/>
          <w:szCs w:val="48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48"/>
          <w:szCs w:val="48"/>
          <w:rtl w:val="0"/>
        </w:rPr>
        <w:t xml:space="preserve">Student Number: 2504781</w:t>
      </w:r>
    </w:p>
    <w:p w:rsidR="00000000" w:rsidDel="00000000" w:rsidP="00000000" w:rsidRDefault="00000000" w:rsidRPr="00000000" w14:paraId="00000007">
      <w:pPr>
        <w:rPr>
          <w:sz w:val="48"/>
          <w:szCs w:val="48"/>
        </w:rPr>
      </w:pPr>
      <w:r w:rsidDel="00000000" w:rsidR="00000000" w:rsidRPr="00000000">
        <w:rPr>
          <w:b w:val="1"/>
          <w:bCs w:val="1"/>
          <w:sz w:val="48"/>
          <w:szCs w:val="48"/>
          <w:rtl w:val="0"/>
        </w:rPr>
        <w:t xml:space="preserve">Lecturer: </w:t>
      </w:r>
      <w:r w:rsidDel="00000000" w:rsidR="00000000" w:rsidRPr="00000000">
        <w:rPr>
          <w:sz w:val="48"/>
          <w:szCs w:val="48"/>
          <w:rtl w:val="0"/>
        </w:rPr>
        <w:t xml:space="preserve">Christopher Roger</w:t>
      </w:r>
      <w:r w:rsidDel="00000000" w:rsidR="00000000" w:rsidRPr="00000000">
        <w:rPr>
          <w:b w:val="1"/>
          <w:bCs w:val="1"/>
          <w:sz w:val="48"/>
          <w:szCs w:val="48"/>
          <w:rtl w:val="0"/>
        </w:rPr>
        <w:br w:type="textWrapping"/>
        <w:t xml:space="preserve">Deadline: </w:t>
      </w:r>
      <w:r w:rsidDel="00000000" w:rsidR="00000000" w:rsidRPr="00000000">
        <w:rPr>
          <w:sz w:val="48"/>
          <w:szCs w:val="48"/>
          <w:rtl w:val="0"/>
        </w:rPr>
        <w:t xml:space="preserve">Monday 27</w:t>
      </w:r>
      <w:r w:rsidDel="00000000" w:rsidR="00000000" w:rsidRPr="00000000">
        <w:rPr>
          <w:sz w:val="48"/>
          <w:szCs w:val="48"/>
          <w:vertAlign w:val="superscript"/>
          <w:rtl w:val="0"/>
        </w:rPr>
        <w:t xml:space="preserve">th</w:t>
      </w:r>
      <w:r w:rsidDel="00000000" w:rsidR="00000000" w:rsidRPr="00000000">
        <w:rPr>
          <w:sz w:val="48"/>
          <w:szCs w:val="48"/>
          <w:rtl w:val="0"/>
        </w:rPr>
        <w:t xml:space="preserve"> February 2016 23:59PM</w:t>
      </w:r>
    </w:p>
    <w:p w:rsidR="00000000" w:rsidDel="00000000" w:rsidP="00000000" w:rsidRDefault="00000000" w:rsidRPr="00000000" w14:paraId="00000008">
      <w:pPr>
        <w:rPr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jc w:val="both"/>
        <w:rPr>
          <w:rFonts w:ascii="Aptos" w:cs="Aptos" w:eastAsia="Aptos" w:hAnsi="Aptos"/>
          <w:b w:val="1"/>
          <w:bCs w:val="1"/>
          <w:sz w:val="32"/>
          <w:szCs w:val="32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sz w:val="32"/>
          <w:szCs w:val="32"/>
          <w:rtl w:val="0"/>
        </w:rPr>
        <w:t xml:space="preserve">AI Acknowledgement  </w:t>
      </w:r>
    </w:p>
    <w:p w:rsidR="00000000" w:rsidDel="00000000" w:rsidP="00000000" w:rsidRDefault="00000000" w:rsidRPr="00000000" w14:paraId="0000000F">
      <w:pPr>
        <w:jc w:val="both"/>
        <w:rPr>
          <w:rFonts w:ascii="Aptos" w:cs="Aptos" w:eastAsia="Aptos" w:hAnsi="Aptos"/>
          <w:b w:val="1"/>
          <w:bCs w:val="1"/>
          <w:highlight w:val="yellow"/>
          <w:u w:val="singl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highlight w:val="yellow"/>
          <w:u w:val="single"/>
          <w:rtl w:val="0"/>
        </w:rPr>
        <w:t xml:space="preserve">Examples of statements If you have not used AI</w:t>
      </w:r>
    </w:p>
    <w:p w:rsidR="00000000" w:rsidDel="00000000" w:rsidP="00000000" w:rsidRDefault="00000000" w:rsidRPr="00000000" w14:paraId="00000010">
      <w:pPr>
        <w:jc w:val="both"/>
        <w:rPr>
          <w:rFonts w:ascii="Aptos" w:cs="Aptos" w:eastAsia="Aptos" w:hAnsi="Aptos"/>
        </w:rPr>
      </w:pPr>
      <w:r w:rsidDel="00000000" w:rsidR="00000000" w:rsidRPr="00000000">
        <w:rPr>
          <w:rFonts w:ascii="Aptos" w:cs="Aptos" w:eastAsia="Aptos" w:hAnsi="Aptos"/>
          <w:rtl w:val="0"/>
        </w:rPr>
        <w:t xml:space="preserve">I confirm that I have not presented any AI generated materials as my own work. </w:t>
      </w:r>
    </w:p>
    <w:p w:rsidR="00000000" w:rsidDel="00000000" w:rsidP="00000000" w:rsidRDefault="00000000" w:rsidRPr="00000000" w14:paraId="00000011">
      <w:pPr>
        <w:jc w:val="both"/>
        <w:rPr>
          <w:rFonts w:ascii="Aptos" w:cs="Aptos" w:eastAsia="Aptos" w:hAnsi="Aptos"/>
        </w:rPr>
      </w:pPr>
      <w:r w:rsidDel="00000000" w:rsidR="00000000" w:rsidRPr="00000000">
        <w:rPr>
          <w:rFonts w:ascii="Aptos" w:cs="Aptos" w:eastAsia="Aptos" w:hAnsi="Aptos"/>
          <w:rtl w:val="0"/>
        </w:rPr>
        <w:t xml:space="preserve">I confirm that I have copies of my drafts, notes, and other resources I used, which I may be asked to provide in evidence.</w:t>
      </w:r>
    </w:p>
    <w:p w:rsidR="00000000" w:rsidDel="00000000" w:rsidP="00000000" w:rsidRDefault="00000000" w:rsidRPr="00000000" w14:paraId="00000012">
      <w:pPr>
        <w:jc w:val="both"/>
        <w:rPr>
          <w:rFonts w:ascii="Aptos" w:cs="Aptos" w:eastAsia="Aptos" w:hAnsi="Aptos"/>
          <w:b w:val="1"/>
          <w:bCs w:val="1"/>
          <w:highlight w:val="yellow"/>
          <w:u w:val="singl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highlight w:val="yellow"/>
          <w:u w:val="single"/>
          <w:rtl w:val="0"/>
        </w:rPr>
        <w:t xml:space="preserve">Examples of AI statements if you have used AI</w:t>
      </w:r>
    </w:p>
    <w:p w:rsidR="00000000" w:rsidDel="00000000" w:rsidP="00000000" w:rsidRDefault="00000000" w:rsidRPr="00000000" w14:paraId="00000013">
      <w:pPr>
        <w:jc w:val="both"/>
        <w:rPr>
          <w:rFonts w:ascii="Aptos" w:cs="Aptos" w:eastAsia="Aptos" w:hAnsi="Aptos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rtl w:val="0"/>
        </w:rPr>
        <w:t xml:space="preserve">Example 1: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jc w:val="both"/>
        <w:rPr>
          <w:rFonts w:ascii="Aptos" w:cs="Aptos" w:eastAsia="Aptos" w:hAnsi="Aptos"/>
        </w:rPr>
      </w:pPr>
      <w:r w:rsidDel="00000000" w:rsidR="00000000" w:rsidRPr="00000000">
        <w:rPr>
          <w:rFonts w:ascii="Aptos" w:cs="Aptos" w:eastAsia="Aptos" w:hAnsi="Aptos"/>
          <w:rtl w:val="0"/>
        </w:rPr>
        <w:t xml:space="preserve">I acknowledge the use of Grammarly (https://www.grammarly.com/) on Date to check my work using the prompt(s): </w:t>
      </w:r>
    </w:p>
    <w:p w:rsidR="00000000" w:rsidDel="00000000" w:rsidP="00000000" w:rsidRDefault="00000000" w:rsidRPr="00000000" w14:paraId="00000015">
      <w:pPr>
        <w:jc w:val="both"/>
        <w:rPr>
          <w:rFonts w:ascii="Aptos" w:cs="Aptos" w:eastAsia="Aptos" w:hAnsi="Aptos"/>
        </w:rPr>
      </w:pPr>
      <w:r w:rsidDel="00000000" w:rsidR="00000000" w:rsidRPr="00000000">
        <w:rPr>
          <w:rFonts w:ascii="Aptos" w:cs="Aptos" w:eastAsia="Aptos" w:hAnsi="Aptos"/>
          <w:rtl w:val="0"/>
        </w:rPr>
        <w:t xml:space="preserve">1. Please check the following text for readability, grammar and syntax. </w:t>
      </w:r>
    </w:p>
    <w:p w:rsidR="00000000" w:rsidDel="00000000" w:rsidP="00000000" w:rsidRDefault="00000000" w:rsidRPr="00000000" w14:paraId="00000016">
      <w:pPr>
        <w:jc w:val="both"/>
        <w:rPr>
          <w:rFonts w:ascii="Aptos" w:cs="Aptos" w:eastAsia="Aptos" w:hAnsi="Aptos"/>
        </w:rPr>
      </w:pPr>
      <w:r w:rsidDel="00000000" w:rsidR="00000000" w:rsidRPr="00000000">
        <w:rPr>
          <w:rFonts w:ascii="Aptos" w:cs="Aptos" w:eastAsia="Aptos" w:hAnsi="Aptos"/>
          <w:rtl w:val="0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:rsidR="00000000" w:rsidDel="00000000" w:rsidP="00000000" w:rsidRDefault="00000000" w:rsidRPr="00000000" w14:paraId="00000017">
      <w:pPr>
        <w:jc w:val="both"/>
        <w:rPr>
          <w:rFonts w:ascii="Aptos" w:cs="Aptos" w:eastAsia="Aptos" w:hAnsi="Aptos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rtl w:val="0"/>
        </w:rPr>
        <w:t xml:space="preserve">Example 2: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jc w:val="both"/>
        <w:rPr>
          <w:rFonts w:ascii="Aptos" w:cs="Aptos" w:eastAsia="Aptos" w:hAnsi="Aptos"/>
        </w:rPr>
      </w:pPr>
      <w:r w:rsidDel="00000000" w:rsidR="00000000" w:rsidRPr="00000000">
        <w:rPr>
          <w:rFonts w:ascii="Aptos" w:cs="Aptos" w:eastAsia="Aptos" w:hAnsi="Aptos"/>
          <w:rtl w:val="0"/>
        </w:rPr>
        <w:t xml:space="preserve">I acknowledge the use of SciSpace (https://typeset.io/) on 7 March 2024 to support my research using the prompt(s): </w:t>
      </w:r>
    </w:p>
    <w:p w:rsidR="00000000" w:rsidDel="00000000" w:rsidP="00000000" w:rsidRDefault="00000000" w:rsidRPr="00000000" w14:paraId="00000019">
      <w:pPr>
        <w:jc w:val="both"/>
        <w:rPr>
          <w:rFonts w:ascii="Aptos" w:cs="Aptos" w:eastAsia="Aptos" w:hAnsi="Aptos"/>
        </w:rPr>
      </w:pPr>
      <w:r w:rsidDel="00000000" w:rsidR="00000000" w:rsidRPr="00000000">
        <w:rPr>
          <w:rFonts w:ascii="Aptos" w:cs="Aptos" w:eastAsia="Aptos" w:hAnsi="Aptos"/>
          <w:rtl w:val="0"/>
        </w:rPr>
        <w:t xml:space="preserve">1. Please provide me with materials on the biology of the liver. </w:t>
      </w:r>
    </w:p>
    <w:p w:rsidR="00000000" w:rsidDel="00000000" w:rsidP="00000000" w:rsidRDefault="00000000" w:rsidRPr="00000000" w14:paraId="0000001A">
      <w:pPr>
        <w:jc w:val="both"/>
        <w:rPr>
          <w:rFonts w:ascii="Aptos" w:cs="Aptos" w:eastAsia="Aptos" w:hAnsi="Aptos"/>
        </w:rPr>
      </w:pPr>
      <w:r w:rsidDel="00000000" w:rsidR="00000000" w:rsidRPr="00000000">
        <w:rPr>
          <w:rFonts w:ascii="Aptos" w:cs="Aptos" w:eastAsia="Aptos" w:hAnsi="Aptos"/>
          <w:rtl w:val="0"/>
        </w:rPr>
        <w:t xml:space="preserve">2. Please provide me with materials on liver cells. </w:t>
      </w:r>
    </w:p>
    <w:p w:rsidR="00000000" w:rsidDel="00000000" w:rsidP="00000000" w:rsidRDefault="00000000" w:rsidRPr="00000000" w14:paraId="0000001B">
      <w:pPr>
        <w:jc w:val="both"/>
        <w:rPr>
          <w:rFonts w:ascii="Aptos" w:cs="Aptos" w:eastAsia="Aptos" w:hAnsi="Aptos"/>
        </w:rPr>
      </w:pPr>
      <w:r w:rsidDel="00000000" w:rsidR="00000000" w:rsidRPr="00000000">
        <w:rPr>
          <w:rFonts w:ascii="Aptos" w:cs="Aptos" w:eastAsia="Aptos" w:hAnsi="Aptos"/>
          <w:rtl w:val="0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:rsidR="00000000" w:rsidDel="00000000" w:rsidP="00000000" w:rsidRDefault="00000000" w:rsidRPr="00000000" w14:paraId="0000001C">
      <w:pPr>
        <w:jc w:val="both"/>
        <w:rPr>
          <w:rFonts w:ascii="Aptos" w:cs="Aptos" w:eastAsia="Aptos" w:hAnsi="Aptos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rtl w:val="0"/>
        </w:rPr>
        <w:t xml:space="preserve">Example 3: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jc w:val="both"/>
        <w:rPr>
          <w:rFonts w:ascii="Aptos" w:cs="Aptos" w:eastAsia="Aptos" w:hAnsi="Aptos"/>
        </w:rPr>
      </w:pPr>
      <w:r w:rsidDel="00000000" w:rsidR="00000000" w:rsidRPr="00000000">
        <w:rPr>
          <w:rFonts w:ascii="Aptos" w:cs="Aptos" w:eastAsia="Aptos" w:hAnsi="Aptos"/>
          <w:rtl w:val="0"/>
        </w:rPr>
        <w:t xml:space="preserve">I acknowledge the use of ChatGPT (https://chatgpt.com/) on 13 April 2024 to write my notes into submission format using the prompt(s): </w:t>
      </w:r>
    </w:p>
    <w:p w:rsidR="00000000" w:rsidDel="00000000" w:rsidP="00000000" w:rsidRDefault="00000000" w:rsidRPr="00000000" w14:paraId="0000001E">
      <w:pPr>
        <w:jc w:val="both"/>
        <w:rPr>
          <w:rFonts w:ascii="Aptos" w:cs="Aptos" w:eastAsia="Aptos" w:hAnsi="Aptos"/>
        </w:rPr>
      </w:pPr>
      <w:r w:rsidDel="00000000" w:rsidR="00000000" w:rsidRPr="00000000">
        <w:rPr>
          <w:rFonts w:ascii="Aptos" w:cs="Aptos" w:eastAsia="Aptos" w:hAnsi="Aptos"/>
          <w:rtl w:val="0"/>
        </w:rPr>
        <w:t xml:space="preserve">1. Please write up these bullet points as an essay paragraph at the university level. </w:t>
      </w:r>
    </w:p>
    <w:p w:rsidR="00000000" w:rsidDel="00000000" w:rsidP="00000000" w:rsidRDefault="00000000" w:rsidRPr="00000000" w14:paraId="0000001F">
      <w:pPr>
        <w:jc w:val="both"/>
        <w:rPr>
          <w:rFonts w:ascii="Aptos" w:cs="Aptos" w:eastAsia="Aptos" w:hAnsi="Aptos"/>
        </w:rPr>
      </w:pPr>
      <w:r w:rsidDel="00000000" w:rsidR="00000000" w:rsidRPr="00000000">
        <w:rPr>
          <w:rFonts w:ascii="Aptos" w:cs="Aptos" w:eastAsia="Aptos" w:hAnsi="Aptos"/>
          <w:rtl w:val="0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:rsidR="00000000" w:rsidDel="00000000" w:rsidP="00000000" w:rsidRDefault="00000000" w:rsidRPr="00000000" w14:paraId="00000020">
      <w:pPr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jc w:val="both"/>
        <w:rPr>
          <w:rFonts w:ascii="Aptos" w:cs="Aptos" w:eastAsia="Aptos" w:hAnsi="Aptos"/>
          <w:b w:val="1"/>
          <w:bCs w:val="1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jc w:val="both"/>
        <w:rPr/>
      </w:pPr>
      <w:r w:rsidDel="00000000" w:rsidR="00000000" w:rsidRPr="00000000">
        <w:rPr>
          <w:rtl w:val="0"/>
        </w:rPr>
        <w:t xml:space="preserve">Reflective Essay: A Decadal Journey in Youth Football Coaching</w:t>
      </w:r>
    </w:p>
    <w:p w:rsidR="00000000" w:rsidDel="00000000" w:rsidP="00000000" w:rsidRDefault="00000000" w:rsidRPr="00000000" w14:paraId="00000024">
      <w:pPr>
        <w:pStyle w:val="Heading1"/>
        <w:jc w:val="both"/>
        <w:rPr/>
      </w:pPr>
      <w:bookmarkStart w:colFirst="0" w:colLast="0" w:name="_heading=h.zg9drl13xn7a" w:id="0"/>
      <w:bookmarkEnd w:id="0"/>
      <w:r w:rsidDel="00000000" w:rsidR="00000000" w:rsidRPr="00000000">
        <w:rPr>
          <w:rtl w:val="0"/>
        </w:rPr>
        <w:t xml:space="preserve">Introduction</w:t>
      </w:r>
    </w:p>
    <w:p w:rsidR="00000000" w:rsidDel="00000000" w:rsidP="00000000" w:rsidRDefault="00000000" w:rsidRPr="00000000" w14:paraId="00000025">
      <w:pPr>
        <w:jc w:val="both"/>
        <w:rPr/>
      </w:pPr>
      <w:r w:rsidDel="00000000" w:rsidR="00000000" w:rsidRPr="00000000">
        <w:rPr>
          <w:rtl w:val="0"/>
        </w:rPr>
        <w:t xml:space="preserve">Reflection is the cornerstone of professional development in sports coaching, allowing practitioners to bridge the gap between theoretical knowledge and the ambiguity of pitch-side practice. This essay reflects on my decade-long evolution as a youth football coach, moving from an authoritarian, result-oriented "novice" to a holistic, player-centred mentor. Using Gibbs' (1988) six-stage cycle, I examine the shift from technical mastery to emotional intelligence and community building.</w:t>
      </w:r>
    </w:p>
    <w:p w:rsidR="00000000" w:rsidDel="00000000" w:rsidP="00000000" w:rsidRDefault="00000000" w:rsidRPr="00000000" w14:paraId="00000026">
      <w:pPr>
        <w:pStyle w:val="Heading1"/>
        <w:jc w:val="both"/>
        <w:rPr/>
      </w:pPr>
      <w:bookmarkStart w:colFirst="0" w:colLast="0" w:name="_heading=h.l2970hjyl5cy" w:id="1"/>
      <w:bookmarkEnd w:id="1"/>
      <w:r w:rsidDel="00000000" w:rsidR="00000000" w:rsidRPr="00000000">
        <w:rPr>
          <w:rtl w:val="0"/>
        </w:rPr>
        <w:t xml:space="preserve">1. Description</w:t>
      </w:r>
    </w:p>
    <w:p w:rsidR="00000000" w:rsidDel="00000000" w:rsidP="00000000" w:rsidRDefault="00000000" w:rsidRPr="00000000" w14:paraId="00000027">
      <w:pPr>
        <w:jc w:val="both"/>
        <w:rPr/>
      </w:pPr>
      <w:r w:rsidDel="00000000" w:rsidR="00000000" w:rsidRPr="00000000">
        <w:rPr>
          <w:rtl w:val="0"/>
        </w:rPr>
        <w:t xml:space="preserve">My journey began as a volunteer at a local grassroots club. In the early years, my focus was strictly technical: drills, formations, and winning weekend matches. I viewed my role as an instructor rather than a facilitator. A pivotal moment occurred four years into my career when a talented but anxious U12 player stopped attending. I realised my "high-pressure" coaching style was discouraging the very engagement I sought to foster. This prompted me to pursue the UEFA C Licence, which shifted my focus toward the psychological and social aspects of the game.</w:t>
      </w:r>
    </w:p>
    <w:p w:rsidR="00000000" w:rsidDel="00000000" w:rsidP="00000000" w:rsidRDefault="00000000" w:rsidRPr="00000000" w14:paraId="00000028">
      <w:pPr>
        <w:pStyle w:val="Heading1"/>
        <w:jc w:val="both"/>
        <w:rPr/>
      </w:pPr>
      <w:bookmarkStart w:colFirst="0" w:colLast="0" w:name="_heading=h.w99nuc1jmt8k" w:id="2"/>
      <w:bookmarkEnd w:id="2"/>
      <w:r w:rsidDel="00000000" w:rsidR="00000000" w:rsidRPr="00000000">
        <w:rPr>
          <w:rtl w:val="0"/>
        </w:rPr>
        <w:t xml:space="preserve">2. Feelings</w:t>
      </w:r>
    </w:p>
    <w:p w:rsidR="00000000" w:rsidDel="00000000" w:rsidP="00000000" w:rsidRDefault="00000000" w:rsidRPr="00000000" w14:paraId="00000029">
      <w:pPr>
        <w:jc w:val="both"/>
        <w:rPr/>
      </w:pPr>
      <w:r w:rsidDel="00000000" w:rsidR="00000000" w:rsidRPr="00000000">
        <w:rPr>
          <w:rtl w:val="0"/>
        </w:rPr>
        <w:t xml:space="preserve">Initially, I felt a strong need to prove my competence through "professional" drills and tactical rigidity. I experienced frustration when players failed to execute complex instructions, often internalising this as a personal failure in my "authority". However, as I transitioned into a lead coach role, my feelings moved from anxiety about results to empathy for the players' developmental needs. I began to feel a greater sense of purpose in shaping character and resilience rather than just scoring goals.</w:t>
      </w:r>
    </w:p>
    <w:p w:rsidR="00000000" w:rsidDel="00000000" w:rsidP="00000000" w:rsidRDefault="00000000" w:rsidRPr="00000000" w14:paraId="0000002A">
      <w:pPr>
        <w:pStyle w:val="Heading1"/>
        <w:jc w:val="both"/>
        <w:rPr/>
      </w:pPr>
      <w:bookmarkStart w:colFirst="0" w:colLast="0" w:name="_heading=h.ic0mnkrdp6o" w:id="3"/>
      <w:bookmarkEnd w:id="3"/>
      <w:r w:rsidDel="00000000" w:rsidR="00000000" w:rsidRPr="00000000">
        <w:rPr>
          <w:rtl w:val="0"/>
        </w:rPr>
        <w:t xml:space="preserve">3. Evaluation</w:t>
      </w:r>
    </w:p>
    <w:p w:rsidR="00000000" w:rsidDel="00000000" w:rsidP="00000000" w:rsidRDefault="00000000" w:rsidRPr="00000000" w14:paraId="0000002B">
      <w:pPr>
        <w:jc w:val="both"/>
        <w:rPr/>
      </w:pPr>
      <w:r w:rsidDel="00000000" w:rsidR="00000000" w:rsidRPr="00000000">
        <w:rPr>
          <w:rtl w:val="0"/>
        </w:rPr>
        <w:t xml:space="preserve">The positive aspect of my early career was a deep commitment to technical standards. However, the negative was an "authoritarian" environment that mirrored traditional, result-driven cultures. The FAW’s "Wales DNA" framework helped me evaluate my progress, highlighting that "ball rolling time" and player autonomy were more valuable for long-term growth than my constant interventions.</w:t>
      </w:r>
    </w:p>
    <w:p w:rsidR="00000000" w:rsidDel="00000000" w:rsidP="00000000" w:rsidRDefault="00000000" w:rsidRPr="00000000" w14:paraId="0000002C">
      <w:pPr>
        <w:pStyle w:val="Heading1"/>
        <w:jc w:val="both"/>
        <w:rPr/>
      </w:pPr>
      <w:bookmarkStart w:colFirst="0" w:colLast="0" w:name="_heading=h.ikzh14wrgsk8" w:id="4"/>
      <w:bookmarkEnd w:id="4"/>
      <w:r w:rsidDel="00000000" w:rsidR="00000000" w:rsidRPr="00000000">
        <w:rPr>
          <w:rtl w:val="0"/>
        </w:rPr>
        <w:t xml:space="preserve">4. Analysis</w:t>
      </w:r>
    </w:p>
    <w:p w:rsidR="00000000" w:rsidDel="00000000" w:rsidP="00000000" w:rsidRDefault="00000000" w:rsidRPr="00000000" w14:paraId="0000002D">
      <w:pPr>
        <w:jc w:val="both"/>
        <w:rPr/>
      </w:pPr>
      <w:r w:rsidDel="00000000" w:rsidR="00000000" w:rsidRPr="00000000">
        <w:rPr>
          <w:rtl w:val="0"/>
        </w:rPr>
        <w:t xml:space="preserve">To make sense of this transition, I draw upon Positive Youth Development (PYD) theory, which posits that sport should build on a young person's inherent assets rather than just fixing "skill deficits". My early approach was "coach-led," but contemporary research suggests that facilitative methods—such as open questioning—improve player motivation and decision-making. By adopting a "growth mindset" (Sallis cited in Horizon Glasgow), I now treat mistakes as essential stepping stones rather than errors to be corrected immediately.</w:t>
      </w:r>
    </w:p>
    <w:p w:rsidR="00000000" w:rsidDel="00000000" w:rsidP="00000000" w:rsidRDefault="00000000" w:rsidRPr="00000000" w14:paraId="0000002E">
      <w:pPr>
        <w:pStyle w:val="Heading1"/>
        <w:jc w:val="both"/>
        <w:rPr/>
      </w:pPr>
      <w:bookmarkStart w:colFirst="0" w:colLast="0" w:name="_heading=h.wbz2gvpl18g1" w:id="5"/>
      <w:bookmarkEnd w:id="5"/>
      <w:r w:rsidDel="00000000" w:rsidR="00000000" w:rsidRPr="00000000">
        <w:rPr>
          <w:rtl w:val="0"/>
        </w:rPr>
        <w:t xml:space="preserve">5. Conclusion</w:t>
      </w:r>
    </w:p>
    <w:p w:rsidR="00000000" w:rsidDel="00000000" w:rsidP="00000000" w:rsidRDefault="00000000" w:rsidRPr="00000000" w14:paraId="0000002F">
      <w:pPr>
        <w:jc w:val="both"/>
        <w:rPr/>
      </w:pPr>
      <w:r w:rsidDel="00000000" w:rsidR="00000000" w:rsidRPr="00000000">
        <w:rPr>
          <w:rtl w:val="0"/>
        </w:rPr>
        <w:t xml:space="preserve">The primary lesson from my career is that youth football is a "social infrastructure" rather than just a sporting activity. I have learned that trust and safeguarding are the foundations of performance; a player who feels emotionally safe will learn faster. I now understand that my role is to co-create a learning environment with the players, moving away from being a "commander" to a "mentor".</w:t>
      </w:r>
    </w:p>
    <w:p w:rsidR="00000000" w:rsidDel="00000000" w:rsidP="00000000" w:rsidRDefault="00000000" w:rsidRPr="00000000" w14:paraId="00000030">
      <w:pPr>
        <w:pStyle w:val="Heading1"/>
        <w:jc w:val="both"/>
        <w:rPr/>
      </w:pPr>
      <w:bookmarkStart w:colFirst="0" w:colLast="0" w:name="_heading=h.n3v5kwnccdiv" w:id="6"/>
      <w:bookmarkEnd w:id="6"/>
      <w:r w:rsidDel="00000000" w:rsidR="00000000" w:rsidRPr="00000000">
        <w:rPr>
          <w:rtl w:val="0"/>
        </w:rPr>
        <w:t xml:space="preserve">6. Action Plan</w:t>
      </w:r>
    </w:p>
    <w:p w:rsidR="00000000" w:rsidDel="00000000" w:rsidP="00000000" w:rsidRDefault="00000000" w:rsidRPr="00000000" w14:paraId="00000031">
      <w:pPr>
        <w:jc w:val="both"/>
        <w:rPr/>
      </w:pPr>
      <w:r w:rsidDel="00000000" w:rsidR="00000000" w:rsidRPr="00000000">
        <w:rPr>
          <w:rtl w:val="0"/>
        </w:rPr>
        <w:t xml:space="preserve">Moving forward, I will integrate formal reflective journaling after every session to maintain objectivity. I plan to engage more in peer-to-peer feedback and video analysis to challenge my own taken-for-granted assumptions. Finally, I will seek further training in emotional regulation techniques to better support the mental health of my teenage players.</w:t>
      </w:r>
    </w:p>
    <w:p w:rsidR="00000000" w:rsidDel="00000000" w:rsidP="00000000" w:rsidRDefault="00000000" w:rsidRPr="00000000" w14:paraId="00000032">
      <w:pPr>
        <w:pStyle w:val="Heading1"/>
        <w:rPr/>
      </w:pPr>
      <w:bookmarkStart w:colFirst="0" w:colLast="0" w:name="_heading=h.as6v58fcay97" w:id="7"/>
      <w:bookmarkEnd w:id="7"/>
      <w:r w:rsidDel="00000000" w:rsidR="00000000" w:rsidRPr="00000000">
        <w:rPr>
          <w:rtl w:val="0"/>
        </w:rPr>
        <w:t xml:space="preserve">References </w:t>
      </w:r>
    </w:p>
    <w:p w:rsidR="00000000" w:rsidDel="00000000" w:rsidP="00000000" w:rsidRDefault="00000000" w:rsidRPr="00000000" w14:paraId="00000033">
      <w:pPr>
        <w:jc w:val="both"/>
        <w:rPr/>
      </w:pPr>
      <w:r w:rsidDel="00000000" w:rsidR="00000000" w:rsidRPr="00000000">
        <w:rPr>
          <w:rtl w:val="0"/>
        </w:rPr>
        <w:t xml:space="preserve">Cushion, C.J. (2013) ‘Reflective practice in coaching’, in Routledge Handbook of Sports Coaching. London: Routledge. (Cited in Taylor &amp; Francis Online).</w:t>
      </w:r>
    </w:p>
    <w:p w:rsidR="00000000" w:rsidDel="00000000" w:rsidP="00000000" w:rsidRDefault="00000000" w:rsidRPr="00000000" w14:paraId="00000034">
      <w:pPr>
        <w:jc w:val="both"/>
        <w:rPr/>
      </w:pPr>
      <w:r w:rsidDel="00000000" w:rsidR="00000000" w:rsidRPr="00000000">
        <w:rPr>
          <w:rtl w:val="0"/>
        </w:rPr>
        <w:t xml:space="preserve">Douglas, S. and Carless, D. (2008) ‘Using narratives in coach education’, The Coaching Psychologist, 4(1), pp. 12-19. (Cited in UK Coaching).</w:t>
      </w:r>
    </w:p>
    <w:p w:rsidR="00000000" w:rsidDel="00000000" w:rsidP="00000000" w:rsidRDefault="00000000" w:rsidRPr="00000000" w14:paraId="00000035">
      <w:pPr>
        <w:jc w:val="both"/>
        <w:rPr/>
      </w:pPr>
      <w:r w:rsidDel="00000000" w:rsidR="00000000" w:rsidRPr="00000000">
        <w:rPr>
          <w:rtl w:val="0"/>
        </w:rPr>
        <w:t xml:space="preserve">Gibbs, G. (1988) Learning by Doing: A Guide to Teaching and Learning Methods. Oxford: Further Education Unit, Oxford Polytechnic..</w:t>
      </w:r>
    </w:p>
    <w:p w:rsidR="00000000" w:rsidDel="00000000" w:rsidP="00000000" w:rsidRDefault="00000000" w:rsidRPr="00000000" w14:paraId="00000036">
      <w:pPr>
        <w:jc w:val="both"/>
        <w:rPr/>
      </w:pPr>
      <w:r w:rsidDel="00000000" w:rsidR="00000000" w:rsidRPr="00000000">
        <w:rPr>
          <w:rtl w:val="0"/>
        </w:rPr>
        <w:t xml:space="preserve">Horizon Glasgow (2025) Coaching Beyond the Side-Lines: How Youth Football Builds Trust, Resilience and Community. Available at: https://horizonglasgow.uk/2025/04/17/coaching-beyond-the-sidelines/</w:t>
      </w:r>
    </w:p>
    <w:p w:rsidR="00000000" w:rsidDel="00000000" w:rsidP="00000000" w:rsidRDefault="00000000" w:rsidRPr="00000000" w14:paraId="00000037">
      <w:pPr>
        <w:jc w:val="both"/>
        <w:rPr/>
      </w:pPr>
      <w:r w:rsidDel="00000000" w:rsidR="00000000" w:rsidRPr="00000000">
        <w:rPr>
          <w:rtl w:val="0"/>
        </w:rPr>
        <w:t xml:space="preserve">Hull, R. (2014) Football, sport and the development of young people's life skills. PhD Thesis. Manchester Metropolitan University..</w:t>
      </w:r>
    </w:p>
    <w:p w:rsidR="00000000" w:rsidDel="00000000" w:rsidP="00000000" w:rsidRDefault="00000000" w:rsidRPr="00000000" w14:paraId="00000038">
      <w:pPr>
        <w:jc w:val="both"/>
        <w:rPr/>
      </w:pPr>
      <w:r w:rsidDel="00000000" w:rsidR="00000000" w:rsidRPr="00000000">
        <w:rPr>
          <w:rtl w:val="0"/>
        </w:rPr>
        <w:t xml:space="preserve">Mills, J. (2008) ‘Using a reflective journal to improve your coaching’, The Boot Room. Available at: https://www.thefa.com/bootroom/resources/coaching/using-a-reflective-journal-to-improve-your-coaching.</w:t>
      </w:r>
    </w:p>
    <w:p w:rsidR="00000000" w:rsidDel="00000000" w:rsidP="00000000" w:rsidRDefault="00000000" w:rsidRPr="00000000" w14:paraId="00000039">
      <w:pPr>
        <w:jc w:val="both"/>
        <w:rPr/>
      </w:pPr>
      <w:r w:rsidDel="00000000" w:rsidR="00000000" w:rsidRPr="00000000">
        <w:rPr>
          <w:rtl w:val="0"/>
        </w:rPr>
        <w:t xml:space="preserve">Roca, A., Pocock, C. and Ford, P.R. (2024) ‘Exploring decision-making practices during coaching sessions in grassroots youth soccer’, Science and Medicine in Football..</w:t>
      </w:r>
    </w:p>
    <w:p w:rsidR="00000000" w:rsidDel="00000000" w:rsidP="00000000" w:rsidRDefault="00000000" w:rsidRPr="00000000" w14:paraId="0000003A">
      <w:pPr>
        <w:jc w:val="both"/>
        <w:rPr/>
      </w:pPr>
      <w:r w:rsidDel="00000000" w:rsidR="00000000" w:rsidRPr="00000000">
        <w:rPr>
          <w:rtl w:val="0"/>
        </w:rPr>
        <w:t xml:space="preserve">University of Central Lancashire (UCFB) (2025) The importance of a football coach in a young person’s life. Available at: https://www.ucfb.ac.uk/news/the-importance-of-a-football-coach-in-a-young-persons-life/</w:t>
      </w:r>
    </w:p>
    <w:p w:rsidR="00000000" w:rsidDel="00000000" w:rsidP="00000000" w:rsidRDefault="00000000" w:rsidRPr="00000000" w14:paraId="0000003B">
      <w:pPr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jc w:val="both"/>
        <w:rPr>
          <w:rFonts w:ascii="Aptos" w:cs="Aptos" w:eastAsia="Aptos" w:hAnsi="Aptos"/>
          <w:b w:val="0"/>
          <w:bCs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jc w:val="both"/>
        <w:rPr>
          <w:rFonts w:ascii="Aptos" w:cs="Aptos" w:eastAsia="Aptos" w:hAnsi="Aptos"/>
          <w:b w:val="0"/>
          <w:bCs w:val="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Aptos"/>
  <w:font w:name="Play">
    <w:embedRegular w:fontKey="{00000000-0000-0000-0000-000000000000}" r:id="rId1" w:subsetted="0"/>
    <w:embedBold w:fontKey="{00000000-0000-0000-0000-000000000000}" r:id="rId2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8.0000000000000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ocIlw4tPIcSUyWqAoeo3qZimZXw==">CgMxLjAyDmguemc5ZHJsMTN4bjdhMg5oLmwyOTcwaGp5bDVjeTIOaC53OTludWMxam10OGsyDWguaWMwbW5rcmRwNm8yDmguaWt6aDE0d3Jnc2s4Mg5oLndiejJndnBsMThnMTIOaC5uM3Y1a3duY2NkaXYyDmguYXM2djU4ZmNheTk3OAByITFMUFpGYlFqdWhyN1JGb3BNUndBVlJ5cU14RGhaaVJSNA==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