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7088A" w:rsidP="6F6DD961" w:rsidRDefault="05720CAE" w14:paraId="5E5787A5" w14:textId="18BC1E82">
      <w:pPr>
        <w:ind w:left="2880"/>
        <w:rPr>
          <w:sz w:val="28"/>
          <w:szCs w:val="28"/>
        </w:rPr>
      </w:pPr>
      <w:r w:rsidRPr="6F6DD961">
        <w:rPr>
          <w:sz w:val="28"/>
          <w:szCs w:val="28"/>
        </w:rPr>
        <w:t>Assessment 2</w:t>
      </w:r>
    </w:p>
    <w:p w:rsidR="6F6DD961" w:rsidP="2532D80F" w:rsidRDefault="591EA56F" w14:paraId="09A0695C" w14:textId="552D1956">
      <w:pPr>
        <w:rPr>
          <w:b/>
          <w:bCs/>
          <w:sz w:val="22"/>
          <w:szCs w:val="22"/>
        </w:rPr>
      </w:pPr>
      <w:r w:rsidRPr="2532D80F">
        <w:rPr>
          <w:b/>
          <w:bCs/>
          <w:sz w:val="22"/>
          <w:szCs w:val="22"/>
        </w:rPr>
        <w:t xml:space="preserve">Gender imbalance </w:t>
      </w:r>
    </w:p>
    <w:p w:rsidR="3705F6CA" w:rsidP="6F6DD961" w:rsidRDefault="3705F6CA" w14:paraId="4AB94FEF" w14:textId="09A972CE">
      <w:pPr>
        <w:rPr>
          <w:sz w:val="22"/>
          <w:szCs w:val="22"/>
        </w:rPr>
      </w:pPr>
      <w:r w:rsidRPr="5EA5A894" w:rsidR="3705F6CA">
        <w:rPr>
          <w:sz w:val="22"/>
          <w:szCs w:val="22"/>
        </w:rPr>
        <w:t>Sport and physical activity exist in diverse forms across the world and engage a broad demographic of individuals. However, this global presence does not equate to equal access or opportunity within sport and physical activity.</w:t>
      </w:r>
      <w:r w:rsidRPr="5EA5A894" w:rsidR="36D5C5AF">
        <w:rPr>
          <w:sz w:val="22"/>
          <w:szCs w:val="22"/>
        </w:rPr>
        <w:t xml:space="preserve"> Participation is shaped by a range of social factors, with gender </w:t>
      </w:r>
      <w:r w:rsidRPr="5EA5A894" w:rsidR="36D5C5AF">
        <w:rPr>
          <w:sz w:val="22"/>
          <w:szCs w:val="22"/>
        </w:rPr>
        <w:t>representing</w:t>
      </w:r>
      <w:r w:rsidRPr="5EA5A894" w:rsidR="36D5C5AF">
        <w:rPr>
          <w:sz w:val="22"/>
          <w:szCs w:val="22"/>
        </w:rPr>
        <w:t xml:space="preserve"> a significant divide (Coleman, </w:t>
      </w:r>
      <w:r w:rsidRPr="5EA5A894" w:rsidR="36D5C5AF">
        <w:rPr>
          <w:sz w:val="22"/>
          <w:szCs w:val="22"/>
        </w:rPr>
        <w:t>Cox</w:t>
      </w:r>
      <w:r w:rsidRPr="5EA5A894" w:rsidR="36D5C5AF">
        <w:rPr>
          <w:sz w:val="22"/>
          <w:szCs w:val="22"/>
        </w:rPr>
        <w:t xml:space="preserve"> and Roker, 2007).</w:t>
      </w:r>
      <w:r w:rsidRPr="5EA5A894" w:rsidR="3705F6CA">
        <w:rPr>
          <w:sz w:val="22"/>
          <w:szCs w:val="22"/>
        </w:rPr>
        <w:t xml:space="preserve"> </w:t>
      </w:r>
      <w:r w:rsidRPr="5EA5A894" w:rsidR="3705F6CA">
        <w:rPr>
          <w:sz w:val="22"/>
          <w:szCs w:val="22"/>
        </w:rPr>
        <w:t xml:space="preserve">It is widely suggested that a gender imbalance exists in sport and physical activity participation, with boys typically </w:t>
      </w:r>
      <w:r w:rsidRPr="5EA5A894" w:rsidR="3705F6CA">
        <w:rPr>
          <w:sz w:val="22"/>
          <w:szCs w:val="22"/>
        </w:rPr>
        <w:t>demonstrating</w:t>
      </w:r>
      <w:r w:rsidRPr="5EA5A894" w:rsidR="3705F6CA">
        <w:rPr>
          <w:sz w:val="22"/>
          <w:szCs w:val="22"/>
        </w:rPr>
        <w:t xml:space="preserve"> higher participation rates than girls. </w:t>
      </w:r>
      <w:r w:rsidRPr="5EA5A894" w:rsidR="15AF8762">
        <w:rPr>
          <w:sz w:val="22"/>
          <w:szCs w:val="22"/>
        </w:rPr>
        <w:t xml:space="preserve">This essay will critically examine the claim by exploring the extent to which gendered participation imbalances exist across different sporting contexts, as well as considering </w:t>
      </w:r>
      <w:r w:rsidRPr="5EA5A894" w:rsidR="15AF8762">
        <w:rPr>
          <w:sz w:val="22"/>
          <w:szCs w:val="22"/>
        </w:rPr>
        <w:t>possible strategies</w:t>
      </w:r>
      <w:r w:rsidRPr="5EA5A894" w:rsidR="15AF8762">
        <w:rPr>
          <w:sz w:val="22"/>
          <w:szCs w:val="22"/>
        </w:rPr>
        <w:t xml:space="preserve"> to increase participation.</w:t>
      </w:r>
    </w:p>
    <w:p w:rsidR="0933B2C5" w:rsidP="6F6DD961" w:rsidRDefault="6F5AF97C" w14:paraId="1B0D85B5" w14:textId="1D96B1EE">
      <w:pPr>
        <w:rPr>
          <w:sz w:val="22"/>
          <w:szCs w:val="22"/>
        </w:rPr>
      </w:pPr>
      <w:r w:rsidRPr="7B100B46" w:rsidR="6F5AF97C">
        <w:rPr>
          <w:sz w:val="22"/>
          <w:szCs w:val="22"/>
        </w:rPr>
        <w:t xml:space="preserve">While participation patterns vary across sports and contexts, evidence suggests that girls are </w:t>
      </w:r>
      <w:r w:rsidRPr="7B100B46" w:rsidR="6F5AF97C">
        <w:rPr>
          <w:sz w:val="22"/>
          <w:szCs w:val="22"/>
        </w:rPr>
        <w:t>generally less</w:t>
      </w:r>
      <w:r w:rsidRPr="7B100B46" w:rsidR="6F5AF97C">
        <w:rPr>
          <w:sz w:val="22"/>
          <w:szCs w:val="22"/>
        </w:rPr>
        <w:t xml:space="preserve"> active than boys in organised sport and physical activity. At a national level, participation data from Wales </w:t>
      </w:r>
      <w:r w:rsidRPr="7B100B46" w:rsidR="6F5AF97C">
        <w:rPr>
          <w:sz w:val="22"/>
          <w:szCs w:val="22"/>
        </w:rPr>
        <w:t>indicates</w:t>
      </w:r>
      <w:r w:rsidRPr="7B100B46" w:rsidR="6F5AF97C">
        <w:rPr>
          <w:sz w:val="22"/>
          <w:szCs w:val="22"/>
        </w:rPr>
        <w:t xml:space="preserve"> a persistent gender gap, with girls consistently reporting lower levels of engagement than their male counterparts (Sport Wales, 2022). For example, girls were more likely than boys to report no regular participation in sport or physical activity. This disparity is </w:t>
      </w:r>
      <w:r w:rsidRPr="7B100B46" w:rsidR="6F5AF97C">
        <w:rPr>
          <w:sz w:val="22"/>
          <w:szCs w:val="22"/>
        </w:rPr>
        <w:t>evident</w:t>
      </w:r>
      <w:r w:rsidRPr="7B100B46" w:rsidR="6F5AF97C">
        <w:rPr>
          <w:sz w:val="22"/>
          <w:szCs w:val="22"/>
        </w:rPr>
        <w:t xml:space="preserve"> across both school- and community-based contexts. Among school-aged pupils, 58% of boys reported participating in community club sport outside of school at least once per week, compared to 54% of girls and 42% of pupils who identified as ‘Other’. Similar patterns are </w:t>
      </w:r>
      <w:r w:rsidRPr="7B100B46" w:rsidR="6F5AF97C">
        <w:rPr>
          <w:sz w:val="22"/>
          <w:szCs w:val="22"/>
        </w:rPr>
        <w:t>observed</w:t>
      </w:r>
      <w:r w:rsidRPr="7B100B46" w:rsidR="6F5AF97C">
        <w:rPr>
          <w:sz w:val="22"/>
          <w:szCs w:val="22"/>
        </w:rPr>
        <w:t xml:space="preserve"> within school-based provision, with 41% of boys </w:t>
      </w:r>
      <w:r w:rsidRPr="7B100B46" w:rsidR="6F5AF97C">
        <w:rPr>
          <w:sz w:val="22"/>
          <w:szCs w:val="22"/>
        </w:rPr>
        <w:t>participating</w:t>
      </w:r>
      <w:r w:rsidRPr="7B100B46" w:rsidR="6F5AF97C">
        <w:rPr>
          <w:sz w:val="22"/>
          <w:szCs w:val="22"/>
        </w:rPr>
        <w:t xml:space="preserve"> in extracurricular sport at least once per week, compared to 39% of girls and 27% of pupils identifying as ‘Other’ (Sport Wales, 2022).</w:t>
      </w:r>
      <w:r w:rsidRPr="7B100B46" w:rsidR="6A714534">
        <w:rPr>
          <w:sz w:val="22"/>
          <w:szCs w:val="22"/>
        </w:rPr>
        <w:t xml:space="preserve"> </w:t>
      </w:r>
      <w:r w:rsidRPr="7B100B46" w:rsidR="6F5AF97C">
        <w:rPr>
          <w:sz w:val="22"/>
          <w:szCs w:val="22"/>
        </w:rPr>
        <w:t xml:space="preserve">These gendered differences extend beyond childhood and into adulthood. Data from the National Survey for Wales show that 40% of men reported participating in sport or physical activity three or more times per week, compared to 32% of women (Sport Wales, 2024). These findings suggest that males are not only more likely to </w:t>
      </w:r>
      <w:r w:rsidRPr="7B100B46" w:rsidR="6F5AF97C">
        <w:rPr>
          <w:sz w:val="22"/>
          <w:szCs w:val="22"/>
        </w:rPr>
        <w:t>partic</w:t>
      </w:r>
      <w:r w:rsidRPr="7B100B46" w:rsidR="6F5AF97C">
        <w:rPr>
          <w:sz w:val="22"/>
          <w:szCs w:val="22"/>
        </w:rPr>
        <w:t>ipate</w:t>
      </w:r>
      <w:r w:rsidRPr="7B100B46" w:rsidR="6F5AF97C">
        <w:rPr>
          <w:sz w:val="22"/>
          <w:szCs w:val="22"/>
        </w:rPr>
        <w:t xml:space="preserve"> in sp</w:t>
      </w:r>
      <w:r w:rsidRPr="7B100B46" w:rsidR="6F5AF97C">
        <w:rPr>
          <w:sz w:val="22"/>
          <w:szCs w:val="22"/>
        </w:rPr>
        <w:t xml:space="preserve">orts and physical activity but are also more likely to engage at higher frequencies, reinforcing claims that gendered participation disparities persist over time. </w:t>
      </w:r>
      <w:r w:rsidRPr="7B100B46" w:rsidR="6F5AF97C">
        <w:rPr>
          <w:sz w:val="22"/>
          <w:szCs w:val="22"/>
        </w:rPr>
        <w:t xml:space="preserve">This pattern is further supported by international evidence. A study of school-aged children conducted by Schrader et al. (2025) in Germany found that males were 43% more likely than females to be members of a sports club and spent more days per week </w:t>
      </w:r>
      <w:r w:rsidRPr="7B100B46" w:rsidR="6F5AF97C">
        <w:rPr>
          <w:sz w:val="22"/>
          <w:szCs w:val="22"/>
        </w:rPr>
        <w:t>partic</w:t>
      </w:r>
      <w:r w:rsidRPr="7B100B46" w:rsidR="6F5AF97C">
        <w:rPr>
          <w:sz w:val="22"/>
          <w:szCs w:val="22"/>
        </w:rPr>
        <w:t>ipating</w:t>
      </w:r>
      <w:r w:rsidRPr="7B100B46" w:rsidR="6F5AF97C">
        <w:rPr>
          <w:sz w:val="22"/>
          <w:szCs w:val="22"/>
        </w:rPr>
        <w:t xml:space="preserve"> in sp</w:t>
      </w:r>
      <w:r w:rsidRPr="7B100B46" w:rsidR="6F5AF97C">
        <w:rPr>
          <w:sz w:val="22"/>
          <w:szCs w:val="22"/>
        </w:rPr>
        <w:t xml:space="preserve">orts. Participation patterns also differed by sport type, with males more likely to engage in contact sports such as football, martial arts, and basketball, while females favoured gymnastics, volleyball, and athletics. Similarly, Telford et al. (2016) </w:t>
      </w:r>
      <w:r w:rsidRPr="7B100B46" w:rsidR="6F5AF97C">
        <w:rPr>
          <w:sz w:val="22"/>
          <w:szCs w:val="22"/>
        </w:rPr>
        <w:t>identi</w:t>
      </w:r>
      <w:r w:rsidRPr="7B100B46" w:rsidR="6F5AF97C">
        <w:rPr>
          <w:sz w:val="22"/>
          <w:szCs w:val="22"/>
        </w:rPr>
        <w:t>fy</w:t>
      </w:r>
      <w:r w:rsidRPr="7B100B46" w:rsidR="6F5AF97C">
        <w:rPr>
          <w:sz w:val="22"/>
          <w:szCs w:val="22"/>
        </w:rPr>
        <w:t xml:space="preserve"> lower</w:t>
      </w:r>
      <w:r w:rsidRPr="7B100B46" w:rsidR="6F5AF97C">
        <w:rPr>
          <w:sz w:val="22"/>
          <w:szCs w:val="22"/>
        </w:rPr>
        <w:t xml:space="preserve"> levels of participation among girls in organised sport as a persistent trend within literature. In their study of children aged 8 and 12 years across 29 Australian schools, girls were found to be 19% less active than boys when measured by steps per day. Extracurricular participation rates also differed, with only 60% of girls reporting involvement in a sports club at age 8, compared to 80% of boys. Furthermore, the study </w:t>
      </w:r>
      <w:r w:rsidRPr="7B100B46" w:rsidR="6F5AF97C">
        <w:rPr>
          <w:sz w:val="22"/>
          <w:szCs w:val="22"/>
        </w:rPr>
        <w:t>identi</w:t>
      </w:r>
      <w:r w:rsidRPr="7B100B46" w:rsidR="6F5AF97C">
        <w:rPr>
          <w:sz w:val="22"/>
          <w:szCs w:val="22"/>
        </w:rPr>
        <w:t>fied</w:t>
      </w:r>
      <w:r w:rsidRPr="7B100B46" w:rsidR="6F5AF97C">
        <w:rPr>
          <w:sz w:val="22"/>
          <w:szCs w:val="22"/>
        </w:rPr>
        <w:t xml:space="preserve"> that </w:t>
      </w:r>
      <w:r w:rsidRPr="7B100B46" w:rsidR="6F5AF97C">
        <w:rPr>
          <w:sz w:val="22"/>
          <w:szCs w:val="22"/>
        </w:rPr>
        <w:t xml:space="preserve">girls </w:t>
      </w:r>
      <w:r w:rsidRPr="7B100B46" w:rsidR="6F5AF97C">
        <w:rPr>
          <w:sz w:val="22"/>
          <w:szCs w:val="22"/>
        </w:rPr>
        <w:t>demons</w:t>
      </w:r>
      <w:r w:rsidRPr="7B100B46" w:rsidR="6F5AF97C">
        <w:rPr>
          <w:sz w:val="22"/>
          <w:szCs w:val="22"/>
        </w:rPr>
        <w:t>trated</w:t>
      </w:r>
      <w:r w:rsidRPr="7B100B46" w:rsidR="6F5AF97C">
        <w:rPr>
          <w:sz w:val="22"/>
          <w:szCs w:val="22"/>
        </w:rPr>
        <w:t xml:space="preserve"> lower</w:t>
      </w:r>
      <w:r w:rsidRPr="7B100B46" w:rsidR="6F5AF97C">
        <w:rPr>
          <w:sz w:val="22"/>
          <w:szCs w:val="22"/>
        </w:rPr>
        <w:t xml:space="preserve"> cardiorespiratory fitness, poorer eye–hand coordination, higher body fat percentage, and lower perceived competence in physical education than boys, factors which may contribute to reduced engagement and sustained participation over time.</w:t>
      </w:r>
      <w:r w:rsidRPr="7B100B46" w:rsidR="32DF40FC">
        <w:rPr>
          <w:sz w:val="22"/>
          <w:szCs w:val="22"/>
        </w:rPr>
        <w:t xml:space="preserve"> </w:t>
      </w:r>
      <w:r w:rsidRPr="7B100B46" w:rsidR="6F5AF97C">
        <w:rPr>
          <w:sz w:val="22"/>
          <w:szCs w:val="22"/>
        </w:rPr>
        <w:t xml:space="preserve">When examined through a sport-specific lens, a clear gender imbalance is </w:t>
      </w:r>
      <w:r w:rsidRPr="7B100B46" w:rsidR="6F5AF97C">
        <w:rPr>
          <w:sz w:val="22"/>
          <w:szCs w:val="22"/>
        </w:rPr>
        <w:t>eviden</w:t>
      </w:r>
      <w:r w:rsidRPr="7B100B46" w:rsidR="6F5AF97C">
        <w:rPr>
          <w:sz w:val="22"/>
          <w:szCs w:val="22"/>
        </w:rPr>
        <w:t>t</w:t>
      </w:r>
      <w:r w:rsidRPr="7B100B46" w:rsidR="6F5AF97C">
        <w:rPr>
          <w:sz w:val="22"/>
          <w:szCs w:val="22"/>
        </w:rPr>
        <w:t xml:space="preserve"> i</w:t>
      </w:r>
      <w:r w:rsidRPr="7B100B46" w:rsidR="6F5AF97C">
        <w:rPr>
          <w:sz w:val="22"/>
          <w:szCs w:val="22"/>
        </w:rPr>
        <w:t>n ru</w:t>
      </w:r>
      <w:r w:rsidRPr="7B100B46" w:rsidR="6F5AF97C">
        <w:rPr>
          <w:sz w:val="22"/>
          <w:szCs w:val="22"/>
        </w:rPr>
        <w:t>gby</w:t>
      </w:r>
      <w:r w:rsidRPr="7B100B46" w:rsidR="6F5AF97C">
        <w:rPr>
          <w:sz w:val="22"/>
          <w:szCs w:val="22"/>
        </w:rPr>
        <w:t xml:space="preserve"> participation. Age-grade registration data from the Rugby Football Union (2023) show that although participation increased for both boys and girls, significant differences </w:t>
      </w:r>
      <w:r w:rsidRPr="7B100B46" w:rsidR="6F5AF97C">
        <w:rPr>
          <w:sz w:val="22"/>
          <w:szCs w:val="22"/>
        </w:rPr>
        <w:t>remain</w:t>
      </w:r>
      <w:r w:rsidRPr="7B100B46" w:rsidR="6F5AF97C">
        <w:rPr>
          <w:sz w:val="22"/>
          <w:szCs w:val="22"/>
        </w:rPr>
        <w:t>. B</w:t>
      </w:r>
      <w:r w:rsidRPr="7B100B46" w:rsidR="6F5AF97C">
        <w:rPr>
          <w:sz w:val="22"/>
          <w:szCs w:val="22"/>
        </w:rPr>
        <w:t>oys</w:t>
      </w:r>
      <w:r w:rsidRPr="7B100B46" w:rsidR="6F5AF97C">
        <w:rPr>
          <w:sz w:val="22"/>
          <w:szCs w:val="22"/>
        </w:rPr>
        <w:t>’ r</w:t>
      </w:r>
      <w:r w:rsidRPr="7B100B46" w:rsidR="6F5AF97C">
        <w:rPr>
          <w:sz w:val="22"/>
          <w:szCs w:val="22"/>
        </w:rPr>
        <w:t xml:space="preserve">egistrations rose by 16% to 155,298 players, compared to a 10% increase among girls to 22,789 participants. Despite growth in female participation, the disparity in total registrations highlights a continued male dominance within rugby.  </w:t>
      </w:r>
    </w:p>
    <w:p w:rsidR="2549C5A7" w:rsidP="1961BF77" w:rsidRDefault="2549C5A7" w14:paraId="329390FC" w14:textId="368110CB">
      <w:pPr>
        <w:rPr>
          <w:sz w:val="22"/>
          <w:szCs w:val="22"/>
        </w:rPr>
      </w:pPr>
      <w:r w:rsidRPr="1961BF77">
        <w:rPr>
          <w:sz w:val="22"/>
          <w:szCs w:val="22"/>
        </w:rPr>
        <w:t xml:space="preserve">One </w:t>
      </w:r>
      <w:r w:rsidRPr="1961BF77" w:rsidR="51741FCB">
        <w:rPr>
          <w:sz w:val="22"/>
          <w:szCs w:val="22"/>
        </w:rPr>
        <w:t>explanation</w:t>
      </w:r>
      <w:r w:rsidRPr="1961BF77">
        <w:rPr>
          <w:sz w:val="22"/>
          <w:szCs w:val="22"/>
        </w:rPr>
        <w:t xml:space="preserve"> for gender imbalance in sport and physical activity participation is the presence of social, cultural and structural barrie</w:t>
      </w:r>
      <w:r w:rsidRPr="1961BF77" w:rsidR="00E55B9B">
        <w:rPr>
          <w:sz w:val="22"/>
          <w:szCs w:val="22"/>
        </w:rPr>
        <w:t xml:space="preserve">rs that limit female access to and engagement in sport. </w:t>
      </w:r>
      <w:r w:rsidRPr="1961BF77" w:rsidR="0015D611">
        <w:rPr>
          <w:sz w:val="22"/>
          <w:szCs w:val="22"/>
        </w:rPr>
        <w:t xml:space="preserve">Historical </w:t>
      </w:r>
      <w:r w:rsidRPr="1961BF77" w:rsidR="69037B69">
        <w:rPr>
          <w:sz w:val="22"/>
          <w:szCs w:val="22"/>
        </w:rPr>
        <w:t>institutional</w:t>
      </w:r>
      <w:r w:rsidRPr="1961BF77" w:rsidR="0015D611">
        <w:rPr>
          <w:sz w:val="22"/>
          <w:szCs w:val="22"/>
        </w:rPr>
        <w:t xml:space="preserve"> barriers have played a significant role in </w:t>
      </w:r>
      <w:r w:rsidRPr="1961BF77" w:rsidR="62F36AEA">
        <w:rPr>
          <w:sz w:val="22"/>
          <w:szCs w:val="22"/>
        </w:rPr>
        <w:t xml:space="preserve">shaping patterns of gendered participation. For example, the Football Association’s ban on women’s football in England between 1921 and 1971 </w:t>
      </w:r>
      <w:r w:rsidRPr="1961BF77" w:rsidR="74CD3194">
        <w:rPr>
          <w:sz w:val="22"/>
          <w:szCs w:val="22"/>
        </w:rPr>
        <w:t>restricted access to facilities, competitions and development pathways, contributing to long-term inequalities in participation and support</w:t>
      </w:r>
      <w:r w:rsidRPr="1961BF77" w:rsidR="7818E209">
        <w:rPr>
          <w:sz w:val="22"/>
          <w:szCs w:val="22"/>
        </w:rPr>
        <w:t xml:space="preserve"> </w:t>
      </w:r>
      <w:r w:rsidRPr="1961BF77" w:rsidR="74CD3194">
        <w:rPr>
          <w:sz w:val="22"/>
          <w:szCs w:val="22"/>
        </w:rPr>
        <w:t>(The Football</w:t>
      </w:r>
      <w:r w:rsidRPr="1961BF77" w:rsidR="1103AB49">
        <w:rPr>
          <w:sz w:val="22"/>
          <w:szCs w:val="22"/>
        </w:rPr>
        <w:t xml:space="preserve"> Association, 2023)</w:t>
      </w:r>
      <w:r w:rsidRPr="1961BF77" w:rsidR="18B5D2A1">
        <w:rPr>
          <w:sz w:val="22"/>
          <w:szCs w:val="22"/>
        </w:rPr>
        <w:t>.</w:t>
      </w:r>
      <w:r w:rsidRPr="1961BF77" w:rsidR="1103AB49">
        <w:rPr>
          <w:sz w:val="22"/>
          <w:szCs w:val="22"/>
        </w:rPr>
        <w:t xml:space="preserve"> Although </w:t>
      </w:r>
      <w:r w:rsidRPr="1961BF77" w:rsidR="7DF28DA0">
        <w:rPr>
          <w:sz w:val="22"/>
          <w:szCs w:val="22"/>
        </w:rPr>
        <w:t xml:space="preserve">contemporary initiatives aim to reduce these inequalities, past institutional decisions continue to influence current participation patterns </w:t>
      </w:r>
      <w:r w:rsidRPr="1961BF77" w:rsidR="3244E262">
        <w:rPr>
          <w:sz w:val="22"/>
          <w:szCs w:val="22"/>
        </w:rPr>
        <w:t xml:space="preserve">and social attitudes towards women’s sport. In Brazil, despite some progress towards gender equality, women remain </w:t>
      </w:r>
      <w:r w:rsidRPr="1961BF77" w:rsidR="3FCEFFFF">
        <w:rPr>
          <w:sz w:val="22"/>
          <w:szCs w:val="22"/>
        </w:rPr>
        <w:t>underrepresented</w:t>
      </w:r>
      <w:r w:rsidRPr="1961BF77" w:rsidR="3244E262">
        <w:rPr>
          <w:sz w:val="22"/>
          <w:szCs w:val="22"/>
        </w:rPr>
        <w:t xml:space="preserve"> in athletics </w:t>
      </w:r>
      <w:r w:rsidRPr="1961BF77" w:rsidR="63A02AE7">
        <w:rPr>
          <w:sz w:val="22"/>
          <w:szCs w:val="22"/>
        </w:rPr>
        <w:t>as athletes, coaches and referees. This pattern reflects ongoing structural and social barriers within sporting environments and highl</w:t>
      </w:r>
      <w:r w:rsidRPr="1961BF77" w:rsidR="5BD21437">
        <w:rPr>
          <w:sz w:val="22"/>
          <w:szCs w:val="22"/>
        </w:rPr>
        <w:t xml:space="preserve">ights the continued need for targeted policies and programmes aimed at improving female participation and progression </w:t>
      </w:r>
      <w:r w:rsidRPr="1961BF77" w:rsidR="6E090340">
        <w:rPr>
          <w:sz w:val="22"/>
          <w:szCs w:val="22"/>
        </w:rPr>
        <w:t>(Assis et al., 2024)</w:t>
      </w:r>
      <w:r w:rsidRPr="1961BF77" w:rsidR="4FA98451">
        <w:rPr>
          <w:sz w:val="22"/>
          <w:szCs w:val="22"/>
        </w:rPr>
        <w:t>.</w:t>
      </w:r>
    </w:p>
    <w:p w:rsidR="74598B57" w:rsidP="1961BF77" w:rsidRDefault="74598B57" w14:paraId="284CB8D0" w14:textId="75C5EDDA">
      <w:pPr>
        <w:rPr>
          <w:sz w:val="22"/>
          <w:szCs w:val="22"/>
        </w:rPr>
      </w:pPr>
      <w:r w:rsidRPr="1961BF77">
        <w:rPr>
          <w:sz w:val="22"/>
          <w:szCs w:val="22"/>
        </w:rPr>
        <w:t xml:space="preserve">While evidence consistently shows higher participation rates among boys across many sports, this pattern is not universal. In some sports, girls demonstrate higher levels of engagement than boys, with netball providing a clear example of this reversal. A case study by Foley et al. (2021) found that netball was female-dominated, with 98% of Netball NSW members identifying as female. The authors highlight that netball is a popular team sport for women and girls, with participation structures and development pathways primarily oriented towards female involvement. Foley et al. (2021) suggest that netball’s ability to engage and retain females highlights how sport-specific structures can influence participation patterns, reinforcing the idea that gender differences in participation are shaped by the organisation and accessibility of individual sports, rather than inherent gender preferences.  </w:t>
      </w:r>
    </w:p>
    <w:p w:rsidR="74598B57" w:rsidP="1961BF77" w:rsidRDefault="74598B57" w14:paraId="64AC77DC" w14:textId="73AB4F6F">
      <w:pPr>
        <w:rPr>
          <w:sz w:val="22"/>
          <w:szCs w:val="22"/>
        </w:rPr>
      </w:pPr>
      <w:r w:rsidRPr="1961BF77">
        <w:rPr>
          <w:sz w:val="22"/>
          <w:szCs w:val="22"/>
        </w:rPr>
        <w:t xml:space="preserve">In conclusion, evidence from national and international contexts supports the presence of a gender imbalance across many sports and age groups, with disparities evident from childhood to adulthood. However, this pattern is not consistent across all sporting contexts, as demonstrated by female-dominated sports such as netball. This highlights that gendered participation patterns are shaped by social, cultural, and structural factors rather than inherent gender differences. </w:t>
      </w:r>
    </w:p>
    <w:p w:rsidR="74598B57" w:rsidP="1961BF77" w:rsidRDefault="74598B57" w14:paraId="6287FC72" w14:textId="1314406C">
      <w:r w:rsidRPr="1961BF77">
        <w:rPr>
          <w:sz w:val="22"/>
          <w:szCs w:val="22"/>
        </w:rPr>
        <w:t>To address gender imbalances in sport and physical activity participation, targeted investment in female participation pathways is required to counter structural inequalities. Schools should prioritise inclusive, confidence-building physical education and extracurricular provision to support sustained engagement among girls, particularly during adolescence. Additionally, sporting organisations should adopt sport-specific participation strategies, drawing on successful female-dominated models, such as netball, to inform structural change within traditionally male-dominated sports.</w:t>
      </w:r>
    </w:p>
    <w:p w:rsidR="1961BF77" w:rsidP="1961BF77" w:rsidRDefault="1961BF77" w14:paraId="3A456F85" w14:textId="08B9A058">
      <w:pPr>
        <w:rPr>
          <w:sz w:val="22"/>
          <w:szCs w:val="22"/>
        </w:rPr>
      </w:pPr>
    </w:p>
    <w:p w:rsidR="1961BF77" w:rsidP="1961BF77" w:rsidRDefault="1961BF77" w14:paraId="71512E01" w14:textId="771243EC">
      <w:pPr>
        <w:rPr>
          <w:sz w:val="22"/>
          <w:szCs w:val="22"/>
        </w:rPr>
      </w:pPr>
    </w:p>
    <w:p w:rsidR="1961BF77" w:rsidP="1961BF77" w:rsidRDefault="1961BF77" w14:paraId="516BCFDF" w14:textId="53AABF53">
      <w:pPr>
        <w:rPr>
          <w:sz w:val="22"/>
          <w:szCs w:val="22"/>
        </w:rPr>
      </w:pPr>
    </w:p>
    <w:p w:rsidR="7B100B46" w:rsidP="7B100B46" w:rsidRDefault="7B100B46" w14:paraId="633953B3" w14:textId="5288A763">
      <w:pPr>
        <w:rPr>
          <w:b w:val="1"/>
          <w:bCs w:val="1"/>
          <w:sz w:val="22"/>
          <w:szCs w:val="22"/>
        </w:rPr>
      </w:pPr>
    </w:p>
    <w:p w:rsidR="7B100B46" w:rsidP="7B100B46" w:rsidRDefault="7B100B46" w14:paraId="43AED2B3" w14:textId="01F0A184">
      <w:pPr>
        <w:rPr>
          <w:b w:val="1"/>
          <w:bCs w:val="1"/>
          <w:sz w:val="22"/>
          <w:szCs w:val="22"/>
        </w:rPr>
      </w:pPr>
    </w:p>
    <w:p w:rsidR="7B100B46" w:rsidP="7B100B46" w:rsidRDefault="7B100B46" w14:paraId="7AF89897" w14:textId="436DE95D">
      <w:pPr>
        <w:rPr>
          <w:b w:val="1"/>
          <w:bCs w:val="1"/>
          <w:sz w:val="22"/>
          <w:szCs w:val="22"/>
        </w:rPr>
      </w:pPr>
    </w:p>
    <w:p w:rsidR="3D6460BD" w:rsidP="68F83E28" w:rsidRDefault="1589D468" w14:paraId="25E6B07C" w14:textId="15054349">
      <w:pPr>
        <w:rPr>
          <w:b/>
          <w:bCs/>
          <w:sz w:val="22"/>
          <w:szCs w:val="22"/>
        </w:rPr>
      </w:pPr>
      <w:r w:rsidRPr="68F83E28">
        <w:rPr>
          <w:b/>
          <w:bCs/>
          <w:sz w:val="22"/>
          <w:szCs w:val="22"/>
        </w:rPr>
        <w:t>Children and young people with disabilities</w:t>
      </w:r>
    </w:p>
    <w:p w:rsidR="3D6460BD" w:rsidP="68F83E28" w:rsidRDefault="1589D468" w14:paraId="6A8F9CB5" w14:textId="20C85AF5">
      <w:pPr>
        <w:rPr>
          <w:sz w:val="22"/>
          <w:szCs w:val="22"/>
        </w:rPr>
      </w:pPr>
      <w:r w:rsidRPr="5EA5A894" w:rsidR="1589D468">
        <w:rPr>
          <w:sz w:val="22"/>
          <w:szCs w:val="22"/>
        </w:rPr>
        <w:t xml:space="preserve">Participation in sport plays </w:t>
      </w:r>
      <w:r w:rsidRPr="5EA5A894" w:rsidR="1589D468">
        <w:rPr>
          <w:sz w:val="22"/>
          <w:szCs w:val="22"/>
        </w:rPr>
        <w:t>an important role</w:t>
      </w:r>
      <w:r w:rsidRPr="5EA5A894" w:rsidR="1589D468">
        <w:rPr>
          <w:sz w:val="22"/>
          <w:szCs w:val="22"/>
        </w:rPr>
        <w:t xml:space="preserve"> in supporting the physical health, social development, and psychological well-being of children and young people (Sport England, 2018). However, despite these benefits, not all individuals within society</w:t>
      </w:r>
      <w:r w:rsidRPr="5EA5A894" w:rsidR="1E262B21">
        <w:rPr>
          <w:sz w:val="22"/>
          <w:szCs w:val="22"/>
        </w:rPr>
        <w:t xml:space="preserve"> experience equal access to sport</w:t>
      </w:r>
      <w:r w:rsidRPr="5EA5A894" w:rsidR="1589D468">
        <w:rPr>
          <w:sz w:val="22"/>
          <w:szCs w:val="22"/>
        </w:rPr>
        <w:t xml:space="preserve"> (Brown and </w:t>
      </w:r>
      <w:r w:rsidRPr="5EA5A894" w:rsidR="1589D468">
        <w:rPr>
          <w:sz w:val="22"/>
          <w:szCs w:val="22"/>
        </w:rPr>
        <w:t>Pappous</w:t>
      </w:r>
      <w:r w:rsidRPr="5EA5A894" w:rsidR="1589D468">
        <w:rPr>
          <w:sz w:val="22"/>
          <w:szCs w:val="22"/>
        </w:rPr>
        <w:t>, 2020)</w:t>
      </w:r>
      <w:r w:rsidRPr="5EA5A894" w:rsidR="1589D468">
        <w:rPr>
          <w:sz w:val="22"/>
          <w:szCs w:val="22"/>
        </w:rPr>
        <w:t xml:space="preserve">.  </w:t>
      </w:r>
      <w:r w:rsidRPr="5EA5A894" w:rsidR="1589D468">
        <w:rPr>
          <w:sz w:val="22"/>
          <w:szCs w:val="22"/>
        </w:rPr>
        <w:t xml:space="preserve">Research increasingly suggests that children and young people with disabilities experience lower levels of sports participation than their non-disabled peers, raising concerns </w:t>
      </w:r>
      <w:r w:rsidRPr="5EA5A894" w:rsidR="1589D468">
        <w:rPr>
          <w:sz w:val="22"/>
          <w:szCs w:val="22"/>
        </w:rPr>
        <w:t>regarding</w:t>
      </w:r>
      <w:r w:rsidRPr="5EA5A894" w:rsidR="1589D468">
        <w:rPr>
          <w:sz w:val="22"/>
          <w:szCs w:val="22"/>
        </w:rPr>
        <w:t xml:space="preserve"> inclusion and equality within sporting environments. </w:t>
      </w:r>
      <w:r w:rsidRPr="5EA5A894" w:rsidR="2E292D13">
        <w:rPr>
          <w:sz w:val="22"/>
          <w:szCs w:val="22"/>
        </w:rPr>
        <w:t>These</w:t>
      </w:r>
      <w:r w:rsidRPr="5EA5A894" w:rsidR="1589D468">
        <w:rPr>
          <w:sz w:val="22"/>
          <w:szCs w:val="22"/>
        </w:rPr>
        <w:t xml:space="preserve"> inequalities point towards systemic barriers within sport that continue to restrict access, despite growing efforts to promote inclusion and participation</w:t>
      </w:r>
      <w:r w:rsidRPr="5EA5A894" w:rsidR="1589D468">
        <w:rPr>
          <w:sz w:val="22"/>
          <w:szCs w:val="22"/>
        </w:rPr>
        <w:t xml:space="preserve">.  </w:t>
      </w:r>
      <w:r w:rsidRPr="5EA5A894" w:rsidR="1589D468">
        <w:rPr>
          <w:sz w:val="22"/>
          <w:szCs w:val="22"/>
        </w:rPr>
        <w:t xml:space="preserve"> </w:t>
      </w:r>
    </w:p>
    <w:p w:rsidR="3D6460BD" w:rsidP="68F83E28" w:rsidRDefault="1589D468" w14:paraId="719F6013" w14:textId="7169E442">
      <w:pPr>
        <w:rPr>
          <w:sz w:val="22"/>
          <w:szCs w:val="22"/>
        </w:rPr>
      </w:pPr>
      <w:r w:rsidRPr="5EA5A894" w:rsidR="1589D468">
        <w:rPr>
          <w:sz w:val="22"/>
          <w:szCs w:val="22"/>
        </w:rPr>
        <w:t xml:space="preserve">Evidence from national and international research consistently </w:t>
      </w:r>
      <w:r w:rsidRPr="5EA5A894" w:rsidR="1589D468">
        <w:rPr>
          <w:sz w:val="22"/>
          <w:szCs w:val="22"/>
        </w:rPr>
        <w:t>demonstrates</w:t>
      </w:r>
      <w:r w:rsidRPr="5EA5A894" w:rsidR="1589D468">
        <w:rPr>
          <w:sz w:val="22"/>
          <w:szCs w:val="22"/>
        </w:rPr>
        <w:t xml:space="preserve"> that disabled children and young people experience lower participation rates in sport than their non-disabled peers. Data from the School Sport Survey conducted by Sport Wales (2022) reveals that disabled children report a lower frequency of participation in organised sport outside the school curriculum compared to non-disabled children. Specifically, 42% of disabled children report no frequent activity, compared to 35% of non-disabled children. Similarly, participation in community sports clubs at least once a week is lower among disabled children, highlighting a consistent participation gap across both school-based and community sporting contexts. Beyond the Welsh context, Darcy, Ollerton and Faulkner (2020) </w:t>
      </w:r>
      <w:r w:rsidRPr="5EA5A894" w:rsidR="1589D468">
        <w:rPr>
          <w:sz w:val="22"/>
          <w:szCs w:val="22"/>
        </w:rPr>
        <w:t>identify</w:t>
      </w:r>
      <w:r w:rsidRPr="5EA5A894" w:rsidR="1589D468">
        <w:rPr>
          <w:sz w:val="22"/>
          <w:szCs w:val="22"/>
        </w:rPr>
        <w:t xml:space="preserve"> that participation rates among people with disabilities, including children, have shown </w:t>
      </w:r>
      <w:r w:rsidRPr="5EA5A894" w:rsidR="1589D468">
        <w:rPr>
          <w:sz w:val="22"/>
          <w:szCs w:val="22"/>
        </w:rPr>
        <w:t>little improvement</w:t>
      </w:r>
      <w:r w:rsidRPr="5EA5A894" w:rsidR="1589D468">
        <w:rPr>
          <w:sz w:val="22"/>
          <w:szCs w:val="22"/>
        </w:rPr>
        <w:t xml:space="preserve"> over time and remain consistently lower than those of their non-disabled peers. This participation imbalance could be </w:t>
      </w:r>
      <w:r w:rsidRPr="5EA5A894" w:rsidR="761FDB25">
        <w:rPr>
          <w:sz w:val="22"/>
          <w:szCs w:val="22"/>
        </w:rPr>
        <w:t>linked</w:t>
      </w:r>
      <w:r w:rsidRPr="5EA5A894" w:rsidR="1589D468">
        <w:rPr>
          <w:sz w:val="22"/>
          <w:szCs w:val="22"/>
        </w:rPr>
        <w:t xml:space="preserve"> to the marginalisation and exclusion of children with disabilities within sporting environments when compared to non-disabled peers, reinforcing the view that exclusion is structurally embedded rather than incidental</w:t>
      </w:r>
      <w:r w:rsidRPr="5EA5A894" w:rsidR="1589D468">
        <w:rPr>
          <w:sz w:val="22"/>
          <w:szCs w:val="22"/>
        </w:rPr>
        <w:t xml:space="preserve">.  </w:t>
      </w:r>
      <w:r w:rsidRPr="5EA5A894" w:rsidR="1589D468">
        <w:rPr>
          <w:sz w:val="22"/>
          <w:szCs w:val="22"/>
        </w:rPr>
        <w:t xml:space="preserve">Data in Ireland further supports these findings, </w:t>
      </w:r>
      <w:r w:rsidRPr="5EA5A894" w:rsidR="1589D468">
        <w:rPr>
          <w:sz w:val="22"/>
          <w:szCs w:val="22"/>
        </w:rPr>
        <w:t>demonstrating</w:t>
      </w:r>
      <w:r w:rsidRPr="5EA5A894" w:rsidR="1589D468">
        <w:rPr>
          <w:sz w:val="22"/>
          <w:szCs w:val="22"/>
        </w:rPr>
        <w:t xml:space="preserve"> that children with disabilities are less likely to meet physical activity guidelines and </w:t>
      </w:r>
      <w:r w:rsidRPr="5EA5A894" w:rsidR="1589D468">
        <w:rPr>
          <w:sz w:val="22"/>
          <w:szCs w:val="22"/>
        </w:rPr>
        <w:t>participate</w:t>
      </w:r>
      <w:r w:rsidRPr="5EA5A894" w:rsidR="1589D468">
        <w:rPr>
          <w:sz w:val="22"/>
          <w:szCs w:val="22"/>
        </w:rPr>
        <w:t xml:space="preserve"> in both school and community sport when compared to their non-disabled peers. Only 15% of children with disabilities meet the recommended activity levels, compared to 24% of non-disabled children (Cullen, 2024). Research centred on children with intellectual and developmental disabilities follows this trend, </w:t>
      </w:r>
      <w:r w:rsidRPr="5EA5A894" w:rsidR="1589D468">
        <w:rPr>
          <w:sz w:val="22"/>
          <w:szCs w:val="22"/>
        </w:rPr>
        <w:t>identifying</w:t>
      </w:r>
      <w:r w:rsidRPr="5EA5A894" w:rsidR="1589D468">
        <w:rPr>
          <w:sz w:val="22"/>
          <w:szCs w:val="22"/>
        </w:rPr>
        <w:t xml:space="preserve"> limited opportunities and exclusion from mainstream sport as key contributors to reduced participation (Rodriquez et al., 2022). Collectively, these findings </w:t>
      </w:r>
      <w:r w:rsidRPr="5EA5A894" w:rsidR="1589D468">
        <w:rPr>
          <w:sz w:val="22"/>
          <w:szCs w:val="22"/>
        </w:rPr>
        <w:t>demonstrate</w:t>
      </w:r>
      <w:r w:rsidRPr="5EA5A894" w:rsidR="1589D468">
        <w:rPr>
          <w:sz w:val="22"/>
          <w:szCs w:val="22"/>
        </w:rPr>
        <w:t xml:space="preserve"> that lower rates of sports participation among children and young people with disabilities are not isolated to specific regions or sporting contexts. Instead, they reflect a widespread and persistent pattern. This trend of reduced participation across sporting environments suggests that disabled children face systemic barriers, therefore strongly supporting the claim that children and young people with disabilities experience greater obstacles to sports participation than their non-disabled peers</w:t>
      </w:r>
      <w:r w:rsidRPr="5EA5A894" w:rsidR="1589D468">
        <w:rPr>
          <w:sz w:val="22"/>
          <w:szCs w:val="22"/>
        </w:rPr>
        <w:t xml:space="preserve">.  </w:t>
      </w:r>
    </w:p>
    <w:p w:rsidR="3D6460BD" w:rsidP="68F83E28" w:rsidRDefault="1589D468" w14:paraId="51AA66D0" w14:textId="15F5FB26">
      <w:pPr>
        <w:rPr>
          <w:sz w:val="22"/>
          <w:szCs w:val="22"/>
        </w:rPr>
      </w:pPr>
      <w:r w:rsidRPr="68F83E28">
        <w:rPr>
          <w:sz w:val="22"/>
          <w:szCs w:val="22"/>
        </w:rPr>
        <w:t xml:space="preserve">To understand why participation remains lower, it is necessary to examine the barriers that restrict access to sport for children and young people with disabilities. Structural challenges, such as inaccessible facilities, inflexible rules, and a lack of adapted equipment, are often embedded in sporting environments designed around able-bodied participants (Darcy, Ollerton and Faulkner, 2020). In addition, attitudinal barriers such as negative perceptions of ability, low expectations, limited coach training, and misperceptions about safety further restrict participation and contribute to social exclusion (Darcy, Ollerton and Faulkner, 2020; Rodriguez et al., 2022; Cullen, 2024). Families also face economic constraints, with the cost of specialist equipment, transport, and additional support placing further strain and reducing sustained engagement in sport (Darcy, Ollerton and Faulkner, 2020; Rodriguez et al., 2022). Cullen (2024) notes that a lack of accessible information and support within schools and communities can discourage participation, particularly when parents perceive few suitable opportunities for their children. These barriers demonstrate that disabled children participating less in sport is not solely a result of disability, but is shaped by social, environmental, and systemic factors.   </w:t>
      </w:r>
    </w:p>
    <w:p w:rsidR="3D6460BD" w:rsidP="68F83E28" w:rsidRDefault="1589D468" w14:paraId="59C9D4BE" w14:textId="1642A9EE">
      <w:pPr>
        <w:rPr>
          <w:sz w:val="22"/>
          <w:szCs w:val="22"/>
        </w:rPr>
      </w:pPr>
      <w:r w:rsidRPr="68F83E28">
        <w:rPr>
          <w:sz w:val="22"/>
          <w:szCs w:val="22"/>
        </w:rPr>
        <w:t xml:space="preserve">  </w:t>
      </w:r>
    </w:p>
    <w:p w:rsidR="3D6460BD" w:rsidP="68F83E28" w:rsidRDefault="1589D468" w14:paraId="2DE6BD9C" w14:textId="1BB55FD4">
      <w:pPr>
        <w:rPr>
          <w:sz w:val="22"/>
          <w:szCs w:val="22"/>
        </w:rPr>
      </w:pPr>
      <w:r w:rsidRPr="5EA5A894" w:rsidR="1589D468">
        <w:rPr>
          <w:sz w:val="22"/>
          <w:szCs w:val="22"/>
        </w:rPr>
        <w:t xml:space="preserve">Despite evidence highlighting barriers to sports participation, inclusive initiatives and targeted programmes suggest that opportunities for children with disabilities have expanded. At a community level, organisations such as the Pembrokeshire Special Needs Gymnastics Club offer inclusive sporting opportunities for children and young people with disabilities, </w:t>
      </w:r>
      <w:r w:rsidRPr="5EA5A894" w:rsidR="1589D468">
        <w:rPr>
          <w:sz w:val="22"/>
          <w:szCs w:val="22"/>
        </w:rPr>
        <w:t>demonstrating</w:t>
      </w:r>
      <w:r w:rsidRPr="5EA5A894" w:rsidR="1589D468">
        <w:rPr>
          <w:sz w:val="22"/>
          <w:szCs w:val="22"/>
        </w:rPr>
        <w:t xml:space="preserve"> efforts to reduce participation barriers within local sporting contexts (Charity Commission, 2023). At a national level, The Football Association offers structured representation routes for various impairment-specific formats, including amputee football, blind and partially sighted football, deaf football, cerebral palsy football, and powerchair football (Association, n.d.). These initiatives highlight efforts to expand access to competitive football for individuals with disabilities, reflecting a growing recognition of the need for inclusive and adapted sporting opportunities. Similarly, inclusive initiatives such as the Special Olympics Unified Sports programme provide evidence of efforts to reduce barriers to sports participation for children and young people with disabilities. By integrating young people with and without intellectual disabilities within the same teams, Unified Sports promotes inclusive training and competition environments to </w:t>
      </w:r>
      <w:r w:rsidRPr="5EA5A894" w:rsidR="1A3F975B">
        <w:rPr>
          <w:sz w:val="22"/>
          <w:szCs w:val="22"/>
        </w:rPr>
        <w:t>encourage</w:t>
      </w:r>
      <w:r w:rsidRPr="5EA5A894" w:rsidR="1589D468">
        <w:rPr>
          <w:sz w:val="22"/>
          <w:szCs w:val="22"/>
        </w:rPr>
        <w:t xml:space="preserve"> </w:t>
      </w:r>
      <w:r w:rsidRPr="5EA5A894" w:rsidR="1589D468">
        <w:rPr>
          <w:sz w:val="22"/>
          <w:szCs w:val="22"/>
        </w:rPr>
        <w:t xml:space="preserve">social inclusion and reduce stigma. With participation involving over one million individuals worldwide, the programme highlights the potential of inclusive sporting models to improve access and engagement for children with disabilities. However, while this initiative </w:t>
      </w:r>
      <w:r w:rsidRPr="5EA5A894" w:rsidR="1589D468">
        <w:rPr>
          <w:sz w:val="22"/>
          <w:szCs w:val="22"/>
        </w:rPr>
        <w:t>demonstrates</w:t>
      </w:r>
      <w:r w:rsidRPr="5EA5A894" w:rsidR="1589D468">
        <w:rPr>
          <w:sz w:val="22"/>
          <w:szCs w:val="22"/>
        </w:rPr>
        <w:t xml:space="preserve"> progress in addressing social barriers, its reliance on school and community uptake reinforces the persistence of structural inequalities in access (Special Olympics, 2018). While these examples </w:t>
      </w:r>
      <w:r w:rsidRPr="5EA5A894" w:rsidR="1589D468">
        <w:rPr>
          <w:sz w:val="22"/>
          <w:szCs w:val="22"/>
        </w:rPr>
        <w:t>indicate</w:t>
      </w:r>
      <w:r w:rsidRPr="5EA5A894" w:rsidR="1589D468">
        <w:rPr>
          <w:sz w:val="22"/>
          <w:szCs w:val="22"/>
        </w:rPr>
        <w:t xml:space="preserve"> positive developments, access to programmes is often dependent on geographical location, </w:t>
      </w:r>
      <w:r w:rsidRPr="5EA5A894" w:rsidR="1589D468">
        <w:rPr>
          <w:sz w:val="22"/>
          <w:szCs w:val="22"/>
        </w:rPr>
        <w:t>funding</w:t>
      </w:r>
      <w:r w:rsidRPr="5EA5A894" w:rsidR="1589D468">
        <w:rPr>
          <w:sz w:val="22"/>
          <w:szCs w:val="22"/>
        </w:rPr>
        <w:t xml:space="preserve"> and awareness. As a result, these initiatives do not fully mitigate the barriers faced by many disabled children. Instead, they show that inclusive strategies can reduce participation barriers</w:t>
      </w:r>
      <w:r w:rsidRPr="5EA5A894" w:rsidR="1589D468">
        <w:rPr>
          <w:sz w:val="22"/>
          <w:szCs w:val="22"/>
        </w:rPr>
        <w:t xml:space="preserve">.  </w:t>
      </w:r>
    </w:p>
    <w:p w:rsidR="3D6460BD" w:rsidP="68F83E28" w:rsidRDefault="1589D468" w14:paraId="3AA91682" w14:textId="002349F1">
      <w:pPr>
        <w:rPr>
          <w:sz w:val="22"/>
          <w:szCs w:val="22"/>
        </w:rPr>
      </w:pPr>
      <w:r w:rsidRPr="5EA5A894" w:rsidR="1589D468">
        <w:rPr>
          <w:sz w:val="22"/>
          <w:szCs w:val="22"/>
        </w:rPr>
        <w:t xml:space="preserve">In conclusion, the findings illustrate that children and young people with disabilities face greater barriers to sports participation than their non-disabled peers. Lower participation rates across school and community settings reflect structural, attitudinal, and economic barriers embedded within sporting environments. While inclusive initiatives and targeted programmes have created opportunities, evidence suggests that access </w:t>
      </w:r>
      <w:r w:rsidRPr="5EA5A894" w:rsidR="1589D468">
        <w:rPr>
          <w:sz w:val="22"/>
          <w:szCs w:val="22"/>
        </w:rPr>
        <w:t>remains</w:t>
      </w:r>
      <w:r w:rsidRPr="5EA5A894" w:rsidR="1589D468">
        <w:rPr>
          <w:sz w:val="22"/>
          <w:szCs w:val="22"/>
        </w:rPr>
        <w:t xml:space="preserve"> inconsistent, shaped by factors such as geography, funding, and institutional support. Addressing these inequalities requires a coordinated, widespread approach, as sustained improvements in participation </w:t>
      </w:r>
      <w:r w:rsidRPr="5EA5A894" w:rsidR="5B004CE4">
        <w:rPr>
          <w:sz w:val="22"/>
          <w:szCs w:val="22"/>
        </w:rPr>
        <w:t>can</w:t>
      </w:r>
      <w:r w:rsidRPr="5EA5A894" w:rsidR="1589D468">
        <w:rPr>
          <w:sz w:val="22"/>
          <w:szCs w:val="22"/>
        </w:rPr>
        <w:t xml:space="preserve"> only be achieved through systemic change rather than isolated or short-term interventions. This includes making facilities accessible, providing disability-inclusive training for coaches and educators, and offering inclusive sport opportunities within mainstream clubs and teams. Together, these measures will help ensure </w:t>
      </w:r>
      <w:r w:rsidRPr="5EA5A894" w:rsidR="1589D468">
        <w:rPr>
          <w:sz w:val="22"/>
          <w:szCs w:val="22"/>
        </w:rPr>
        <w:t>equitable</w:t>
      </w:r>
      <w:r w:rsidRPr="5EA5A894" w:rsidR="1589D468">
        <w:rPr>
          <w:sz w:val="22"/>
          <w:szCs w:val="22"/>
        </w:rPr>
        <w:t xml:space="preserve"> access for all children with disabilities.</w:t>
      </w:r>
    </w:p>
    <w:p w:rsidR="5EA5A894" w:rsidP="5EA5A894" w:rsidRDefault="5EA5A894" w14:paraId="37483F99" w14:textId="74248858">
      <w:pPr>
        <w:pStyle w:val="Normal"/>
        <w:rPr>
          <w:sz w:val="22"/>
          <w:szCs w:val="22"/>
        </w:rPr>
      </w:pPr>
    </w:p>
    <w:p w:rsidR="3D6460BD" w:rsidP="5EA5A894" w:rsidRDefault="3D6460BD" w14:paraId="62D70EF7" w14:textId="03975124">
      <w:pPr>
        <w:pStyle w:val="Normal"/>
        <w:rPr>
          <w:sz w:val="22"/>
          <w:szCs w:val="22"/>
        </w:rPr>
      </w:pPr>
      <w:r w:rsidRPr="5EA5A894" w:rsidR="3D6460BD">
        <w:rPr>
          <w:sz w:val="22"/>
          <w:szCs w:val="22"/>
        </w:rPr>
        <w:t xml:space="preserve">References: </w:t>
      </w:r>
    </w:p>
    <w:p w:rsidR="00F52369" w:rsidP="68F83E28" w:rsidRDefault="00F52369" w14:paraId="7406C4E8" w14:textId="5EED92F6">
      <w:pPr>
        <w:rPr>
          <w:sz w:val="22"/>
          <w:szCs w:val="22"/>
        </w:rPr>
      </w:pPr>
      <w:r w:rsidRPr="5EA5A894" w:rsidR="009F7730">
        <w:rPr>
          <w:sz w:val="22"/>
          <w:szCs w:val="22"/>
        </w:rPr>
        <w:t>‌</w:t>
      </w:r>
      <w:r w:rsidRPr="5EA5A894" w:rsidR="00F52369">
        <w:rPr>
          <w:sz w:val="22"/>
          <w:szCs w:val="22"/>
        </w:rPr>
        <w:t xml:space="preserve">Assis, I.S., Evandro Cassiano </w:t>
      </w:r>
      <w:r w:rsidRPr="5EA5A894" w:rsidR="00F52369">
        <w:rPr>
          <w:sz w:val="22"/>
          <w:szCs w:val="22"/>
        </w:rPr>
        <w:t>Lázari</w:t>
      </w:r>
      <w:r w:rsidRPr="5EA5A894" w:rsidR="00F52369">
        <w:rPr>
          <w:sz w:val="22"/>
          <w:szCs w:val="22"/>
        </w:rPr>
        <w:t xml:space="preserve">, Barreira, J., Palma, B.P. and </w:t>
      </w:r>
      <w:r w:rsidRPr="5EA5A894" w:rsidR="00F52369">
        <w:rPr>
          <w:sz w:val="22"/>
          <w:szCs w:val="22"/>
        </w:rPr>
        <w:t>Galatti</w:t>
      </w:r>
      <w:r w:rsidRPr="5EA5A894" w:rsidR="00F52369">
        <w:rPr>
          <w:sz w:val="22"/>
          <w:szCs w:val="22"/>
        </w:rPr>
        <w:t xml:space="preserve">, L.R. (2024). Athletics is still a male-dominated sport: the underrepresentation of women as athletes, coaches, and referees in Brazil. </w:t>
      </w:r>
      <w:r w:rsidRPr="5EA5A894" w:rsidR="00F52369">
        <w:rPr>
          <w:sz w:val="22"/>
          <w:szCs w:val="22"/>
        </w:rPr>
        <w:t>Retos</w:t>
      </w:r>
      <w:r w:rsidRPr="5EA5A894" w:rsidR="00F52369">
        <w:rPr>
          <w:sz w:val="22"/>
          <w:szCs w:val="22"/>
        </w:rPr>
        <w:t xml:space="preserve">, [online] 58, pp.872–879. </w:t>
      </w:r>
      <w:r w:rsidRPr="5EA5A894" w:rsidR="00F52369">
        <w:rPr>
          <w:sz w:val="22"/>
          <w:szCs w:val="22"/>
        </w:rPr>
        <w:t>doi:https</w:t>
      </w:r>
      <w:r w:rsidRPr="5EA5A894" w:rsidR="00F52369">
        <w:rPr>
          <w:sz w:val="22"/>
          <w:szCs w:val="22"/>
        </w:rPr>
        <w:t>://doi.org/10.47197/retos.v58.106067.</w:t>
      </w:r>
    </w:p>
    <w:p w:rsidR="00F52369" w:rsidP="68F83E28" w:rsidRDefault="00F52369" w14:paraId="42BCE1C8" w14:textId="77777777">
      <w:r w:rsidRPr="68F83E28">
        <w:rPr>
          <w:sz w:val="22"/>
          <w:szCs w:val="22"/>
        </w:rPr>
        <w:t xml:space="preserve">‌Association, T.F. (n.d.). Para Lions. [online] https://www.englandfootball.com. Available at: https://www.englandfootball.com/england/para. </w:t>
      </w:r>
    </w:p>
    <w:p w:rsidR="00F52369" w:rsidP="68F83E28" w:rsidRDefault="00F52369" w14:paraId="632E85E7" w14:textId="77777777">
      <w:r w:rsidRPr="5EA5A894" w:rsidR="00F52369">
        <w:rPr>
          <w:sz w:val="22"/>
          <w:szCs w:val="22"/>
        </w:rPr>
        <w:t xml:space="preserve">Brown, C. and </w:t>
      </w:r>
      <w:r w:rsidRPr="5EA5A894" w:rsidR="00F52369">
        <w:rPr>
          <w:sz w:val="22"/>
          <w:szCs w:val="22"/>
        </w:rPr>
        <w:t>Pappous</w:t>
      </w:r>
      <w:r w:rsidRPr="5EA5A894" w:rsidR="00F52369">
        <w:rPr>
          <w:sz w:val="22"/>
          <w:szCs w:val="22"/>
        </w:rPr>
        <w:t xml:space="preserve">, A. (Sakis) (2020). Are mega-events a solution to address physical inactivity? Interrogating the London 2012 Paralympic sport participation legacies among people with disabilities. European Journal for Sport and Society, pp.1–26. </w:t>
      </w:r>
      <w:r w:rsidRPr="5EA5A894" w:rsidR="00F52369">
        <w:rPr>
          <w:sz w:val="22"/>
          <w:szCs w:val="22"/>
        </w:rPr>
        <w:t>doi:https</w:t>
      </w:r>
      <w:r w:rsidRPr="5EA5A894" w:rsidR="00F52369">
        <w:rPr>
          <w:sz w:val="22"/>
          <w:szCs w:val="22"/>
        </w:rPr>
        <w:t xml:space="preserve">://doi.org/10.1080/16138171.2020.1792112. </w:t>
      </w:r>
    </w:p>
    <w:p w:rsidR="00F52369" w:rsidP="5EA5A894" w:rsidRDefault="00F52369" w14:paraId="6485BDA5" w14:textId="0B82A319">
      <w:pPr>
        <w:rPr>
          <w:sz w:val="22"/>
          <w:szCs w:val="22"/>
        </w:rPr>
      </w:pPr>
      <w:r w:rsidRPr="5EA5A894" w:rsidR="6D9C7364">
        <w:rPr>
          <w:sz w:val="22"/>
          <w:szCs w:val="22"/>
        </w:rPr>
        <w:t>Coleman, L., Cox, L. and Roker, D. (2007). Girls and young women’s participation in physical activity: psychological and social influences. Health Education Research, 23(4), pp.633–647. doi:https://doi.org/10.1093/her/cym040.</w:t>
      </w:r>
    </w:p>
    <w:p w:rsidR="00F52369" w:rsidP="5EA5A894" w:rsidRDefault="00F52369" w14:paraId="0AD3DD5E" w14:textId="06E46B20">
      <w:pPr>
        <w:pStyle w:val="Normal"/>
        <w:rPr>
          <w:sz w:val="22"/>
          <w:szCs w:val="22"/>
        </w:rPr>
      </w:pPr>
      <w:r w:rsidRPr="5EA5A894" w:rsidR="00F52369">
        <w:rPr>
          <w:sz w:val="22"/>
          <w:szCs w:val="22"/>
        </w:rPr>
        <w:t xml:space="preserve">Cullen, B. (2024). S09 Exploring the sport and physical activity experiences of people with disabilities and members of the LGBTQ+ community in Ireland: Breaking down barriers, building new relationships. European Journal of Public Health, 34(Supplement_2). </w:t>
      </w:r>
      <w:r w:rsidRPr="5EA5A894" w:rsidR="00F52369">
        <w:rPr>
          <w:sz w:val="22"/>
          <w:szCs w:val="22"/>
        </w:rPr>
        <w:t>doi:https</w:t>
      </w:r>
      <w:r w:rsidRPr="5EA5A894" w:rsidR="00F52369">
        <w:rPr>
          <w:sz w:val="22"/>
          <w:szCs w:val="22"/>
        </w:rPr>
        <w:t>://doi.org/10.1093/</w:t>
      </w:r>
      <w:r w:rsidRPr="5EA5A894" w:rsidR="00F52369">
        <w:rPr>
          <w:sz w:val="22"/>
          <w:szCs w:val="22"/>
        </w:rPr>
        <w:t>eurpub</w:t>
      </w:r>
      <w:r w:rsidRPr="5EA5A894" w:rsidR="00F52369">
        <w:rPr>
          <w:sz w:val="22"/>
          <w:szCs w:val="22"/>
        </w:rPr>
        <w:t xml:space="preserve">/ckae114.235. </w:t>
      </w:r>
    </w:p>
    <w:p w:rsidR="00F52369" w:rsidP="68F83E28" w:rsidRDefault="00F52369" w14:paraId="7CE00895" w14:textId="77777777">
      <w:r w:rsidRPr="68F83E28">
        <w:rPr>
          <w:sz w:val="22"/>
          <w:szCs w:val="22"/>
        </w:rPr>
        <w:t xml:space="preserve">Darcy, S., Ollerton, J. and Faulkner, S. (2020). ‘Why Can’t I Play?’: Transdisciplinary Learnings for Children with Disability’s Sport Participation. Social Inclusion, 8(3), pp.209–223. doi:https://doi.org/10.17645/si.v8i3.2750. </w:t>
      </w:r>
    </w:p>
    <w:p w:rsidR="00F52369" w:rsidP="1961BF77" w:rsidRDefault="00F52369" w14:paraId="39B62721" w14:textId="77777777">
      <w:r w:rsidRPr="1961BF77">
        <w:rPr>
          <w:sz w:val="22"/>
          <w:szCs w:val="22"/>
        </w:rPr>
        <w:t>‌Foley, B.C., Rose, C., Owen, K.B. and Reece, L.J. (2021). Linking sports registration information and player feedback to enhance netball participation. BMC Sports Science, Medicine and Rehabilitation, 13(1). doi:https://doi.org/10.1186/s13102-021-00286-0.</w:t>
      </w:r>
    </w:p>
    <w:p w:rsidR="00F52369" w:rsidP="1961BF77" w:rsidRDefault="00F52369" w14:paraId="1C07DF27" w14:textId="77777777">
      <w:pPr>
        <w:rPr>
          <w:sz w:val="22"/>
          <w:szCs w:val="22"/>
        </w:rPr>
      </w:pPr>
      <w:r w:rsidRPr="1961BF77">
        <w:rPr>
          <w:sz w:val="22"/>
          <w:szCs w:val="22"/>
        </w:rPr>
        <w:t>for, S. (2024). National Survey for Wales 2024 -25 - Sport Wales. [online] Sport Wales. Available at: https://www.sport.wales/research-and-insight/sport-active-lifestyles-state-of-the-nation-report/nsw-2024-25/.</w:t>
      </w:r>
    </w:p>
    <w:p w:rsidR="00F52369" w:rsidP="68F83E28" w:rsidRDefault="00F52369" w14:paraId="75089D8D" w14:textId="77777777">
      <w:r w:rsidRPr="68F83E28">
        <w:rPr>
          <w:sz w:val="22"/>
          <w:szCs w:val="22"/>
        </w:rPr>
        <w:t xml:space="preserve">‌prd-ds-register-of-charities.charitycommission.gov.uk. (2023). PEMBROKESHIRE SPECIAL NEEDS GYMNASTICS CLUB - Charity 1123536. [online] Available at: https://register-of-charities.charitycommission.gov.uk/en/charity-search/-/charity-details/4037384/charity-overview?_uk_gov_ccew_onereg_charitydetails_web_portlet_CharityDetailsPortlet_organisationNumber=4037384. </w:t>
      </w:r>
    </w:p>
    <w:p w:rsidR="00F52369" w:rsidP="68F83E28" w:rsidRDefault="00F52369" w14:paraId="669127E0" w14:textId="77777777">
      <w:r w:rsidRPr="68F83E28">
        <w:rPr>
          <w:sz w:val="22"/>
          <w:szCs w:val="22"/>
        </w:rPr>
        <w:t xml:space="preserve">‌Rodriquez, J., Lanser, A., Jacobs, H.E., Smith, A. and Ganguly, S. (2022). When the Normative Is Formative: Parents’ Perceptions of the Impacts of Inclusive Sports Programs. International Journal of Environmental Research and Public Health, 19(17), p.10889. doi:https://doi.org/10.3390/ijerph191710889. </w:t>
      </w:r>
    </w:p>
    <w:p w:rsidR="00F52369" w:rsidP="1961BF77" w:rsidRDefault="00F52369" w14:paraId="69B3ADBD" w14:textId="77777777">
      <w:pPr>
        <w:rPr>
          <w:sz w:val="22"/>
          <w:szCs w:val="22"/>
        </w:rPr>
      </w:pPr>
      <w:r w:rsidRPr="1961BF77">
        <w:rPr>
          <w:sz w:val="22"/>
          <w:szCs w:val="22"/>
        </w:rPr>
        <w:t xml:space="preserve">Rugby Football Union. (2023). RFU Annual Report 2023/24 published | Rugby Football Union. [online] Available at: </w:t>
      </w:r>
      <w:bookmarkStart w:name="_Int_xl9QF8uS" w:id="0"/>
      <w:r w:rsidRPr="1961BF77">
        <w:rPr>
          <w:sz w:val="22"/>
          <w:szCs w:val="22"/>
        </w:rPr>
        <w:t>https://www.englandrugby.com/follow/news-media/rfu-annual-report-202324-published?.</w:t>
      </w:r>
      <w:bookmarkEnd w:id="0"/>
    </w:p>
    <w:p w:rsidR="00F52369" w:rsidP="1961BF77" w:rsidRDefault="00F52369" w14:paraId="2D1D250C" w14:textId="77777777">
      <w:r w:rsidRPr="1961BF77">
        <w:rPr>
          <w:sz w:val="22"/>
          <w:szCs w:val="22"/>
        </w:rPr>
        <w:t>‌Schrader, M., Wieprecht, J., Vitale, F.M., Manai, S.K., Shamas, S., Müller, M., Baethmann, M., Tengler, A., Riley, R., Guido Mandilaras, Haas, N.A. and Gomes, D. (2025). Sex-Specific Physical Activity and Weight Status in German Schoolchildren: Interim Results from the Hand on Heart Study. Children, [online] 12(4), pp.412–412. doi:https://doi.org/10.3390/children12040412.</w:t>
      </w:r>
    </w:p>
    <w:p w:rsidR="00F52369" w:rsidP="68F83E28" w:rsidRDefault="00F52369" w14:paraId="5222FABA" w14:textId="77777777">
      <w:r w:rsidRPr="68F83E28">
        <w:rPr>
          <w:sz w:val="22"/>
          <w:szCs w:val="22"/>
        </w:rPr>
        <w:t xml:space="preserve">‌Special Olympics (2018). Unified Sports. [online] SpecialOlympics.org. Available at: https://www.specialolympics.org/what-we-do/sports/unified-sports. </w:t>
      </w:r>
    </w:p>
    <w:p w:rsidR="00F52369" w:rsidP="68F83E28" w:rsidRDefault="00F52369" w14:paraId="22F98258" w14:textId="77777777">
      <w:r w:rsidRPr="68F83E28">
        <w:rPr>
          <w:sz w:val="22"/>
          <w:szCs w:val="22"/>
        </w:rPr>
        <w:t xml:space="preserve">Sport England (2024). Why moving matters. [online] Sport England. Available at: https://www.sportengland.org/about-us/uniting-movement/why-moving-matters. </w:t>
      </w:r>
    </w:p>
    <w:p w:rsidR="00F52369" w:rsidP="1961BF77" w:rsidRDefault="00F52369" w14:paraId="590A3C77" w14:textId="77777777">
      <w:r w:rsidRPr="1961BF77">
        <w:rPr>
          <w:sz w:val="22"/>
          <w:szCs w:val="22"/>
        </w:rPr>
        <w:t>‌Telford, R.M., Telford, R.D., Olive, L.S., Cochrane, T. and Davey, R. (2016). Why Are Girls Less Physically Active than Boys? Findings from the LOOK Longitudinal Study. PLOS ONE, [online] 11(3). doi:https://doi.org/10.1371/journal.pone.0150041.</w:t>
      </w:r>
    </w:p>
    <w:p w:rsidR="00F52369" w:rsidP="1961BF77" w:rsidRDefault="00F52369" w14:paraId="78BE7A8B" w14:textId="77777777">
      <w:r w:rsidRPr="1961BF77">
        <w:rPr>
          <w:sz w:val="22"/>
          <w:szCs w:val="22"/>
        </w:rPr>
        <w:t>‌The Football Association (2023). Kicking down Barriers. [online] www.thefa.com. Available at: https://www.thefa.com/womens-girls-football/heritage/kicking-down-barriers.</w:t>
      </w:r>
    </w:p>
    <w:p w:rsidR="00F52369" w:rsidP="1961BF77" w:rsidRDefault="00F52369" w14:paraId="3E70141E" w14:textId="77777777">
      <w:r w:rsidRPr="1961BF77">
        <w:rPr>
          <w:sz w:val="22"/>
          <w:szCs w:val="22"/>
        </w:rPr>
        <w:t>‌Wales, B. by G. | S. (2022). Breakdown by Gender. [online] Sport Wales. Available at: https://www.sport.wales/research-and-insight/school-sport-survey/breakdown-demographics/gender/.</w:t>
      </w:r>
    </w:p>
    <w:p w:rsidR="00F52369" w:rsidP="1961BF77" w:rsidRDefault="00F52369" w14:paraId="6CC092D8" w14:textId="77777777">
      <w:r w:rsidRPr="156088A7">
        <w:rPr>
          <w:sz w:val="22"/>
          <w:szCs w:val="22"/>
        </w:rPr>
        <w:t>Wales</w:t>
      </w:r>
      <w:r w:rsidRPr="68F83E28">
        <w:rPr>
          <w:sz w:val="22"/>
          <w:szCs w:val="22"/>
        </w:rPr>
        <w:t xml:space="preserve">, S.S.S. | S. (2022). School Sport Survey. [online] Sport Wales. Available at: https://www.sport.wales/research-and-insight/school-sport-survey/. </w:t>
      </w:r>
    </w:p>
    <w:p w:rsidR="00F52369" w:rsidP="1961BF77" w:rsidRDefault="00F52369" w14:paraId="32CE6167" w14:textId="77777777">
      <w:pPr>
        <w:rPr>
          <w:sz w:val="22"/>
          <w:szCs w:val="22"/>
        </w:rPr>
      </w:pPr>
      <w:r w:rsidRPr="1961BF77">
        <w:rPr>
          <w:sz w:val="22"/>
          <w:szCs w:val="22"/>
        </w:rPr>
        <w:t>Wales, S.S.S. | S. (2022). School Sport Survey. [online] Sport Wales. Available at: https://www.sport.wales/research-and-insight/school-sport-survey/.</w:t>
      </w:r>
    </w:p>
    <w:p w:rsidR="7261405C" w:rsidP="68F83E28" w:rsidRDefault="44EE130A" w14:paraId="31264E2A" w14:textId="11F1EECD">
      <w:r w:rsidRPr="68F83E28">
        <w:rPr>
          <w:sz w:val="22"/>
          <w:szCs w:val="22"/>
        </w:rPr>
        <w:t>‌</w:t>
      </w:r>
    </w:p>
    <w:p w:rsidR="1961BF77" w:rsidP="1961BF77" w:rsidRDefault="1961BF77" w14:paraId="1BC1BD4B" w14:textId="5B179D8A">
      <w:pPr>
        <w:rPr>
          <w:sz w:val="22"/>
          <w:szCs w:val="22"/>
        </w:rPr>
      </w:pPr>
    </w:p>
    <w:p w:rsidR="1961BF77" w:rsidP="1961BF77" w:rsidRDefault="1961BF77" w14:paraId="16CB37C8" w14:textId="707F7AB8">
      <w:pPr>
        <w:rPr>
          <w:sz w:val="22"/>
          <w:szCs w:val="22"/>
        </w:rPr>
      </w:pPr>
    </w:p>
    <w:p w:rsidR="1961BF77" w:rsidP="1961BF77" w:rsidRDefault="1961BF77" w14:paraId="372349F3" w14:textId="06022478">
      <w:pPr>
        <w:rPr>
          <w:sz w:val="22"/>
          <w:szCs w:val="22"/>
        </w:rPr>
      </w:pPr>
    </w:p>
    <w:p w:rsidR="1961BF77" w:rsidP="1961BF77" w:rsidRDefault="1961BF77" w14:paraId="378C3A60" w14:textId="6B5E9F8F">
      <w:pPr>
        <w:rPr>
          <w:sz w:val="22"/>
          <w:szCs w:val="22"/>
        </w:rPr>
      </w:pPr>
    </w:p>
    <w:p w:rsidR="6D631B00" w:rsidP="1961BF77" w:rsidRDefault="6D631B00" w14:paraId="27BDF2F6" w14:textId="123B9491">
      <w:r w:rsidRPr="1961BF77">
        <w:rPr>
          <w:sz w:val="22"/>
          <w:szCs w:val="22"/>
        </w:rPr>
        <w:t>‌</w:t>
      </w:r>
    </w:p>
    <w:p w:rsidR="1961BF77" w:rsidP="1961BF77" w:rsidRDefault="1961BF77" w14:paraId="224DD40D" w14:textId="0EACFFBE">
      <w:pPr>
        <w:rPr>
          <w:sz w:val="22"/>
          <w:szCs w:val="22"/>
        </w:rPr>
      </w:pPr>
    </w:p>
    <w:p w:rsidR="1961BF77" w:rsidP="1961BF77" w:rsidRDefault="1961BF77" w14:paraId="4E25F7E6" w14:textId="5C6EBB37">
      <w:pPr>
        <w:rPr>
          <w:sz w:val="22"/>
          <w:szCs w:val="22"/>
        </w:rPr>
      </w:pPr>
    </w:p>
    <w:p w:rsidR="1961BF77" w:rsidP="1961BF77" w:rsidRDefault="1961BF77" w14:paraId="5872EB02" w14:textId="06DF2384">
      <w:pPr>
        <w:rPr>
          <w:sz w:val="22"/>
          <w:szCs w:val="22"/>
        </w:rPr>
      </w:pPr>
    </w:p>
    <w:p w:rsidR="4B81D140" w:rsidP="1961BF77" w:rsidRDefault="4B81D140" w14:paraId="0FA009A8" w14:textId="6DB37B1A">
      <w:r w:rsidRPr="1961BF77">
        <w:rPr>
          <w:sz w:val="22"/>
          <w:szCs w:val="22"/>
        </w:rPr>
        <w:t>‌</w:t>
      </w:r>
    </w:p>
    <w:p w:rsidR="1961BF77" w:rsidP="1961BF77" w:rsidRDefault="1961BF77" w14:paraId="6AB47007" w14:textId="51E2A8B0">
      <w:pPr>
        <w:rPr>
          <w:sz w:val="22"/>
          <w:szCs w:val="22"/>
        </w:rPr>
      </w:pPr>
    </w:p>
    <w:sectPr w:rsidR="1961BF7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31B841"/>
    <w:rsid w:val="0015D611"/>
    <w:rsid w:val="00174C9A"/>
    <w:rsid w:val="002E31D6"/>
    <w:rsid w:val="00423920"/>
    <w:rsid w:val="00797ECF"/>
    <w:rsid w:val="007C0E19"/>
    <w:rsid w:val="009508AE"/>
    <w:rsid w:val="00970E3C"/>
    <w:rsid w:val="009F7730"/>
    <w:rsid w:val="00AA7990"/>
    <w:rsid w:val="00AA9068"/>
    <w:rsid w:val="00B7088A"/>
    <w:rsid w:val="00B96363"/>
    <w:rsid w:val="00BB3AA8"/>
    <w:rsid w:val="00E55B9B"/>
    <w:rsid w:val="00EC61B0"/>
    <w:rsid w:val="00F52369"/>
    <w:rsid w:val="013D0487"/>
    <w:rsid w:val="0188006D"/>
    <w:rsid w:val="02204D49"/>
    <w:rsid w:val="02E2E4A3"/>
    <w:rsid w:val="04506AEC"/>
    <w:rsid w:val="05720CAE"/>
    <w:rsid w:val="06B1783B"/>
    <w:rsid w:val="07144F68"/>
    <w:rsid w:val="0768BF13"/>
    <w:rsid w:val="080C4C7E"/>
    <w:rsid w:val="0918A24A"/>
    <w:rsid w:val="0933B2C5"/>
    <w:rsid w:val="09C00789"/>
    <w:rsid w:val="09ECAD34"/>
    <w:rsid w:val="0BC56E31"/>
    <w:rsid w:val="0DA8EA1E"/>
    <w:rsid w:val="0EA03A78"/>
    <w:rsid w:val="0F56D5B1"/>
    <w:rsid w:val="1103AB49"/>
    <w:rsid w:val="11743907"/>
    <w:rsid w:val="1318B9D9"/>
    <w:rsid w:val="156088A7"/>
    <w:rsid w:val="1589D468"/>
    <w:rsid w:val="15AF8762"/>
    <w:rsid w:val="15EEFE9A"/>
    <w:rsid w:val="1671093D"/>
    <w:rsid w:val="17C39FE7"/>
    <w:rsid w:val="18B5D2A1"/>
    <w:rsid w:val="1961BF77"/>
    <w:rsid w:val="1A102FED"/>
    <w:rsid w:val="1A3F975B"/>
    <w:rsid w:val="1A7FD535"/>
    <w:rsid w:val="1C109F89"/>
    <w:rsid w:val="1E262B21"/>
    <w:rsid w:val="240A69F7"/>
    <w:rsid w:val="2532D80F"/>
    <w:rsid w:val="2549C5A7"/>
    <w:rsid w:val="25BF69F6"/>
    <w:rsid w:val="26E33E42"/>
    <w:rsid w:val="2708376B"/>
    <w:rsid w:val="27B964A5"/>
    <w:rsid w:val="2AE33A20"/>
    <w:rsid w:val="2B83365E"/>
    <w:rsid w:val="2CB4228C"/>
    <w:rsid w:val="2CBF9967"/>
    <w:rsid w:val="2E292D13"/>
    <w:rsid w:val="2E8708A2"/>
    <w:rsid w:val="319124ED"/>
    <w:rsid w:val="3244E262"/>
    <w:rsid w:val="32DF40FC"/>
    <w:rsid w:val="36D5C5AF"/>
    <w:rsid w:val="3705F6CA"/>
    <w:rsid w:val="373E1E97"/>
    <w:rsid w:val="3906FFEF"/>
    <w:rsid w:val="39FEB50A"/>
    <w:rsid w:val="3BE22889"/>
    <w:rsid w:val="3D6460BD"/>
    <w:rsid w:val="3DDAA973"/>
    <w:rsid w:val="3E4CDED2"/>
    <w:rsid w:val="3E79D002"/>
    <w:rsid w:val="3EB590CF"/>
    <w:rsid w:val="3FCEFFFF"/>
    <w:rsid w:val="40FF365E"/>
    <w:rsid w:val="41861452"/>
    <w:rsid w:val="41AA005F"/>
    <w:rsid w:val="41EF37AE"/>
    <w:rsid w:val="425523D0"/>
    <w:rsid w:val="43096EC1"/>
    <w:rsid w:val="44BEA59C"/>
    <w:rsid w:val="44EE130A"/>
    <w:rsid w:val="461F2791"/>
    <w:rsid w:val="48E4C094"/>
    <w:rsid w:val="4AE7B890"/>
    <w:rsid w:val="4B81D140"/>
    <w:rsid w:val="4BDC8F14"/>
    <w:rsid w:val="4FA98451"/>
    <w:rsid w:val="4FCC5950"/>
    <w:rsid w:val="51741FCB"/>
    <w:rsid w:val="51823726"/>
    <w:rsid w:val="519E1AD4"/>
    <w:rsid w:val="554A8896"/>
    <w:rsid w:val="55EAD1BB"/>
    <w:rsid w:val="58A30B59"/>
    <w:rsid w:val="58DA091A"/>
    <w:rsid w:val="591EA56F"/>
    <w:rsid w:val="5B004CE4"/>
    <w:rsid w:val="5B338925"/>
    <w:rsid w:val="5BD21437"/>
    <w:rsid w:val="5DCA0029"/>
    <w:rsid w:val="5EA5A894"/>
    <w:rsid w:val="5F1A645E"/>
    <w:rsid w:val="5FEFB0B1"/>
    <w:rsid w:val="62F36AEA"/>
    <w:rsid w:val="6339B149"/>
    <w:rsid w:val="63A02AE7"/>
    <w:rsid w:val="65315DC1"/>
    <w:rsid w:val="68F83E28"/>
    <w:rsid w:val="69037B69"/>
    <w:rsid w:val="6A714534"/>
    <w:rsid w:val="6AA681DE"/>
    <w:rsid w:val="6BC1A235"/>
    <w:rsid w:val="6D631B00"/>
    <w:rsid w:val="6D9C7364"/>
    <w:rsid w:val="6DA3ADC3"/>
    <w:rsid w:val="6DD5F85F"/>
    <w:rsid w:val="6E090340"/>
    <w:rsid w:val="6E3DB8BE"/>
    <w:rsid w:val="6F5AF97C"/>
    <w:rsid w:val="6F6DD961"/>
    <w:rsid w:val="7261405C"/>
    <w:rsid w:val="74598B57"/>
    <w:rsid w:val="74CD3194"/>
    <w:rsid w:val="761FDB25"/>
    <w:rsid w:val="76661BC9"/>
    <w:rsid w:val="7818E209"/>
    <w:rsid w:val="7B100B46"/>
    <w:rsid w:val="7BF2FD87"/>
    <w:rsid w:val="7DF28DA0"/>
    <w:rsid w:val="7E73E0EC"/>
    <w:rsid w:val="7F31B8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F31B841"/>
  <w15:chartTrackingRefBased/>
  <w15:docId w15:val="{E6456946-9043-4B40-9610-D000669F6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Freya Marshall (2517487)</dc:creator>
  <keywords/>
  <dc:description/>
  <lastModifiedBy>Freya Marshall (2517487)</lastModifiedBy>
  <revision>9</revision>
  <dcterms:created xsi:type="dcterms:W3CDTF">2026-01-10T17:55:00.0000000Z</dcterms:created>
  <dcterms:modified xsi:type="dcterms:W3CDTF">2026-01-16T22:40:54.7833391Z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e44c6280-1c4f-4d61-8ccb-5fa9eca1399f</vt:lpwstr>
  </property>
</Properties>
</file>