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0EB38" w14:textId="7B2F81E6" w:rsidR="00696636" w:rsidRPr="001A46CB" w:rsidRDefault="00000000" w:rsidP="001A46C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1A46CB">
        <w:rPr>
          <w:rFonts w:ascii="Arial" w:hAnsi="Arial" w:cs="Arial"/>
          <w:sz w:val="22"/>
          <w:szCs w:val="22"/>
          <w:lang w:val="en-GB"/>
        </w:rPr>
        <w:t>Marking Rubric for Usability Engineering Assignment 2</w:t>
      </w:r>
    </w:p>
    <w:tbl>
      <w:tblPr>
        <w:tblStyle w:val="TableGrid"/>
        <w:tblW w:w="14455" w:type="dxa"/>
        <w:tblLook w:val="04A0" w:firstRow="1" w:lastRow="0" w:firstColumn="1" w:lastColumn="0" w:noHBand="0" w:noVBand="1"/>
      </w:tblPr>
      <w:tblGrid>
        <w:gridCol w:w="1050"/>
        <w:gridCol w:w="1884"/>
        <w:gridCol w:w="1884"/>
        <w:gridCol w:w="1895"/>
        <w:gridCol w:w="1885"/>
        <w:gridCol w:w="1895"/>
        <w:gridCol w:w="1910"/>
        <w:gridCol w:w="2052"/>
      </w:tblGrid>
      <w:tr w:rsidR="004B4242" w:rsidRPr="001A46CB" w14:paraId="2D6840B8" w14:textId="77777777" w:rsidTr="004B4242">
        <w:trPr>
          <w:cantSplit/>
          <w:trHeight w:val="567"/>
        </w:trPr>
        <w:tc>
          <w:tcPr>
            <w:tcW w:w="29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6C41C9" w14:textId="76FBC7F1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STUDENT</w:t>
            </w:r>
          </w:p>
        </w:tc>
        <w:tc>
          <w:tcPr>
            <w:tcW w:w="7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6D1BE" w14:textId="4C830B3F" w:rsidR="004B4242" w:rsidRPr="001A46CB" w:rsidRDefault="00910881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Farley Staines</w:t>
            </w:r>
          </w:p>
        </w:tc>
        <w:tc>
          <w:tcPr>
            <w:tcW w:w="1910" w:type="dxa"/>
            <w:shd w:val="clear" w:color="auto" w:fill="auto"/>
            <w:vAlign w:val="center"/>
          </w:tcPr>
          <w:p w14:paraId="1C1956F1" w14:textId="6CC72078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GRADE</w:t>
            </w:r>
          </w:p>
        </w:tc>
        <w:tc>
          <w:tcPr>
            <w:tcW w:w="2052" w:type="dxa"/>
            <w:shd w:val="clear" w:color="auto" w:fill="auto"/>
            <w:vAlign w:val="center"/>
          </w:tcPr>
          <w:p w14:paraId="13292B21" w14:textId="6EC73D04" w:rsidR="004B4242" w:rsidRPr="00DA44D9" w:rsidRDefault="00581730" w:rsidP="004B4242">
            <w:pPr>
              <w:jc w:val="center"/>
              <w:rPr>
                <w:rFonts w:ascii="Arial" w:hAnsi="Arial" w:cs="Arial"/>
                <w:b/>
                <w:bCs/>
                <w:color w:val="00B050"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36"/>
                <w:szCs w:val="36"/>
                <w:lang w:val="en-GB"/>
              </w:rPr>
              <w:t>71</w:t>
            </w:r>
          </w:p>
        </w:tc>
      </w:tr>
      <w:tr w:rsidR="001A46CB" w:rsidRPr="001A46CB" w14:paraId="7FF5D768" w14:textId="77777777" w:rsidTr="004B4242">
        <w:trPr>
          <w:cantSplit/>
          <w:trHeight w:val="567"/>
        </w:trPr>
        <w:tc>
          <w:tcPr>
            <w:tcW w:w="1050" w:type="dxa"/>
            <w:shd w:val="clear" w:color="auto" w:fill="D6E3BC" w:themeFill="accent3" w:themeFillTint="66"/>
          </w:tcPr>
          <w:p w14:paraId="3FCCC160" w14:textId="77777777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84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370ADA05" w14:textId="20E64DC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2D234748" w14:textId="13080DE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6E3BC" w:themeFill="accent3" w:themeFillTint="66"/>
          </w:tcPr>
          <w:p w14:paraId="54EA7634" w14:textId="3E42860A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3D7272F8" w14:textId="365AD001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4FD0A1A4" w14:textId="20B5CC94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6AB15774" w14:textId="41C57970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85" w:type="dxa"/>
            <w:shd w:val="clear" w:color="auto" w:fill="D6E3BC" w:themeFill="accent3" w:themeFillTint="66"/>
          </w:tcPr>
          <w:p w14:paraId="5855081C" w14:textId="085B8E2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3074E24C" w14:textId="11D5F642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95" w:type="dxa"/>
            <w:shd w:val="clear" w:color="auto" w:fill="D6E3BC" w:themeFill="accent3" w:themeFillTint="66"/>
          </w:tcPr>
          <w:p w14:paraId="11C8E7BB" w14:textId="3B691D00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0F1A3955" w14:textId="5124F49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910" w:type="dxa"/>
            <w:shd w:val="clear" w:color="auto" w:fill="D6E3BC" w:themeFill="accent3" w:themeFillTint="66"/>
          </w:tcPr>
          <w:p w14:paraId="2763D948" w14:textId="4A8A50A2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7C161C6F" w14:textId="636EA95A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2052" w:type="dxa"/>
            <w:shd w:val="clear" w:color="auto" w:fill="D6E3BC" w:themeFill="accent3" w:themeFillTint="66"/>
          </w:tcPr>
          <w:p w14:paraId="0000270A" w14:textId="37442334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774DD51E" w14:textId="3C937519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1A46CB" w:rsidRPr="001A46CB" w14:paraId="48AE1CF2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1555A632" w14:textId="77777777" w:rsidR="00696636" w:rsidRPr="001A46CB" w:rsidRDefault="00000000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Full-Colour Design Storyboards (30%)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D597EB" w14:textId="77777777" w:rsidR="00696636" w:rsidRPr="001A46CB" w:rsidRDefault="00000000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colour design storyboards submitted or those provided lack functionality and clarity. Major design flaws or omissions.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A31DE59" w14:textId="777777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poorly executed, with limited functionality and minimal improvement from wireframes. Major gaps in design logic.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62BDD36" w14:textId="4A6395BB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colour storyboards provided. Some functionality and design aspects are addressed, but improvements from wireframes are limited.</w:t>
            </w:r>
          </w:p>
        </w:tc>
        <w:tc>
          <w:tcPr>
            <w:tcW w:w="1885" w:type="dxa"/>
          </w:tcPr>
          <w:p w14:paraId="0BD25B81" w14:textId="5D6A24D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clear and demonstrate significant improvement from wireframes. Interaction design theory is applied but not always consistently.</w:t>
            </w:r>
          </w:p>
        </w:tc>
        <w:tc>
          <w:tcPr>
            <w:tcW w:w="1895" w:type="dxa"/>
          </w:tcPr>
          <w:p w14:paraId="200D1325" w14:textId="1038A848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Well-designed, clear, and functional storyboards. Significant improvements from wireframes with good application of interaction design theory.</w:t>
            </w:r>
          </w:p>
        </w:tc>
        <w:tc>
          <w:tcPr>
            <w:tcW w:w="1910" w:type="dxa"/>
          </w:tcPr>
          <w:p w14:paraId="30A43D85" w14:textId="12FD98C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Highly detailed, functional storyboards showing clear and thoughtful improvements from wireframes. Strong application of interaction design theory.</w:t>
            </w:r>
          </w:p>
        </w:tc>
        <w:tc>
          <w:tcPr>
            <w:tcW w:w="2052" w:type="dxa"/>
          </w:tcPr>
          <w:p w14:paraId="27D8F14F" w14:textId="69740830" w:rsidR="00696636" w:rsidRPr="001A46CB" w:rsidRDefault="002702AE">
            <w:pPr>
              <w:rPr>
                <w:rFonts w:ascii="Arial" w:hAnsi="Arial" w:cs="Arial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09F4F6" wp14:editId="37C0F38B">
                      <wp:simplePos x="0" y="0"/>
                      <wp:positionH relativeFrom="column">
                        <wp:posOffset>-673166</wp:posOffset>
                      </wp:positionH>
                      <wp:positionV relativeFrom="paragraph">
                        <wp:posOffset>33655</wp:posOffset>
                      </wp:positionV>
                      <wp:extent cx="1201420" cy="1732915"/>
                      <wp:effectExtent l="19050" t="19050" r="36830" b="38735"/>
                      <wp:wrapNone/>
                      <wp:docPr id="200979892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20" cy="173291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ABAE62" id="Oval 1" o:spid="_x0000_s1026" style="position:absolute;margin-left:-53pt;margin-top:2.65pt;width:94.6pt;height:136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" filled="f" strokecolor="#00b050" strokeweight="4.5pt"/>
                  </w:pict>
                </mc:Fallback>
              </mc:AlternateContent>
            </w:r>
            <w:r w:rsidR="00000000" w:rsidRPr="001A46CB">
              <w:rPr>
                <w:rFonts w:ascii="Arial" w:hAnsi="Arial" w:cs="Arial"/>
                <w:lang w:val="en-GB"/>
              </w:rPr>
              <w:t>Exceptional storyboards with outstanding detail and functionality. Significant, well-justified improvements informed by interaction design theory.</w:t>
            </w:r>
          </w:p>
        </w:tc>
      </w:tr>
      <w:tr w:rsidR="00017B7F" w:rsidRPr="001A46CB" w14:paraId="5D67F914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D5F7BCA" w14:textId="03FC3CB8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Prototype Feedback Collection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031CF7E3" w14:textId="7EB215E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095E6A8D" w14:textId="1FB43640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is weak or superficial. Limited alignment with personas or minimal depth in feedback analysis.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2A67B7" w14:textId="78064436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feedback collection is described. Feedback aligns somewhat with personas but lacks depth in usability and emotional response analysis.</w:t>
            </w:r>
          </w:p>
        </w:tc>
        <w:tc>
          <w:tcPr>
            <w:tcW w:w="1885" w:type="dxa"/>
          </w:tcPr>
          <w:p w14:paraId="23D97C56" w14:textId="14645863" w:rsidR="001A46CB" w:rsidRPr="001A46CB" w:rsidRDefault="002702AE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2F80D9" wp14:editId="3241831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12255</wp:posOffset>
                      </wp:positionV>
                      <wp:extent cx="1201420" cy="1732915"/>
                      <wp:effectExtent l="19050" t="19050" r="36830" b="38735"/>
                      <wp:wrapNone/>
                      <wp:docPr id="101732041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20" cy="173291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D438B6" id="Oval 1" o:spid="_x0000_s1026" style="position:absolute;margin-left:-2.3pt;margin-top:.95pt;width:94.6pt;height:13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Clear feedback collection process, aligned with most personas. Usability and emotional feedback are analysed but with some gaps.</w:t>
            </w:r>
          </w:p>
        </w:tc>
        <w:tc>
          <w:tcPr>
            <w:tcW w:w="1895" w:type="dxa"/>
          </w:tcPr>
          <w:p w14:paraId="6983C7E9" w14:textId="0E3B0DF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Thorough feedback collection process, aligned with personas. Feedback analysis is insightful and actionable.</w:t>
            </w:r>
          </w:p>
        </w:tc>
        <w:tc>
          <w:tcPr>
            <w:tcW w:w="1910" w:type="dxa"/>
          </w:tcPr>
          <w:p w14:paraId="7F991254" w14:textId="4693AE81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feedback collection process, aligned with personas, yielding actionable insights into usability and emotional response.</w:t>
            </w:r>
          </w:p>
        </w:tc>
        <w:tc>
          <w:tcPr>
            <w:tcW w:w="2052" w:type="dxa"/>
          </w:tcPr>
          <w:p w14:paraId="2E6114CE" w14:textId="2A9A598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feedback process with advanced insights. Feedback directly informs significant and well-justified design improvements.</w:t>
            </w:r>
          </w:p>
        </w:tc>
      </w:tr>
      <w:tr w:rsidR="00017B7F" w:rsidRPr="001A46CB" w14:paraId="51246690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695869A" w14:textId="733FDA7D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Data Collection Plan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59A800" w14:textId="73ADDC60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description of data collection provided or rationale for collecting data is unclear or irrelevant.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378ECA9D" w14:textId="6FEC4F86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description of data collection but limited rationale. Methods for collecting data are superficial or poorly defined.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BFFAEDD" w14:textId="5921ED98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Some description of data collection with reasonable rationale. Methods are partially defined but lack clarity or depth.</w:t>
            </w:r>
          </w:p>
        </w:tc>
        <w:tc>
          <w:tcPr>
            <w:tcW w:w="1885" w:type="dxa"/>
          </w:tcPr>
          <w:p w14:paraId="1AE45F94" w14:textId="75AEDB50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description of data collection with solid rationale. Methods are appropriate but lack some depth.</w:t>
            </w:r>
          </w:p>
        </w:tc>
        <w:tc>
          <w:tcPr>
            <w:tcW w:w="1895" w:type="dxa"/>
          </w:tcPr>
          <w:p w14:paraId="46337E04" w14:textId="0D70181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Well-thought-out description of data collection. Rationale is clear and methods are well-defined.</w:t>
            </w:r>
          </w:p>
        </w:tc>
        <w:tc>
          <w:tcPr>
            <w:tcW w:w="1910" w:type="dxa"/>
          </w:tcPr>
          <w:p w14:paraId="407643B5" w14:textId="2373B80A" w:rsidR="001A46CB" w:rsidRPr="001A46CB" w:rsidRDefault="00581730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0CDD01" wp14:editId="2092E3C4">
                      <wp:simplePos x="0" y="0"/>
                      <wp:positionH relativeFrom="column">
                        <wp:posOffset>-71144</wp:posOffset>
                      </wp:positionH>
                      <wp:positionV relativeFrom="paragraph">
                        <wp:posOffset>4000</wp:posOffset>
                      </wp:positionV>
                      <wp:extent cx="1201420" cy="1407580"/>
                      <wp:effectExtent l="19050" t="19050" r="36830" b="40640"/>
                      <wp:wrapNone/>
                      <wp:docPr id="85507072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20" cy="140758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D075A9" id="Oval 1" o:spid="_x0000_s1026" style="position:absolute;margin-left:-5.6pt;margin-top:.3pt;width:94.6pt;height:110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Comprehensive description of data collection with clear and well-justified rationale. Methods are appropriate.</w:t>
            </w:r>
          </w:p>
        </w:tc>
        <w:tc>
          <w:tcPr>
            <w:tcW w:w="2052" w:type="dxa"/>
          </w:tcPr>
          <w:p w14:paraId="141051F2" w14:textId="7148353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plan for data collection with advanced insights. Rationale and methods are professional.</w:t>
            </w:r>
          </w:p>
        </w:tc>
      </w:tr>
      <w:tr w:rsidR="001A46CB" w:rsidRPr="001A46CB" w14:paraId="14C0CDAC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3B5FDF4B" w14:textId="58A7CA56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lastRenderedPageBreak/>
              <w:t>Usability vs. User Experience Design Analysis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680611D7" w14:textId="380A3A0E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discussion of usability vs. user experience or examples provided. No evidence of design conflicts considered.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BE75DE4" w14:textId="7B620BBD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Minimal discussion of usability vs. user experience. Limited or unclear examples provided. Few or no design conflicts addressed.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09C62E" w14:textId="6C46DEF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discussion of usability vs. user experience. Some examples are provided, but analysis of conflicts is weak or superficial.</w:t>
            </w:r>
          </w:p>
        </w:tc>
        <w:tc>
          <w:tcPr>
            <w:tcW w:w="1885" w:type="dxa"/>
          </w:tcPr>
          <w:p w14:paraId="400477BA" w14:textId="5505FEE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discussion of usability vs. user experience with relevant examples. Analysis of design conflicts is reasonable but lacks depth.</w:t>
            </w:r>
          </w:p>
        </w:tc>
        <w:tc>
          <w:tcPr>
            <w:tcW w:w="1895" w:type="dxa"/>
          </w:tcPr>
          <w:p w14:paraId="0671EA13" w14:textId="75E51155" w:rsidR="001A46CB" w:rsidRPr="001A46CB" w:rsidRDefault="00581730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392D2D5" wp14:editId="0B76D6D6">
                      <wp:simplePos x="0" y="0"/>
                      <wp:positionH relativeFrom="column">
                        <wp:posOffset>-43221</wp:posOffset>
                      </wp:positionH>
                      <wp:positionV relativeFrom="paragraph">
                        <wp:posOffset>30480</wp:posOffset>
                      </wp:positionV>
                      <wp:extent cx="1201420" cy="1916628"/>
                      <wp:effectExtent l="19050" t="19050" r="36830" b="45720"/>
                      <wp:wrapNone/>
                      <wp:docPr id="180281870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20" cy="1916628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B7A7F7" id="Oval 1" o:spid="_x0000_s1026" style="position:absolute;margin-left:-3.4pt;margin-top:2.4pt;width:94.6pt;height:150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 xml:space="preserve">Thorough discussion of usability vs. user experience with well-chosen examples. Design conflicts are </w:t>
            </w:r>
            <w:r w:rsidR="006F3912" w:rsidRPr="001A46CB">
              <w:rPr>
                <w:rFonts w:ascii="Arial" w:hAnsi="Arial" w:cs="Arial"/>
                <w:lang w:val="en-GB"/>
              </w:rPr>
              <w:t>analysed</w:t>
            </w:r>
            <w:r w:rsidR="001A46CB" w:rsidRPr="001A46CB">
              <w:rPr>
                <w:rFonts w:ascii="Arial" w:hAnsi="Arial" w:cs="Arial"/>
                <w:lang w:val="en-GB"/>
              </w:rPr>
              <w:t xml:space="preserve"> with thoughtful resolution.</w:t>
            </w:r>
          </w:p>
        </w:tc>
        <w:tc>
          <w:tcPr>
            <w:tcW w:w="1910" w:type="dxa"/>
          </w:tcPr>
          <w:p w14:paraId="5B2D83A9" w14:textId="1473CBBB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discussion of usability vs. user experience with insightful examples. Conflicts are resolved with a strong understanding of design principles.</w:t>
            </w:r>
          </w:p>
        </w:tc>
        <w:tc>
          <w:tcPr>
            <w:tcW w:w="2052" w:type="dxa"/>
          </w:tcPr>
          <w:p w14:paraId="7C20E366" w14:textId="46BB12F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discussion of usability vs. user experience with advanced insights. Design conflicts are resolved creatively and effectively.</w:t>
            </w:r>
          </w:p>
        </w:tc>
      </w:tr>
      <w:tr w:rsidR="001A46CB" w:rsidRPr="001A46CB" w14:paraId="0BC60645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51CFC34" w14:textId="16985C3A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Presentation &amp; References (10%)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240448C9" w14:textId="6E16E91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5368FE17" w14:textId="7FFA321C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DE8A599" w14:textId="3D8E0A3B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85" w:type="dxa"/>
          </w:tcPr>
          <w:p w14:paraId="6125D857" w14:textId="504AEB58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95" w:type="dxa"/>
          </w:tcPr>
          <w:p w14:paraId="03E961E4" w14:textId="0D2B4231" w:rsidR="001A46CB" w:rsidRPr="001A46CB" w:rsidRDefault="00581730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BA1D97" wp14:editId="09C40868">
                      <wp:simplePos x="0" y="0"/>
                      <wp:positionH relativeFrom="column">
                        <wp:posOffset>-67079</wp:posOffset>
                      </wp:positionH>
                      <wp:positionV relativeFrom="paragraph">
                        <wp:posOffset>43435</wp:posOffset>
                      </wp:positionV>
                      <wp:extent cx="1201420" cy="1572243"/>
                      <wp:effectExtent l="19050" t="19050" r="36830" b="47625"/>
                      <wp:wrapNone/>
                      <wp:docPr id="2926387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20" cy="1572243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E10EB6" id="Oval 1" o:spid="_x0000_s1026" style="position:absolute;margin-left:-5.3pt;margin-top:3.4pt;width:94.6pt;height:123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910" w:type="dxa"/>
          </w:tcPr>
          <w:p w14:paraId="2B5D2AF7" w14:textId="0615F9D2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2052" w:type="dxa"/>
          </w:tcPr>
          <w:p w14:paraId="304615FB" w14:textId="141DA8C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5A99410F" w14:textId="77777777" w:rsidR="00696636" w:rsidRDefault="00696636">
      <w:pPr>
        <w:rPr>
          <w:rFonts w:ascii="Arial" w:hAnsi="Arial" w:cs="Arial"/>
          <w:lang w:val="en-GB"/>
        </w:rPr>
      </w:pPr>
    </w:p>
    <w:p w14:paraId="0EE4561D" w14:textId="5B6937C5" w:rsidR="004B4242" w:rsidRPr="004B4242" w:rsidRDefault="004B4242">
      <w:pPr>
        <w:rPr>
          <w:rFonts w:ascii="Arial" w:hAnsi="Arial" w:cs="Arial"/>
          <w:b/>
          <w:bCs/>
          <w:lang w:val="en-GB"/>
        </w:rPr>
      </w:pPr>
      <w:r w:rsidRPr="004B4242">
        <w:rPr>
          <w:rFonts w:ascii="Arial" w:hAnsi="Arial" w:cs="Arial"/>
          <w:b/>
          <w:bCs/>
          <w:lang w:val="en-GB"/>
        </w:rPr>
        <w:t>COMMENTS</w:t>
      </w:r>
    </w:p>
    <w:p w14:paraId="2CF352BF" w14:textId="51590486" w:rsidR="00581730" w:rsidRDefault="00DA44D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For professional-looking documents start the table of figures on a new page. </w:t>
      </w:r>
      <w:r w:rsidR="002702AE">
        <w:rPr>
          <w:rFonts w:ascii="Arial" w:hAnsi="Arial" w:cs="Arial"/>
          <w:lang w:val="en-GB"/>
        </w:rPr>
        <w:t>Great use of colour and branding. Excellent justification of changes. How many users tested the new version? Don’t use “I” in a technical report. A paragraph showing how well the test subjects align with the personas would be useful. Including the SUS or UEQ questionnaires would also have been useful.</w:t>
      </w:r>
      <w:r w:rsidR="00581730">
        <w:rPr>
          <w:rFonts w:ascii="Arial" w:hAnsi="Arial" w:cs="Arial"/>
          <w:lang w:val="en-GB"/>
        </w:rPr>
        <w:t xml:space="preserve"> Very good point on collecting player behaviour data to help balance the game. What tools could you use for automatically collecting data? Good references, but more would have been useful.</w:t>
      </w:r>
    </w:p>
    <w:p w14:paraId="08D73DB2" w14:textId="1A4D9D86" w:rsidR="00581730" w:rsidRPr="001A46CB" w:rsidRDefault="00581730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Well done – an excellent piece of work.</w:t>
      </w:r>
    </w:p>
    <w:sectPr w:rsidR="00581730" w:rsidRPr="001A46CB" w:rsidSect="004B424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8886984">
    <w:abstractNumId w:val="8"/>
  </w:num>
  <w:num w:numId="2" w16cid:durableId="1552382544">
    <w:abstractNumId w:val="6"/>
  </w:num>
  <w:num w:numId="3" w16cid:durableId="910505808">
    <w:abstractNumId w:val="5"/>
  </w:num>
  <w:num w:numId="4" w16cid:durableId="961888410">
    <w:abstractNumId w:val="4"/>
  </w:num>
  <w:num w:numId="5" w16cid:durableId="1157963874">
    <w:abstractNumId w:val="7"/>
  </w:num>
  <w:num w:numId="6" w16cid:durableId="1421681299">
    <w:abstractNumId w:val="3"/>
  </w:num>
  <w:num w:numId="7" w16cid:durableId="150408120">
    <w:abstractNumId w:val="2"/>
  </w:num>
  <w:num w:numId="8" w16cid:durableId="330912110">
    <w:abstractNumId w:val="1"/>
  </w:num>
  <w:num w:numId="9" w16cid:durableId="9509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B7F"/>
    <w:rsid w:val="00034616"/>
    <w:rsid w:val="0006063C"/>
    <w:rsid w:val="000E5CAD"/>
    <w:rsid w:val="0015074B"/>
    <w:rsid w:val="001A46CB"/>
    <w:rsid w:val="002702AE"/>
    <w:rsid w:val="0029639D"/>
    <w:rsid w:val="00326F90"/>
    <w:rsid w:val="004B4242"/>
    <w:rsid w:val="00581730"/>
    <w:rsid w:val="0065504D"/>
    <w:rsid w:val="00696636"/>
    <w:rsid w:val="006F3912"/>
    <w:rsid w:val="007B3BA3"/>
    <w:rsid w:val="007C2666"/>
    <w:rsid w:val="00910881"/>
    <w:rsid w:val="00A15B7C"/>
    <w:rsid w:val="00AA1D8D"/>
    <w:rsid w:val="00B47730"/>
    <w:rsid w:val="00B85436"/>
    <w:rsid w:val="00CB0664"/>
    <w:rsid w:val="00CB4CF8"/>
    <w:rsid w:val="00D826E8"/>
    <w:rsid w:val="00DA44D9"/>
    <w:rsid w:val="00F428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70CD8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2025-01-27T12:50:00Z</dcterms:created>
  <dcterms:modified xsi:type="dcterms:W3CDTF">2025-01-30T11:16:00Z</dcterms:modified>
  <cp:category/>
</cp:coreProperties>
</file>