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1571EE" w14:textId="77777777" w:rsidR="002D5B3F" w:rsidRDefault="009F5CB2"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394B8EB9" wp14:editId="22AF2527">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10854E18"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p>
                          <w:p w14:paraId="6511A9FC"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74730BBD" wp14:editId="7C9635D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4B8EB9" id="_x0000_t202" coordsize="21600,21600" o:spt="202" path="m0,0l0,21600,21600,21600,21600,0xe">
                <v:stroke joinstyle="miter"/>
                <v:path gradientshapeok="t" o:connecttype="rect"/>
              </v:shapetype>
              <v:shape id="Text Box 11" o:spid="_x0000_s1026" type="#_x0000_t202" style="position:absolute;margin-left:407.4pt;margin-top:-18.3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" fillcolor="silver" strokecolor="silver" strokeweight="2.25pt">
                <v:textbox>
                  <w:txbxContent>
                    <w:p w14:paraId="10854E18"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p>
                    <w:p w14:paraId="6511A9FC"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74730BBD" wp14:editId="7C9635D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1A24F3">
        <w:rPr>
          <w:noProof/>
        </w:rPr>
        <w:drawing>
          <wp:inline distT="0" distB="0" distL="0" distR="0" wp14:anchorId="343109C2" wp14:editId="585020FB">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9C0A59A"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1140F4D7" w14:textId="77777777" w:rsidTr="00A55876">
        <w:tc>
          <w:tcPr>
            <w:tcW w:w="10670" w:type="dxa"/>
            <w:shd w:val="clear" w:color="auto" w:fill="C0C0C0"/>
          </w:tcPr>
          <w:p w14:paraId="1E9E05C0" w14:textId="77777777" w:rsidR="00BA6B2C" w:rsidRPr="00BA6B2C" w:rsidRDefault="0088296F" w:rsidP="00681FA9">
            <w:pPr>
              <w:jc w:val="center"/>
              <w:rPr>
                <w:rFonts w:ascii="Arial" w:hAnsi="Arial" w:cs="Arial"/>
                <w:b/>
                <w:noProof/>
                <w:sz w:val="36"/>
                <w:szCs w:val="36"/>
              </w:rPr>
            </w:pPr>
            <w:r>
              <w:rPr>
                <w:rFonts w:ascii="Arial" w:hAnsi="Arial" w:cs="Arial"/>
                <w:b/>
                <w:noProof/>
                <w:sz w:val="36"/>
                <w:szCs w:val="36"/>
              </w:rPr>
              <w:t>ASSIGNMENT DETAILS</w:t>
            </w:r>
            <w:r w:rsidR="00BA6B2C" w:rsidRPr="00BA6B2C">
              <w:rPr>
                <w:rFonts w:ascii="Arial" w:hAnsi="Arial" w:cs="Arial"/>
                <w:b/>
                <w:noProof/>
                <w:sz w:val="36"/>
                <w:szCs w:val="36"/>
              </w:rPr>
              <w:t xml:space="preserve"> AND FEEDBACK</w:t>
            </w:r>
          </w:p>
          <w:p w14:paraId="2F4F5371" w14:textId="77777777" w:rsidR="00681FA9" w:rsidRPr="009F5CB2" w:rsidRDefault="00681FA9" w:rsidP="00681FA9">
            <w:pPr>
              <w:jc w:val="center"/>
              <w:rPr>
                <w:rFonts w:ascii="Arial" w:hAnsi="Arial" w:cs="Arial"/>
              </w:rPr>
            </w:pPr>
            <w:r w:rsidRPr="009F5CB2">
              <w:rPr>
                <w:rFonts w:ascii="Arial" w:hAnsi="Arial" w:cs="Arial"/>
                <w:b/>
                <w:noProof/>
                <w:sz w:val="24"/>
                <w:szCs w:val="24"/>
              </w:rPr>
              <w:t>S</w:t>
            </w:r>
            <w:r w:rsidR="00BA6B2C">
              <w:rPr>
                <w:rFonts w:ascii="Arial" w:hAnsi="Arial" w:cs="Arial"/>
                <w:b/>
                <w:noProof/>
                <w:sz w:val="24"/>
                <w:szCs w:val="24"/>
              </w:rPr>
              <w:t>OUTH WEST WALES CENTRE FOR TEACHER EDUCATION</w:t>
            </w:r>
          </w:p>
        </w:tc>
      </w:tr>
    </w:tbl>
    <w:p w14:paraId="03FD86F8" w14:textId="77777777" w:rsidR="003A3CE5" w:rsidRPr="00BA6B2C" w:rsidRDefault="00BA6B2C" w:rsidP="002D5B3F">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3B3F9D" w:rsidRPr="00C1361B" w14:paraId="2AE13FB5" w14:textId="77777777" w:rsidTr="001A24F3">
        <w:tc>
          <w:tcPr>
            <w:tcW w:w="2093" w:type="dxa"/>
            <w:shd w:val="pct15" w:color="auto" w:fill="auto"/>
          </w:tcPr>
          <w:p w14:paraId="302F87AD"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2A74B870" w14:textId="57ACA6DE" w:rsidR="003B3F9D" w:rsidRPr="00C1361B" w:rsidRDefault="0017512A"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r w:rsidR="003A2C04">
              <w:rPr>
                <w:rFonts w:ascii="Calibri" w:hAnsi="Calibri" w:cs="Arial"/>
                <w:b/>
                <w:sz w:val="22"/>
                <w:szCs w:val="22"/>
              </w:rPr>
              <w:t>Ryan Herbert</w:t>
            </w:r>
          </w:p>
        </w:tc>
        <w:tc>
          <w:tcPr>
            <w:tcW w:w="2613" w:type="dxa"/>
            <w:shd w:val="clear" w:color="auto" w:fill="D9D9D9"/>
          </w:tcPr>
          <w:p w14:paraId="5AD46A31"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21FABAE9" w14:textId="158A6ED0" w:rsidR="003B3F9D" w:rsidRPr="00C1361B" w:rsidRDefault="003A2C04" w:rsidP="001E57C1">
            <w:pPr>
              <w:spacing w:before="120" w:after="120"/>
              <w:jc w:val="both"/>
              <w:rPr>
                <w:rFonts w:ascii="Calibri" w:hAnsi="Calibri" w:cs="Arial"/>
                <w:b/>
                <w:sz w:val="22"/>
                <w:szCs w:val="22"/>
              </w:rPr>
            </w:pPr>
            <w:r>
              <w:rPr>
                <w:rFonts w:ascii="Calibri" w:hAnsi="Calibri" w:cs="Arial"/>
                <w:b/>
                <w:sz w:val="22"/>
                <w:szCs w:val="22"/>
              </w:rPr>
              <w:t>1704651</w:t>
            </w:r>
          </w:p>
        </w:tc>
      </w:tr>
      <w:tr w:rsidR="00DB116D" w:rsidRPr="00C1361B" w14:paraId="65B98E61" w14:textId="77777777" w:rsidTr="001A24F3">
        <w:tc>
          <w:tcPr>
            <w:tcW w:w="2093" w:type="dxa"/>
            <w:shd w:val="pct15" w:color="auto" w:fill="auto"/>
          </w:tcPr>
          <w:p w14:paraId="1E55CC0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r w:rsidR="00BA6B2C">
              <w:rPr>
                <w:rFonts w:ascii="Calibri" w:hAnsi="Calibri" w:cs="Arial"/>
                <w:b/>
                <w:sz w:val="22"/>
                <w:szCs w:val="22"/>
              </w:rPr>
              <w:t xml:space="preserve"> *</w:t>
            </w:r>
          </w:p>
        </w:tc>
        <w:tc>
          <w:tcPr>
            <w:tcW w:w="8505" w:type="dxa"/>
            <w:gridSpan w:val="3"/>
          </w:tcPr>
          <w:p w14:paraId="5C814178" w14:textId="6C12B008" w:rsidR="00DB116D" w:rsidRPr="008566E5" w:rsidRDefault="007423C5" w:rsidP="00B53B62">
            <w:pPr>
              <w:spacing w:before="120" w:after="120"/>
              <w:jc w:val="both"/>
              <w:rPr>
                <w:rFonts w:ascii="Calibri" w:hAnsi="Calibri" w:cs="Arial"/>
                <w:b/>
                <w:sz w:val="22"/>
                <w:szCs w:val="22"/>
              </w:rPr>
            </w:pPr>
            <w:r>
              <w:rPr>
                <w:rFonts w:ascii="Calibri" w:hAnsi="Calibri" w:cs="Arial"/>
                <w:b/>
                <w:sz w:val="22"/>
                <w:szCs w:val="22"/>
              </w:rPr>
              <w:t xml:space="preserve">Secondary </w:t>
            </w:r>
            <w:r w:rsidR="00B53B62">
              <w:rPr>
                <w:rFonts w:ascii="Calibri" w:hAnsi="Calibri" w:cs="Arial"/>
                <w:b/>
                <w:sz w:val="22"/>
                <w:szCs w:val="22"/>
              </w:rPr>
              <w:t>Post</w:t>
            </w:r>
            <w:r>
              <w:rPr>
                <w:rFonts w:ascii="Calibri" w:hAnsi="Calibri" w:cs="Arial"/>
                <w:b/>
                <w:sz w:val="22"/>
                <w:szCs w:val="22"/>
              </w:rPr>
              <w:t xml:space="preserve"> Graduate Certificate in Education</w:t>
            </w:r>
          </w:p>
        </w:tc>
      </w:tr>
      <w:tr w:rsidR="00FB5CF8" w:rsidRPr="00C1361B" w14:paraId="2D85E5DF" w14:textId="77777777" w:rsidTr="001A24F3">
        <w:tc>
          <w:tcPr>
            <w:tcW w:w="2093" w:type="dxa"/>
            <w:shd w:val="pct15" w:color="auto" w:fill="auto"/>
          </w:tcPr>
          <w:p w14:paraId="1A980DC3" w14:textId="77777777"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r w:rsidR="00BA6B2C">
              <w:rPr>
                <w:rFonts w:ascii="Calibri" w:hAnsi="Calibri" w:cs="Arial"/>
                <w:b/>
                <w:sz w:val="22"/>
                <w:szCs w:val="22"/>
              </w:rPr>
              <w:t xml:space="preserve"> *</w:t>
            </w:r>
          </w:p>
        </w:tc>
        <w:tc>
          <w:tcPr>
            <w:tcW w:w="3781" w:type="dxa"/>
            <w:shd w:val="clear" w:color="auto" w:fill="auto"/>
          </w:tcPr>
          <w:p w14:paraId="5654A23E" w14:textId="157ED01D" w:rsidR="00FB5CF8" w:rsidRPr="00C1361B" w:rsidRDefault="007866E5" w:rsidP="00EA6801">
            <w:pPr>
              <w:spacing w:before="120" w:after="120"/>
              <w:rPr>
                <w:rFonts w:ascii="Calibri" w:hAnsi="Calibri" w:cs="Arial"/>
                <w:b/>
                <w:sz w:val="22"/>
                <w:szCs w:val="22"/>
              </w:rPr>
            </w:pPr>
            <w:r>
              <w:rPr>
                <w:rFonts w:ascii="Arial" w:hAnsi="Arial" w:cs="Arial"/>
                <w:b/>
                <w:szCs w:val="32"/>
              </w:rPr>
              <w:t>Curriculum Development and Enhancement</w:t>
            </w:r>
          </w:p>
        </w:tc>
        <w:tc>
          <w:tcPr>
            <w:tcW w:w="2613" w:type="dxa"/>
            <w:shd w:val="clear" w:color="auto" w:fill="D9D9D9"/>
          </w:tcPr>
          <w:p w14:paraId="07E10B67" w14:textId="77777777" w:rsidR="00FB5CF8"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Level (</w:t>
            </w:r>
            <w:r w:rsidR="00FB5CF8" w:rsidRPr="00C1361B">
              <w:rPr>
                <w:rFonts w:ascii="Calibri" w:hAnsi="Calibri" w:cs="Arial"/>
                <w:b/>
                <w:sz w:val="22"/>
                <w:szCs w:val="22"/>
              </w:rPr>
              <w:t>6</w:t>
            </w:r>
            <w:r>
              <w:rPr>
                <w:rFonts w:ascii="Calibri" w:hAnsi="Calibri" w:cs="Arial"/>
                <w:b/>
                <w:sz w:val="22"/>
                <w:szCs w:val="22"/>
              </w:rPr>
              <w:t xml:space="preserve"> or 7</w:t>
            </w:r>
            <w:r w:rsidR="00FB5CF8" w:rsidRPr="00C1361B">
              <w:rPr>
                <w:rFonts w:ascii="Calibri" w:hAnsi="Calibri" w:cs="Arial"/>
                <w:b/>
                <w:sz w:val="22"/>
                <w:szCs w:val="22"/>
              </w:rPr>
              <w:t>):</w:t>
            </w:r>
            <w:r>
              <w:rPr>
                <w:rFonts w:ascii="Calibri" w:hAnsi="Calibri" w:cs="Arial"/>
                <w:b/>
                <w:sz w:val="22"/>
                <w:szCs w:val="22"/>
              </w:rPr>
              <w:t xml:space="preserve"> </w:t>
            </w:r>
          </w:p>
        </w:tc>
        <w:tc>
          <w:tcPr>
            <w:tcW w:w="2111" w:type="dxa"/>
            <w:shd w:val="clear" w:color="auto" w:fill="auto"/>
          </w:tcPr>
          <w:p w14:paraId="5F7F30F4" w14:textId="01FA5467" w:rsidR="00FB5CF8" w:rsidRPr="00C1361B" w:rsidRDefault="007423C5" w:rsidP="007866E5">
            <w:pPr>
              <w:spacing w:before="120" w:after="120"/>
              <w:jc w:val="both"/>
              <w:rPr>
                <w:rFonts w:ascii="Calibri" w:hAnsi="Calibri" w:cs="Arial"/>
                <w:b/>
                <w:sz w:val="22"/>
                <w:szCs w:val="22"/>
              </w:rPr>
            </w:pPr>
            <w:r>
              <w:rPr>
                <w:rFonts w:ascii="Calibri" w:hAnsi="Calibri" w:cs="Arial"/>
                <w:b/>
                <w:sz w:val="22"/>
                <w:szCs w:val="22"/>
              </w:rPr>
              <w:t xml:space="preserve">Level </w:t>
            </w:r>
            <w:r w:rsidR="00B53B62">
              <w:rPr>
                <w:rFonts w:ascii="Calibri" w:hAnsi="Calibri" w:cs="Arial"/>
                <w:b/>
                <w:sz w:val="22"/>
                <w:szCs w:val="22"/>
              </w:rPr>
              <w:t>7</w:t>
            </w:r>
          </w:p>
        </w:tc>
      </w:tr>
      <w:tr w:rsidR="00B84B5B" w:rsidRPr="00C1361B" w14:paraId="79A265BB" w14:textId="77777777" w:rsidTr="001A24F3">
        <w:tc>
          <w:tcPr>
            <w:tcW w:w="2093" w:type="dxa"/>
            <w:shd w:val="pct15" w:color="auto" w:fill="auto"/>
          </w:tcPr>
          <w:p w14:paraId="04D05EB4"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r w:rsidR="00BA6B2C">
              <w:rPr>
                <w:rFonts w:ascii="Calibri" w:hAnsi="Calibri" w:cs="Arial"/>
                <w:b/>
                <w:sz w:val="22"/>
                <w:szCs w:val="22"/>
              </w:rPr>
              <w:t xml:space="preserve"> *</w:t>
            </w:r>
          </w:p>
        </w:tc>
        <w:tc>
          <w:tcPr>
            <w:tcW w:w="3781" w:type="dxa"/>
          </w:tcPr>
          <w:p w14:paraId="48CDC5D4" w14:textId="7F227972" w:rsidR="00B84B5B" w:rsidRPr="00C1361B" w:rsidRDefault="00E3293C" w:rsidP="00152E9D">
            <w:pPr>
              <w:spacing w:before="120" w:after="120"/>
              <w:jc w:val="both"/>
              <w:rPr>
                <w:rFonts w:ascii="Calibri" w:hAnsi="Calibri" w:cs="Arial"/>
                <w:b/>
                <w:sz w:val="22"/>
                <w:szCs w:val="22"/>
              </w:rPr>
            </w:pPr>
            <w:r w:rsidRPr="00E3293C">
              <w:rPr>
                <w:rFonts w:ascii="Calibri" w:hAnsi="Calibri" w:cs="Arial"/>
                <w:b/>
                <w:sz w:val="22"/>
                <w:szCs w:val="22"/>
              </w:rPr>
              <w:t>ECSP7002</w:t>
            </w:r>
          </w:p>
        </w:tc>
        <w:tc>
          <w:tcPr>
            <w:tcW w:w="2613" w:type="dxa"/>
            <w:shd w:val="clear" w:color="auto" w:fill="D9D9D9"/>
          </w:tcPr>
          <w:p w14:paraId="192B36D3" w14:textId="77777777"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29E30A34" w14:textId="77777777"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r w:rsidR="00BA6B2C">
              <w:rPr>
                <w:rFonts w:ascii="Calibri" w:hAnsi="Calibri" w:cs="Arial"/>
                <w:b/>
                <w:sz w:val="22"/>
                <w:szCs w:val="22"/>
              </w:rPr>
              <w:t xml:space="preserve"> *</w:t>
            </w:r>
          </w:p>
        </w:tc>
        <w:tc>
          <w:tcPr>
            <w:tcW w:w="2111" w:type="dxa"/>
          </w:tcPr>
          <w:p w14:paraId="060B46A9" w14:textId="29A14BCA" w:rsidR="00B84B5B" w:rsidRPr="00C1361B" w:rsidRDefault="007423C5" w:rsidP="00E51AAC">
            <w:pPr>
              <w:spacing w:before="120" w:after="120"/>
              <w:jc w:val="both"/>
              <w:rPr>
                <w:rFonts w:ascii="Calibri" w:hAnsi="Calibri" w:cs="Arial"/>
                <w:b/>
                <w:sz w:val="22"/>
                <w:szCs w:val="22"/>
              </w:rPr>
            </w:pPr>
            <w:r>
              <w:rPr>
                <w:rFonts w:ascii="Calibri" w:hAnsi="Calibri" w:cs="Arial"/>
                <w:b/>
                <w:sz w:val="22"/>
                <w:szCs w:val="22"/>
              </w:rPr>
              <w:t>100</w:t>
            </w:r>
          </w:p>
        </w:tc>
      </w:tr>
      <w:tr w:rsidR="00BA6B2C" w:rsidRPr="00C1361B" w14:paraId="4F3D72FF" w14:textId="77777777" w:rsidTr="00BA6B2C">
        <w:tc>
          <w:tcPr>
            <w:tcW w:w="2093" w:type="dxa"/>
            <w:shd w:val="pct15" w:color="auto" w:fill="auto"/>
          </w:tcPr>
          <w:p w14:paraId="6625BACE" w14:textId="77777777" w:rsidR="00BA6B2C"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507C650D" w14:textId="510BBF2B" w:rsidR="00BA6B2C" w:rsidRPr="00C1361B" w:rsidRDefault="00E3293C" w:rsidP="00E51AAC">
            <w:pPr>
              <w:spacing w:before="120" w:after="120"/>
              <w:jc w:val="both"/>
              <w:rPr>
                <w:rFonts w:ascii="Calibri" w:hAnsi="Calibri" w:cs="Arial"/>
                <w:b/>
                <w:sz w:val="22"/>
                <w:szCs w:val="22"/>
              </w:rPr>
            </w:pPr>
            <w:r>
              <w:rPr>
                <w:rFonts w:ascii="Calibri" w:hAnsi="Calibri" w:cs="Arial"/>
                <w:b/>
                <w:sz w:val="22"/>
                <w:szCs w:val="22"/>
              </w:rPr>
              <w:t>Jan Barnes</w:t>
            </w:r>
          </w:p>
        </w:tc>
      </w:tr>
      <w:tr w:rsidR="00DB116D" w:rsidRPr="00C1361B" w14:paraId="690C1982" w14:textId="77777777" w:rsidTr="001A24F3">
        <w:tc>
          <w:tcPr>
            <w:tcW w:w="2093" w:type="dxa"/>
            <w:shd w:val="pct15" w:color="auto" w:fill="auto"/>
          </w:tcPr>
          <w:p w14:paraId="0371813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r w:rsidR="00BA6B2C">
              <w:rPr>
                <w:rFonts w:ascii="Calibri" w:hAnsi="Calibri" w:cs="Arial"/>
                <w:b/>
                <w:sz w:val="22"/>
                <w:szCs w:val="22"/>
              </w:rPr>
              <w:t>*</w:t>
            </w:r>
          </w:p>
        </w:tc>
        <w:tc>
          <w:tcPr>
            <w:tcW w:w="3781" w:type="dxa"/>
          </w:tcPr>
          <w:p w14:paraId="3477205B" w14:textId="4EE1ABF9" w:rsidR="00DB116D" w:rsidRPr="00F67644" w:rsidRDefault="00BC0EEA" w:rsidP="00BC0EEA">
            <w:pPr>
              <w:spacing w:before="120" w:after="120"/>
              <w:rPr>
                <w:rFonts w:ascii="Calibri" w:hAnsi="Calibri" w:cs="Arial"/>
                <w:b/>
                <w:sz w:val="22"/>
                <w:szCs w:val="22"/>
              </w:rPr>
            </w:pPr>
            <w:r>
              <w:rPr>
                <w:rFonts w:ascii="Arial" w:hAnsi="Arial" w:cs="Arial"/>
                <w:b/>
                <w:szCs w:val="32"/>
              </w:rPr>
              <w:t>Reflections on Teaching and Learning</w:t>
            </w:r>
          </w:p>
        </w:tc>
        <w:tc>
          <w:tcPr>
            <w:tcW w:w="2613" w:type="dxa"/>
            <w:shd w:val="pct15" w:color="auto" w:fill="auto"/>
          </w:tcPr>
          <w:p w14:paraId="592102D2"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14:paraId="6276223B" w14:textId="0BA4BD3F" w:rsidR="00DB116D" w:rsidRPr="00C1361B" w:rsidRDefault="007423C5" w:rsidP="00E51AAC">
            <w:pPr>
              <w:spacing w:before="120" w:after="120"/>
              <w:jc w:val="both"/>
              <w:rPr>
                <w:rFonts w:ascii="Calibri" w:hAnsi="Calibri" w:cs="Arial"/>
                <w:b/>
                <w:sz w:val="22"/>
                <w:szCs w:val="22"/>
              </w:rPr>
            </w:pPr>
            <w:r>
              <w:rPr>
                <w:rFonts w:ascii="Calibri" w:hAnsi="Calibri" w:cs="Arial"/>
                <w:b/>
                <w:sz w:val="22"/>
                <w:szCs w:val="22"/>
              </w:rPr>
              <w:t>1</w:t>
            </w:r>
          </w:p>
        </w:tc>
      </w:tr>
      <w:tr w:rsidR="00B84B5B" w:rsidRPr="00C1361B" w14:paraId="21437509" w14:textId="77777777" w:rsidTr="001A24F3">
        <w:tc>
          <w:tcPr>
            <w:tcW w:w="2093" w:type="dxa"/>
            <w:shd w:val="pct15" w:color="auto" w:fill="auto"/>
          </w:tcPr>
          <w:p w14:paraId="103B7588" w14:textId="77777777" w:rsidR="00B84B5B" w:rsidRPr="00C1361B" w:rsidRDefault="00BA6B2C" w:rsidP="00E51AAC">
            <w:pPr>
              <w:spacing w:before="120" w:after="120"/>
              <w:jc w:val="both"/>
              <w:rPr>
                <w:rFonts w:ascii="Calibri" w:hAnsi="Calibri" w:cs="Arial"/>
                <w:b/>
                <w:sz w:val="22"/>
                <w:szCs w:val="22"/>
              </w:rPr>
            </w:pPr>
            <w:r>
              <w:rPr>
                <w:rFonts w:ascii="Calibri" w:hAnsi="Calibri" w:cs="Arial"/>
                <w:b/>
                <w:sz w:val="22"/>
                <w:szCs w:val="22"/>
              </w:rPr>
              <w:t>Start date</w:t>
            </w:r>
            <w:r w:rsidR="00B84B5B"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14:paraId="5418AC0F" w14:textId="7AC9E512" w:rsidR="00B84B5B" w:rsidRPr="00C1361B" w:rsidRDefault="003A2C04" w:rsidP="005F0579">
            <w:pPr>
              <w:spacing w:before="120" w:after="120"/>
              <w:jc w:val="both"/>
              <w:rPr>
                <w:rFonts w:ascii="Calibri" w:hAnsi="Calibri" w:cs="Arial"/>
                <w:b/>
                <w:sz w:val="22"/>
                <w:szCs w:val="22"/>
              </w:rPr>
            </w:pPr>
            <w:r>
              <w:rPr>
                <w:rFonts w:ascii="Calibri" w:hAnsi="Calibri" w:cs="Arial"/>
                <w:b/>
                <w:sz w:val="22"/>
                <w:szCs w:val="22"/>
              </w:rPr>
              <w:t>2/4/18</w:t>
            </w:r>
            <w:bookmarkStart w:id="0" w:name="_GoBack"/>
            <w:bookmarkEnd w:id="0"/>
          </w:p>
        </w:tc>
        <w:tc>
          <w:tcPr>
            <w:tcW w:w="2613" w:type="dxa"/>
            <w:shd w:val="pct15" w:color="auto" w:fill="auto"/>
          </w:tcPr>
          <w:p w14:paraId="518DAA7E"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sidR="00B84B5B" w:rsidRPr="00C1361B">
              <w:rPr>
                <w:rFonts w:ascii="Calibri" w:hAnsi="Calibri" w:cs="Arial"/>
                <w:b/>
                <w:sz w:val="22"/>
                <w:szCs w:val="22"/>
              </w:rPr>
              <w:t>:</w:t>
            </w:r>
            <w:r w:rsidR="00BA6B2C">
              <w:rPr>
                <w:rFonts w:ascii="Calibri" w:hAnsi="Calibri" w:cs="Arial"/>
                <w:b/>
                <w:sz w:val="22"/>
                <w:szCs w:val="22"/>
              </w:rPr>
              <w:t>*</w:t>
            </w:r>
            <w:proofErr w:type="gramEnd"/>
          </w:p>
        </w:tc>
        <w:tc>
          <w:tcPr>
            <w:tcW w:w="2111" w:type="dxa"/>
          </w:tcPr>
          <w:p w14:paraId="42D284F5" w14:textId="04BBE341" w:rsidR="00B84B5B" w:rsidRPr="00C1361B" w:rsidRDefault="00BC0EEA" w:rsidP="005F0579">
            <w:pPr>
              <w:spacing w:before="120" w:after="120"/>
              <w:jc w:val="both"/>
              <w:rPr>
                <w:rFonts w:ascii="Calibri" w:hAnsi="Calibri" w:cs="Arial"/>
                <w:b/>
                <w:sz w:val="22"/>
                <w:szCs w:val="22"/>
              </w:rPr>
            </w:pPr>
            <w:r>
              <w:rPr>
                <w:rFonts w:ascii="Calibri" w:hAnsi="Calibri" w:cs="Arial"/>
                <w:b/>
                <w:sz w:val="22"/>
                <w:szCs w:val="22"/>
              </w:rPr>
              <w:t>1</w:t>
            </w:r>
            <w:r w:rsidR="00E3293C">
              <w:rPr>
                <w:rFonts w:ascii="Calibri" w:hAnsi="Calibri" w:cs="Arial"/>
                <w:b/>
                <w:sz w:val="22"/>
                <w:szCs w:val="22"/>
              </w:rPr>
              <w:t>4</w:t>
            </w:r>
            <w:r w:rsidRPr="007866E5">
              <w:rPr>
                <w:rFonts w:ascii="Calibri" w:hAnsi="Calibri" w:cs="Arial"/>
                <w:b/>
                <w:sz w:val="22"/>
                <w:szCs w:val="22"/>
                <w:vertAlign w:val="superscript"/>
              </w:rPr>
              <w:t>th</w:t>
            </w:r>
            <w:r w:rsidR="00E3293C">
              <w:rPr>
                <w:rFonts w:ascii="Calibri" w:hAnsi="Calibri" w:cs="Arial"/>
                <w:b/>
                <w:sz w:val="22"/>
                <w:szCs w:val="22"/>
              </w:rPr>
              <w:t xml:space="preserve"> May 2018</w:t>
            </w:r>
            <w:r>
              <w:rPr>
                <w:rFonts w:ascii="Calibri" w:hAnsi="Calibri" w:cs="Arial"/>
                <w:b/>
                <w:sz w:val="22"/>
                <w:szCs w:val="22"/>
              </w:rPr>
              <w:t xml:space="preserve"> –full submission</w:t>
            </w:r>
          </w:p>
        </w:tc>
      </w:tr>
      <w:tr w:rsidR="00152E9D" w:rsidRPr="00C1361B" w14:paraId="2269790A" w14:textId="77777777" w:rsidTr="00152E9D">
        <w:tc>
          <w:tcPr>
            <w:tcW w:w="2093" w:type="dxa"/>
            <w:shd w:val="pct15" w:color="auto" w:fill="auto"/>
          </w:tcPr>
          <w:p w14:paraId="33ED9F6E" w14:textId="58D4DABE" w:rsidR="00152E9D" w:rsidRPr="00C1361B" w:rsidRDefault="00152E9D" w:rsidP="00E51AAC">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r w:rsidR="00BA6B2C">
              <w:rPr>
                <w:rFonts w:ascii="Calibri" w:hAnsi="Calibri" w:cs="Arial"/>
                <w:b/>
                <w:sz w:val="22"/>
                <w:szCs w:val="22"/>
              </w:rPr>
              <w:t>*</w:t>
            </w:r>
          </w:p>
        </w:tc>
        <w:tc>
          <w:tcPr>
            <w:tcW w:w="8505" w:type="dxa"/>
            <w:gridSpan w:val="3"/>
            <w:shd w:val="clear" w:color="auto" w:fill="auto"/>
          </w:tcPr>
          <w:p w14:paraId="3E0A0B8A" w14:textId="77D589BB" w:rsidR="007866E5" w:rsidRPr="00C1361B" w:rsidRDefault="00BC0EEA" w:rsidP="005F0579">
            <w:pPr>
              <w:spacing w:before="120" w:after="120"/>
              <w:jc w:val="both"/>
              <w:rPr>
                <w:rFonts w:ascii="Calibri" w:hAnsi="Calibri" w:cs="Arial"/>
                <w:b/>
                <w:sz w:val="22"/>
                <w:szCs w:val="22"/>
              </w:rPr>
            </w:pPr>
            <w:r>
              <w:rPr>
                <w:rFonts w:ascii="Calibri" w:hAnsi="Calibri" w:cs="Arial"/>
                <w:b/>
                <w:sz w:val="22"/>
                <w:szCs w:val="22"/>
              </w:rPr>
              <w:t>1</w:t>
            </w:r>
            <w:r w:rsidR="00E3293C">
              <w:rPr>
                <w:rFonts w:ascii="Calibri" w:hAnsi="Calibri" w:cs="Arial"/>
                <w:b/>
                <w:sz w:val="22"/>
                <w:szCs w:val="22"/>
              </w:rPr>
              <w:t>1</w:t>
            </w:r>
            <w:r w:rsidRPr="00BC0EEA">
              <w:rPr>
                <w:rFonts w:ascii="Calibri" w:hAnsi="Calibri" w:cs="Arial"/>
                <w:b/>
                <w:sz w:val="22"/>
                <w:szCs w:val="22"/>
                <w:vertAlign w:val="superscript"/>
              </w:rPr>
              <w:t>th</w:t>
            </w:r>
            <w:r>
              <w:rPr>
                <w:rFonts w:ascii="Calibri" w:hAnsi="Calibri" w:cs="Arial"/>
                <w:b/>
                <w:sz w:val="22"/>
                <w:szCs w:val="22"/>
              </w:rPr>
              <w:t xml:space="preserve"> June 201</w:t>
            </w:r>
            <w:r w:rsidR="00E3293C">
              <w:rPr>
                <w:rFonts w:ascii="Calibri" w:hAnsi="Calibri" w:cs="Arial"/>
                <w:b/>
                <w:sz w:val="22"/>
                <w:szCs w:val="22"/>
              </w:rPr>
              <w:t>8</w:t>
            </w:r>
          </w:p>
        </w:tc>
      </w:tr>
    </w:tbl>
    <w:p w14:paraId="4355282F" w14:textId="694E0065"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108D345A" w14:textId="77777777">
        <w:trPr>
          <w:trHeight w:val="421"/>
        </w:trPr>
        <w:tc>
          <w:tcPr>
            <w:tcW w:w="1809" w:type="dxa"/>
            <w:tcBorders>
              <w:top w:val="single" w:sz="6" w:space="0" w:color="auto"/>
            </w:tcBorders>
            <w:shd w:val="clear" w:color="auto" w:fill="D9D9D9"/>
          </w:tcPr>
          <w:p w14:paraId="34F36BB7"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797820BF"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3B6C95">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14:paraId="14FF598C" w14:textId="77777777" w:rsidTr="00BA1176">
        <w:trPr>
          <w:trHeight w:val="666"/>
        </w:trPr>
        <w:tc>
          <w:tcPr>
            <w:tcW w:w="1809" w:type="dxa"/>
            <w:tcBorders>
              <w:top w:val="single" w:sz="6" w:space="0" w:color="auto"/>
            </w:tcBorders>
            <w:shd w:val="clear" w:color="auto" w:fill="D9D9D9"/>
          </w:tcPr>
          <w:p w14:paraId="141E2901" w14:textId="77777777"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6417C9B4" w14:textId="77777777" w:rsidR="0022746E" w:rsidRPr="00152E9D" w:rsidRDefault="0022746E" w:rsidP="0022746E">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FA1DD06" w14:textId="77777777" w:rsidR="0022746E" w:rsidRPr="0022746E" w:rsidRDefault="0022746E" w:rsidP="0022746E">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Turnitin version is the primary submission and acts as a receipt for the student.  </w:t>
            </w:r>
            <w:r w:rsidRPr="00152E9D">
              <w:rPr>
                <w:rFonts w:ascii="Calibri" w:hAnsi="Calibri" w:cs="Arial"/>
                <w:b/>
                <w:sz w:val="22"/>
                <w:szCs w:val="22"/>
              </w:rPr>
              <w:t>Late submission of the electronic version of the assignment wi</w:t>
            </w:r>
            <w:r w:rsidR="00BA6B2C">
              <w:rPr>
                <w:rFonts w:ascii="Calibri" w:hAnsi="Calibri" w:cs="Arial"/>
                <w:b/>
                <w:sz w:val="22"/>
                <w:szCs w:val="22"/>
              </w:rPr>
              <w:t>ll result in a late penalty</w:t>
            </w:r>
            <w:r w:rsidRPr="00152E9D">
              <w:rPr>
                <w:rFonts w:ascii="Calibri" w:hAnsi="Calibri" w:cs="Arial"/>
                <w:b/>
                <w:sz w:val="22"/>
                <w:szCs w:val="22"/>
              </w:rPr>
              <w:t xml:space="preserve">.  </w:t>
            </w:r>
            <w:r w:rsidRPr="00152E9D">
              <w:rPr>
                <w:rFonts w:ascii="Calibri" w:hAnsi="Calibri" w:cs="Arial"/>
                <w:sz w:val="22"/>
                <w:szCs w:val="22"/>
              </w:rPr>
              <w:t>Penalties for l</w:t>
            </w:r>
            <w:r w:rsidR="00BA6B2C">
              <w:rPr>
                <w:rFonts w:ascii="Calibri" w:hAnsi="Calibri" w:cs="Arial"/>
                <w:sz w:val="22"/>
                <w:szCs w:val="22"/>
              </w:rPr>
              <w:t>ate submission: Up to one week late, maximum grade D.</w:t>
            </w:r>
            <w:r w:rsidRPr="00152E9D">
              <w:rPr>
                <w:rFonts w:ascii="Calibri" w:hAnsi="Calibri" w:cs="Arial"/>
                <w:sz w:val="22"/>
                <w:szCs w:val="22"/>
              </w:rPr>
              <w:t xml:space="preserve">  Over one week late, Refer.  Only the Extenuating Circumstances Panel may grant an extension.</w:t>
            </w:r>
          </w:p>
        </w:tc>
        <w:tc>
          <w:tcPr>
            <w:tcW w:w="1134" w:type="dxa"/>
            <w:tcBorders>
              <w:top w:val="single" w:sz="6" w:space="0" w:color="auto"/>
            </w:tcBorders>
            <w:shd w:val="clear" w:color="auto" w:fill="D9D9D9"/>
          </w:tcPr>
          <w:p w14:paraId="7FA918D3"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152A5B5A" w14:textId="77777777" w:rsidR="00FB5CF8" w:rsidRPr="00C1361B" w:rsidRDefault="00FB5CF8" w:rsidP="00FB5CF8">
            <w:pPr>
              <w:rPr>
                <w:rFonts w:ascii="Calibri" w:hAnsi="Calibri" w:cs="Arial"/>
                <w:b/>
              </w:rPr>
            </w:pPr>
          </w:p>
        </w:tc>
      </w:tr>
    </w:tbl>
    <w:p w14:paraId="231B1F23" w14:textId="77777777"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6891BFCE" w14:textId="77777777" w:rsidTr="00152E9D">
        <w:trPr>
          <w:trHeight w:val="386"/>
        </w:trPr>
        <w:tc>
          <w:tcPr>
            <w:tcW w:w="9464" w:type="dxa"/>
            <w:vMerge w:val="restart"/>
            <w:shd w:val="pct15" w:color="auto" w:fill="auto"/>
          </w:tcPr>
          <w:p w14:paraId="62863BEF" w14:textId="77777777" w:rsidR="00BA1176" w:rsidRPr="00BA1176" w:rsidRDefault="00BA6B2C" w:rsidP="0022746E">
            <w:pPr>
              <w:spacing w:before="120" w:after="120"/>
              <w:jc w:val="both"/>
              <w:rPr>
                <w:rFonts w:ascii="Calibri" w:hAnsi="Calibri" w:cs="Calibri"/>
                <w:b/>
                <w:sz w:val="18"/>
                <w:szCs w:val="18"/>
              </w:rPr>
            </w:pPr>
            <w:r>
              <w:rPr>
                <w:rFonts w:ascii="Calibri" w:hAnsi="Calibri" w:cs="Arial"/>
                <w:sz w:val="18"/>
                <w:szCs w:val="18"/>
              </w:rPr>
              <w:t>Module lead</w:t>
            </w:r>
            <w:r w:rsidR="00152E9D" w:rsidRPr="00BA1176">
              <w:rPr>
                <w:rFonts w:ascii="Calibri" w:hAnsi="Calibri" w:cs="Arial"/>
                <w:sz w:val="18"/>
                <w:szCs w:val="18"/>
              </w:rPr>
              <w:t xml:space="preserve"> to</w:t>
            </w:r>
            <w:r w:rsidR="003B6C95">
              <w:rPr>
                <w:rFonts w:ascii="Calibri" w:hAnsi="Calibri" w:cs="Arial"/>
                <w:sz w:val="18"/>
                <w:szCs w:val="18"/>
              </w:rPr>
              <w:t xml:space="preserve"> </w:t>
            </w:r>
            <w:r w:rsidR="00152E9D" w:rsidRPr="00BA1176">
              <w:rPr>
                <w:rFonts w:ascii="Calibri" w:hAnsi="Calibri" w:cs="Arial"/>
                <w:sz w:val="18"/>
                <w:szCs w:val="18"/>
              </w:rPr>
              <w:t>t</w:t>
            </w:r>
            <w:r w:rsidR="00152E9D">
              <w:rPr>
                <w:rFonts w:ascii="Calibri" w:hAnsi="Calibri" w:cs="Arial"/>
                <w:sz w:val="18"/>
                <w:szCs w:val="18"/>
              </w:rPr>
              <w:t>ick to indicate if a hard copy</w:t>
            </w:r>
            <w:r w:rsidR="00152E9D" w:rsidRPr="00BA1176">
              <w:rPr>
                <w:rFonts w:ascii="Calibri" w:hAnsi="Calibri" w:cs="Arial"/>
                <w:sz w:val="18"/>
                <w:szCs w:val="18"/>
              </w:rPr>
              <w:t xml:space="preserve"> version of the assignment must be</w:t>
            </w:r>
            <w:r w:rsidR="00152E9D">
              <w:rPr>
                <w:rFonts w:ascii="Calibri" w:hAnsi="Calibri" w:cs="Arial"/>
                <w:sz w:val="18"/>
                <w:szCs w:val="18"/>
              </w:rPr>
              <w:t xml:space="preserve"> submitted.</w:t>
            </w:r>
            <w:r>
              <w:rPr>
                <w:rFonts w:ascii="Calibri" w:hAnsi="Calibri" w:cs="Arial"/>
                <w:sz w:val="18"/>
                <w:szCs w:val="18"/>
              </w:rPr>
              <w:t>*</w:t>
            </w:r>
          </w:p>
        </w:tc>
        <w:tc>
          <w:tcPr>
            <w:tcW w:w="567" w:type="dxa"/>
            <w:shd w:val="pct15" w:color="auto" w:fill="auto"/>
          </w:tcPr>
          <w:p w14:paraId="52B61ED5"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2FC9B782" w14:textId="77777777" w:rsidR="00BA1176" w:rsidRPr="00BF30FF" w:rsidRDefault="00BA1176" w:rsidP="00B81AD3">
            <w:pPr>
              <w:spacing w:before="120" w:after="120"/>
              <w:jc w:val="both"/>
              <w:rPr>
                <w:rFonts w:ascii="Calibri" w:hAnsi="Calibri" w:cs="Calibri"/>
                <w:b/>
              </w:rPr>
            </w:pPr>
          </w:p>
        </w:tc>
      </w:tr>
      <w:tr w:rsidR="00BA1176" w:rsidRPr="00BF30FF" w14:paraId="2E5F7482" w14:textId="77777777" w:rsidTr="00152E9D">
        <w:trPr>
          <w:trHeight w:val="408"/>
        </w:trPr>
        <w:tc>
          <w:tcPr>
            <w:tcW w:w="9464" w:type="dxa"/>
            <w:vMerge/>
            <w:shd w:val="pct15" w:color="auto" w:fill="auto"/>
          </w:tcPr>
          <w:p w14:paraId="3A7829E9"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2EECB4F3"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49E697EE" w14:textId="44D97981" w:rsidR="00BA1176" w:rsidRPr="00BF30FF" w:rsidRDefault="007423C5" w:rsidP="00B81AD3">
            <w:pPr>
              <w:spacing w:before="120" w:after="120"/>
              <w:jc w:val="both"/>
              <w:rPr>
                <w:rFonts w:ascii="Calibri" w:hAnsi="Calibri" w:cs="Calibri"/>
                <w:b/>
              </w:rPr>
            </w:pPr>
            <w:r>
              <w:rPr>
                <w:rFonts w:ascii="Calibri" w:hAnsi="Calibri" w:cs="Calibri"/>
                <w:b/>
              </w:rPr>
              <w:t>√</w:t>
            </w:r>
          </w:p>
        </w:tc>
      </w:tr>
    </w:tbl>
    <w:p w14:paraId="1F055A0C" w14:textId="77777777" w:rsidR="0028204E" w:rsidRDefault="0028204E" w:rsidP="00DB116D">
      <w:pPr>
        <w:rPr>
          <w:sz w:val="32"/>
        </w:rPr>
      </w:pPr>
    </w:p>
    <w:p w14:paraId="2B5C4864" w14:textId="77777777" w:rsidR="00152E9D" w:rsidRDefault="00152E9D" w:rsidP="00DB116D">
      <w:pPr>
        <w:rPr>
          <w:rFonts w:ascii="Calibri" w:hAnsi="Calibri" w:cs="Calibri"/>
          <w:b/>
        </w:rPr>
      </w:pPr>
    </w:p>
    <w:p w14:paraId="0E51E97E" w14:textId="77777777" w:rsidR="00BA6B2C" w:rsidRDefault="00BA6B2C" w:rsidP="00DB116D">
      <w:pPr>
        <w:rPr>
          <w:rFonts w:ascii="Calibri" w:hAnsi="Calibri" w:cs="Calibri"/>
          <w:b/>
        </w:rPr>
      </w:pPr>
    </w:p>
    <w:p w14:paraId="0305C78E" w14:textId="77777777" w:rsidR="005F2609" w:rsidRDefault="005F2609" w:rsidP="00DB116D">
      <w:pPr>
        <w:rPr>
          <w:rFonts w:ascii="Calibri" w:hAnsi="Calibri" w:cs="Calibri"/>
          <w:b/>
        </w:rPr>
      </w:pPr>
    </w:p>
    <w:p w14:paraId="0FC542B1" w14:textId="77777777" w:rsidR="005F2609" w:rsidRDefault="005F2609" w:rsidP="00DB116D">
      <w:pPr>
        <w:rPr>
          <w:rFonts w:ascii="Calibri" w:hAnsi="Calibri" w:cs="Calibri"/>
          <w:b/>
        </w:rPr>
      </w:pPr>
    </w:p>
    <w:p w14:paraId="1D9C4B4F" w14:textId="77777777" w:rsidR="005F2609" w:rsidRDefault="005F2609" w:rsidP="00DB116D">
      <w:pPr>
        <w:rPr>
          <w:rFonts w:ascii="Calibri" w:hAnsi="Calibri" w:cs="Calibri"/>
          <w:b/>
        </w:rPr>
      </w:pPr>
    </w:p>
    <w:p w14:paraId="1001D95D" w14:textId="77777777" w:rsidR="005F2609" w:rsidRDefault="005F2609" w:rsidP="00DB116D">
      <w:pPr>
        <w:rPr>
          <w:rFonts w:ascii="Calibri" w:hAnsi="Calibri" w:cs="Calibri"/>
          <w:b/>
        </w:rPr>
      </w:pPr>
    </w:p>
    <w:p w14:paraId="31FC7916" w14:textId="77777777" w:rsidR="005F2609" w:rsidRDefault="005F2609" w:rsidP="00DB116D">
      <w:pPr>
        <w:rPr>
          <w:rFonts w:ascii="Calibri" w:hAnsi="Calibri" w:cs="Calibri"/>
          <w:b/>
        </w:rPr>
      </w:pPr>
    </w:p>
    <w:p w14:paraId="3DBE1297" w14:textId="77777777" w:rsidR="005F2609" w:rsidRDefault="005F2609" w:rsidP="00DB116D">
      <w:pPr>
        <w:rPr>
          <w:rFonts w:ascii="Calibri" w:hAnsi="Calibri" w:cs="Calibri"/>
          <w:b/>
        </w:rPr>
      </w:pPr>
    </w:p>
    <w:p w14:paraId="3FDBFD47" w14:textId="77777777" w:rsidR="005F2609" w:rsidRDefault="005F2609" w:rsidP="00DB116D">
      <w:pPr>
        <w:rPr>
          <w:rFonts w:ascii="Calibri" w:hAnsi="Calibri" w:cs="Calibri"/>
          <w:b/>
        </w:rPr>
      </w:pPr>
    </w:p>
    <w:p w14:paraId="75905F23" w14:textId="77777777" w:rsidR="005F2609" w:rsidRDefault="005F2609" w:rsidP="00DB116D">
      <w:pPr>
        <w:rPr>
          <w:rFonts w:ascii="Calibri" w:hAnsi="Calibri" w:cs="Calibri"/>
          <w:b/>
        </w:rPr>
      </w:pPr>
    </w:p>
    <w:p w14:paraId="15DC5E9B" w14:textId="77777777" w:rsidR="00772B72" w:rsidRPr="00772B72" w:rsidRDefault="00772B72" w:rsidP="00772B72">
      <w:pPr>
        <w:textAlignment w:val="baseline"/>
        <w:rPr>
          <w:rFonts w:ascii="Arial" w:hAnsi="Arial" w:cs="Arial"/>
          <w:sz w:val="18"/>
          <w:szCs w:val="18"/>
        </w:rPr>
      </w:pPr>
      <w:r w:rsidRPr="00772B72">
        <w:rPr>
          <w:rFonts w:ascii="Times" w:hAnsi="Times" w:cs="Arial"/>
          <w:color w:val="000000"/>
          <w:sz w:val="27"/>
          <w:szCs w:val="27"/>
        </w:rPr>
        <w:t>A qualitative study on the perceived effectiveness of the ‘no hands-up’ approach to assessment for learning: a case study of year 7 learners.</w:t>
      </w:r>
      <w:r w:rsidRPr="00772B72">
        <w:rPr>
          <w:rFonts w:ascii="Times" w:hAnsi="Times" w:cs="Arial"/>
          <w:sz w:val="27"/>
          <w:szCs w:val="27"/>
        </w:rPr>
        <w:t> </w:t>
      </w:r>
    </w:p>
    <w:p w14:paraId="42262205" w14:textId="77777777"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 </w:t>
      </w:r>
    </w:p>
    <w:p w14:paraId="4BF3FF1E" w14:textId="77777777" w:rsidR="00772B72" w:rsidRDefault="00772B72" w:rsidP="00772B72">
      <w:pPr>
        <w:textAlignment w:val="baseline"/>
        <w:rPr>
          <w:rFonts w:ascii="Calibri" w:hAnsi="Calibri" w:cs="Arial"/>
          <w:sz w:val="22"/>
          <w:szCs w:val="22"/>
        </w:rPr>
      </w:pPr>
      <w:r w:rsidRPr="00772B72">
        <w:rPr>
          <w:rFonts w:ascii="Calibri" w:hAnsi="Calibri" w:cs="Arial"/>
          <w:b/>
          <w:bCs/>
          <w:sz w:val="22"/>
          <w:szCs w:val="22"/>
        </w:rPr>
        <w:t>Introduction</w:t>
      </w:r>
      <w:r w:rsidRPr="00772B72">
        <w:rPr>
          <w:rFonts w:ascii="Calibri" w:hAnsi="Calibri" w:cs="Arial"/>
          <w:sz w:val="22"/>
          <w:szCs w:val="22"/>
        </w:rPr>
        <w:t> </w:t>
      </w:r>
    </w:p>
    <w:p w14:paraId="3DE5FC93" w14:textId="77777777" w:rsidR="008F1156" w:rsidRPr="00772B72" w:rsidRDefault="008F1156" w:rsidP="00772B72">
      <w:pPr>
        <w:textAlignment w:val="baseline"/>
        <w:rPr>
          <w:rFonts w:ascii="Arial" w:hAnsi="Arial" w:cs="Arial"/>
          <w:sz w:val="18"/>
          <w:szCs w:val="18"/>
        </w:rPr>
      </w:pPr>
    </w:p>
    <w:p w14:paraId="6A8F11EA"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The particular research question I have chosen to explore for this assignment focuses on assessment for learning (AFL) more specifically analysing the use of the no-hands up approach to questioning. This will include the use of lollipop sticks with each pupil’s name on so the teacher can select a stick (pupil) at random to answer the question. AFL, as stated by a number of academic writers, is one of the most important tools a teacher can use in the classroom as it continually supports and enhances the learning and development of the pupils (</w:t>
      </w:r>
      <w:proofErr w:type="spellStart"/>
      <w:r w:rsidRPr="00772B72">
        <w:rPr>
          <w:rFonts w:ascii="Calibri" w:hAnsi="Calibri" w:cs="Arial"/>
          <w:sz w:val="22"/>
          <w:szCs w:val="22"/>
        </w:rPr>
        <w:t>Broadfoot</w:t>
      </w:r>
      <w:proofErr w:type="spellEnd"/>
      <w:r w:rsidRPr="00772B72">
        <w:rPr>
          <w:rFonts w:ascii="Calibri" w:hAnsi="Calibri" w:cs="Arial"/>
          <w:sz w:val="22"/>
          <w:szCs w:val="22"/>
        </w:rPr>
        <w:t>, et al., 2002; </w:t>
      </w:r>
      <w:proofErr w:type="spellStart"/>
      <w:r w:rsidRPr="00772B72">
        <w:rPr>
          <w:rFonts w:ascii="Calibri" w:hAnsi="Calibri" w:cs="Arial"/>
          <w:sz w:val="22"/>
          <w:szCs w:val="22"/>
        </w:rPr>
        <w:t>Harlen</w:t>
      </w:r>
      <w:proofErr w:type="spellEnd"/>
      <w:r w:rsidRPr="00772B72">
        <w:rPr>
          <w:rFonts w:ascii="Calibri" w:hAnsi="Calibri" w:cs="Arial"/>
          <w:sz w:val="22"/>
          <w:szCs w:val="22"/>
        </w:rPr>
        <w:t>, 2007; Shepard, 2000</w:t>
      </w:r>
      <w:r w:rsidRPr="00772B72">
        <w:rPr>
          <w:rFonts w:ascii="Calibri" w:hAnsi="Calibri" w:cs="Arial"/>
          <w:color w:val="FF0000"/>
          <w:sz w:val="22"/>
          <w:szCs w:val="22"/>
        </w:rPr>
        <w:t>; </w:t>
      </w:r>
      <w:r w:rsidRPr="00772B72">
        <w:rPr>
          <w:rFonts w:ascii="Calibri" w:hAnsi="Calibri" w:cs="Arial"/>
          <w:sz w:val="22"/>
          <w:szCs w:val="22"/>
        </w:rPr>
        <w:t>Black &amp; </w:t>
      </w:r>
      <w:proofErr w:type="spellStart"/>
      <w:r w:rsidRPr="00772B72">
        <w:rPr>
          <w:rFonts w:ascii="Calibri" w:hAnsi="Calibri" w:cs="Arial"/>
          <w:sz w:val="22"/>
          <w:szCs w:val="22"/>
        </w:rPr>
        <w:t>Wiliam</w:t>
      </w:r>
      <w:proofErr w:type="spellEnd"/>
      <w:r w:rsidRPr="00772B72">
        <w:rPr>
          <w:rFonts w:ascii="Calibri" w:hAnsi="Calibri" w:cs="Arial"/>
          <w:sz w:val="22"/>
          <w:szCs w:val="22"/>
        </w:rPr>
        <w:t>, 1998; </w:t>
      </w:r>
      <w:proofErr w:type="spellStart"/>
      <w:r w:rsidRPr="00772B72">
        <w:rPr>
          <w:rFonts w:ascii="Calibri" w:hAnsi="Calibri" w:cs="Arial"/>
          <w:sz w:val="22"/>
          <w:szCs w:val="22"/>
        </w:rPr>
        <w:t>Stiggins</w:t>
      </w:r>
      <w:proofErr w:type="spellEnd"/>
      <w:r w:rsidRPr="00772B72">
        <w:rPr>
          <w:rFonts w:ascii="Calibri" w:hAnsi="Calibri" w:cs="Arial"/>
          <w:sz w:val="22"/>
          <w:szCs w:val="22"/>
        </w:rPr>
        <w:t>, 2002).</w:t>
      </w:r>
      <w:r w:rsidRPr="00772B72">
        <w:rPr>
          <w:rFonts w:ascii="Calibri" w:hAnsi="Calibri" w:cs="Arial"/>
          <w:color w:val="FF0000"/>
          <w:sz w:val="22"/>
          <w:szCs w:val="22"/>
        </w:rPr>
        <w:t> </w:t>
      </w:r>
      <w:r w:rsidRPr="00772B72">
        <w:rPr>
          <w:rFonts w:ascii="Calibri" w:hAnsi="Calibri" w:cs="Arial"/>
          <w:sz w:val="22"/>
          <w:szCs w:val="22"/>
        </w:rPr>
        <w:t>The no-hands up approach ensures all pupils in the class are engaged as they are aware that they may be asked to answer a question at any time during the lesson (</w:t>
      </w:r>
      <w:proofErr w:type="spellStart"/>
      <w:r w:rsidRPr="00772B72">
        <w:rPr>
          <w:rFonts w:ascii="Calibri" w:hAnsi="Calibri" w:cs="Arial"/>
          <w:sz w:val="22"/>
          <w:szCs w:val="22"/>
        </w:rPr>
        <w:t>Fenn</w:t>
      </w:r>
      <w:proofErr w:type="spellEnd"/>
      <w:r w:rsidRPr="00772B72">
        <w:rPr>
          <w:rFonts w:ascii="Calibri" w:hAnsi="Calibri" w:cs="Arial"/>
          <w:sz w:val="22"/>
          <w:szCs w:val="22"/>
        </w:rPr>
        <w:t> &amp; Richardson, 2009).  This subject area has been chosen as it has come under vast amount of scrutiny within secondary education, even though it is regarded as a key AFL technique (Leah, Lyon, Thompson &amp; </w:t>
      </w:r>
      <w:proofErr w:type="spellStart"/>
      <w:r w:rsidRPr="00772B72">
        <w:rPr>
          <w:rFonts w:ascii="Calibri" w:hAnsi="Calibri" w:cs="Arial"/>
          <w:sz w:val="22"/>
          <w:szCs w:val="22"/>
        </w:rPr>
        <w:t>Wiliam</w:t>
      </w:r>
      <w:proofErr w:type="spellEnd"/>
      <w:r w:rsidRPr="00772B72">
        <w:rPr>
          <w:rFonts w:ascii="Calibri" w:hAnsi="Calibri" w:cs="Arial"/>
          <w:sz w:val="22"/>
          <w:szCs w:val="22"/>
        </w:rPr>
        <w:t>, 2005).</w:t>
      </w:r>
      <w:r w:rsidRPr="00772B72">
        <w:rPr>
          <w:rFonts w:ascii="Calibri" w:hAnsi="Calibri" w:cs="Arial"/>
          <w:color w:val="FF0000"/>
          <w:sz w:val="22"/>
          <w:szCs w:val="22"/>
        </w:rPr>
        <w:t> </w:t>
      </w:r>
      <w:r w:rsidRPr="00772B72">
        <w:rPr>
          <w:rFonts w:ascii="Calibri" w:hAnsi="Calibri" w:cs="Arial"/>
          <w:sz w:val="22"/>
          <w:szCs w:val="22"/>
        </w:rPr>
        <w:t>Therefore, I believe it is a topic that would be worth investigating further.  </w:t>
      </w:r>
    </w:p>
    <w:p w14:paraId="09A79927" w14:textId="77777777" w:rsidR="008F1156" w:rsidRPr="00772B72" w:rsidRDefault="008F1156" w:rsidP="00772B72">
      <w:pPr>
        <w:textAlignment w:val="baseline"/>
        <w:rPr>
          <w:rFonts w:ascii="Arial" w:hAnsi="Arial" w:cs="Arial"/>
          <w:sz w:val="18"/>
          <w:szCs w:val="18"/>
        </w:rPr>
      </w:pPr>
    </w:p>
    <w:p w14:paraId="0DAF2D0E" w14:textId="77777777"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The research will be taking place in School X which is located in South Wales and is a green category school with 1,693 pupils on roll (Welsh Government, 2018) and was rated "excellent" in its most recent school inspection (Estyn, 2011:2). The class chosen for this research is a year 7 mixed ability class, with 32 pupils allocated to it. The research will be conducted over a 2-week period which will consist of four one-hour lessons.  </w:t>
      </w:r>
    </w:p>
    <w:p w14:paraId="14602CE8" w14:textId="77777777"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 </w:t>
      </w:r>
    </w:p>
    <w:p w14:paraId="48A78A4F" w14:textId="77777777" w:rsidR="00772B72" w:rsidRDefault="00772B72" w:rsidP="00772B72">
      <w:pPr>
        <w:textAlignment w:val="baseline"/>
        <w:rPr>
          <w:rFonts w:ascii="Calibri" w:hAnsi="Calibri" w:cs="Arial"/>
          <w:sz w:val="22"/>
          <w:szCs w:val="22"/>
        </w:rPr>
      </w:pPr>
      <w:r w:rsidRPr="00772B72">
        <w:rPr>
          <w:rFonts w:ascii="Calibri" w:hAnsi="Calibri" w:cs="Arial"/>
          <w:b/>
          <w:bCs/>
          <w:sz w:val="22"/>
          <w:szCs w:val="22"/>
        </w:rPr>
        <w:t>Literature Review </w:t>
      </w:r>
      <w:r w:rsidRPr="00772B72">
        <w:rPr>
          <w:rFonts w:ascii="Calibri" w:hAnsi="Calibri" w:cs="Arial"/>
          <w:sz w:val="22"/>
          <w:szCs w:val="22"/>
        </w:rPr>
        <w:t> </w:t>
      </w:r>
    </w:p>
    <w:p w14:paraId="3B175869" w14:textId="77777777" w:rsidR="008F1156" w:rsidRPr="00772B72" w:rsidRDefault="008F1156" w:rsidP="00772B72">
      <w:pPr>
        <w:textAlignment w:val="baseline"/>
        <w:rPr>
          <w:rFonts w:ascii="Arial" w:hAnsi="Arial" w:cs="Arial"/>
          <w:sz w:val="18"/>
          <w:szCs w:val="18"/>
        </w:rPr>
      </w:pPr>
    </w:p>
    <w:p w14:paraId="5E71E438"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The aim of AFL is that during the process the pupils learning is improved (James and Pedder, 2006). The main priority of AFL is designed to promote and assess pupils learning (</w:t>
      </w:r>
      <w:proofErr w:type="spellStart"/>
      <w:r w:rsidRPr="00772B72">
        <w:rPr>
          <w:rFonts w:ascii="Calibri" w:hAnsi="Calibri" w:cs="Arial"/>
          <w:sz w:val="22"/>
          <w:szCs w:val="22"/>
        </w:rPr>
        <w:t>Wiliam</w:t>
      </w:r>
      <w:proofErr w:type="spellEnd"/>
      <w:r w:rsidRPr="00772B72">
        <w:rPr>
          <w:rFonts w:ascii="Calibri" w:hAnsi="Calibri" w:cs="Arial"/>
          <w:sz w:val="22"/>
          <w:szCs w:val="22"/>
        </w:rPr>
        <w:t>, 2014) which, in theory, should be a part of the teachers everyday practice as they continually aim to reflect and enhance their pupils continued progression. One of the main priorities of AFL is to assess pupils learning, this may be due to the change of focus on pupil attainment moving away from the quality of teaching to the quality of learning (</w:t>
      </w:r>
      <w:proofErr w:type="spellStart"/>
      <w:r w:rsidRPr="00772B72">
        <w:rPr>
          <w:rFonts w:ascii="Calibri" w:hAnsi="Calibri" w:cs="Arial"/>
          <w:sz w:val="22"/>
          <w:szCs w:val="22"/>
        </w:rPr>
        <w:t>Arends</w:t>
      </w:r>
      <w:proofErr w:type="spellEnd"/>
      <w:r w:rsidRPr="00772B72">
        <w:rPr>
          <w:rFonts w:ascii="Calibri" w:hAnsi="Calibri" w:cs="Arial"/>
          <w:sz w:val="22"/>
          <w:szCs w:val="22"/>
        </w:rPr>
        <w:t>, 2014). Therefore, the main function of any assessment, including the no-hands up approach, is to help aid and advance all pupils’ learning (Shepard, 2000); </w:t>
      </w:r>
      <w:proofErr w:type="gramStart"/>
      <w:r w:rsidRPr="00772B72">
        <w:rPr>
          <w:rFonts w:ascii="Calibri" w:hAnsi="Calibri" w:cs="Arial"/>
          <w:sz w:val="22"/>
          <w:szCs w:val="22"/>
        </w:rPr>
        <w:t>thus</w:t>
      </w:r>
      <w:proofErr w:type="gramEnd"/>
      <w:r w:rsidRPr="00772B72">
        <w:rPr>
          <w:rFonts w:ascii="Calibri" w:hAnsi="Calibri" w:cs="Arial"/>
          <w:sz w:val="22"/>
          <w:szCs w:val="22"/>
        </w:rPr>
        <w:t> ensuring that the education system is an inclusive environment where no child is left behind. This is supported by various academic literatures such as, </w:t>
      </w:r>
      <w:proofErr w:type="spellStart"/>
      <w:r w:rsidRPr="00772B72">
        <w:rPr>
          <w:rFonts w:ascii="Calibri" w:hAnsi="Calibri" w:cs="Arial"/>
          <w:sz w:val="22"/>
          <w:szCs w:val="22"/>
        </w:rPr>
        <w:t>Harlen</w:t>
      </w:r>
      <w:proofErr w:type="spellEnd"/>
      <w:r w:rsidRPr="00772B72">
        <w:rPr>
          <w:rFonts w:ascii="Calibri" w:hAnsi="Calibri" w:cs="Arial"/>
          <w:sz w:val="22"/>
          <w:szCs w:val="22"/>
        </w:rPr>
        <w:t> (2007) who states that learning and development of pupils should be the main outcome of assessment, as well as Gardner and Gardner (2012), who reported that AFL increased pupils' attainment alongside supporting their development in learning. </w:t>
      </w:r>
      <w:proofErr w:type="spellStart"/>
      <w:r w:rsidRPr="00772B72">
        <w:rPr>
          <w:rFonts w:ascii="Calibri" w:hAnsi="Calibri" w:cs="Arial"/>
          <w:sz w:val="22"/>
          <w:szCs w:val="22"/>
        </w:rPr>
        <w:t>Stiggins</w:t>
      </w:r>
      <w:proofErr w:type="spellEnd"/>
      <w:r w:rsidRPr="00772B72">
        <w:rPr>
          <w:rFonts w:ascii="Calibri" w:hAnsi="Calibri" w:cs="Arial"/>
          <w:sz w:val="22"/>
          <w:szCs w:val="22"/>
        </w:rPr>
        <w:t> (2002) </w:t>
      </w:r>
      <w:r w:rsidRPr="00772B72">
        <w:rPr>
          <w:rFonts w:ascii="Calibri" w:hAnsi="Calibri" w:cs="Arial"/>
          <w:color w:val="000000"/>
          <w:sz w:val="22"/>
          <w:szCs w:val="22"/>
        </w:rPr>
        <w:t>agreed, by stating</w:t>
      </w:r>
      <w:r w:rsidRPr="00772B72">
        <w:rPr>
          <w:rFonts w:ascii="Calibri" w:hAnsi="Calibri" w:cs="Arial"/>
          <w:color w:val="FF0000"/>
          <w:sz w:val="22"/>
          <w:szCs w:val="22"/>
        </w:rPr>
        <w:t> </w:t>
      </w:r>
      <w:r w:rsidRPr="00772B72">
        <w:rPr>
          <w:rFonts w:ascii="Calibri" w:hAnsi="Calibri" w:cs="Arial"/>
          <w:sz w:val="22"/>
          <w:szCs w:val="22"/>
        </w:rPr>
        <w:t>that AFL is essential to a classroom as the inclusion helps the learning and development of the pupils. </w:t>
      </w:r>
      <w:proofErr w:type="spellStart"/>
      <w:r w:rsidRPr="00772B72">
        <w:rPr>
          <w:rFonts w:ascii="Calibri" w:hAnsi="Calibri" w:cs="Arial"/>
          <w:sz w:val="22"/>
          <w:szCs w:val="22"/>
        </w:rPr>
        <w:t>Boud</w:t>
      </w:r>
      <w:proofErr w:type="spellEnd"/>
      <w:r w:rsidRPr="00772B72">
        <w:rPr>
          <w:rFonts w:ascii="Calibri" w:hAnsi="Calibri" w:cs="Arial"/>
          <w:sz w:val="22"/>
          <w:szCs w:val="22"/>
        </w:rPr>
        <w:t> and </w:t>
      </w:r>
      <w:proofErr w:type="spellStart"/>
      <w:r w:rsidRPr="00772B72">
        <w:rPr>
          <w:rFonts w:ascii="Calibri" w:hAnsi="Calibri" w:cs="Arial"/>
          <w:sz w:val="22"/>
          <w:szCs w:val="22"/>
        </w:rPr>
        <w:t>Falchikov</w:t>
      </w:r>
      <w:proofErr w:type="spellEnd"/>
      <w:r w:rsidRPr="00772B72">
        <w:rPr>
          <w:rFonts w:ascii="Calibri" w:hAnsi="Calibri" w:cs="Arial"/>
          <w:sz w:val="22"/>
          <w:szCs w:val="22"/>
        </w:rPr>
        <w:t> (2007) continued by mentioning that assessment can have a significantly larger impact on pupils learning than teaching. </w:t>
      </w:r>
    </w:p>
    <w:p w14:paraId="7DAB1AF2" w14:textId="77777777" w:rsidR="008F1156" w:rsidRPr="00772B72" w:rsidRDefault="008F1156" w:rsidP="00772B72">
      <w:pPr>
        <w:textAlignment w:val="baseline"/>
        <w:rPr>
          <w:rFonts w:ascii="Arial" w:hAnsi="Arial" w:cs="Arial"/>
          <w:sz w:val="18"/>
          <w:szCs w:val="18"/>
        </w:rPr>
      </w:pPr>
    </w:p>
    <w:p w14:paraId="524D2B48"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Black and </w:t>
      </w:r>
      <w:proofErr w:type="spellStart"/>
      <w:r w:rsidRPr="00772B72">
        <w:rPr>
          <w:rFonts w:ascii="Calibri" w:hAnsi="Calibri" w:cs="Arial"/>
          <w:sz w:val="22"/>
          <w:szCs w:val="22"/>
        </w:rPr>
        <w:t>Wiliam</w:t>
      </w:r>
      <w:proofErr w:type="spellEnd"/>
      <w:r w:rsidRPr="00772B72">
        <w:rPr>
          <w:rFonts w:ascii="Calibri" w:hAnsi="Calibri" w:cs="Arial"/>
          <w:sz w:val="22"/>
          <w:szCs w:val="22"/>
        </w:rPr>
        <w:t> (1998)</w:t>
      </w:r>
      <w:r w:rsidRPr="00772B72">
        <w:rPr>
          <w:rFonts w:ascii="Calibri" w:hAnsi="Calibri" w:cs="Arial"/>
          <w:color w:val="FF0000"/>
          <w:sz w:val="22"/>
          <w:szCs w:val="22"/>
        </w:rPr>
        <w:t> </w:t>
      </w:r>
      <w:r w:rsidRPr="00772B72">
        <w:rPr>
          <w:rFonts w:ascii="Calibri" w:hAnsi="Calibri" w:cs="Arial"/>
          <w:sz w:val="22"/>
          <w:szCs w:val="22"/>
        </w:rPr>
        <w:t>furthered these points as they discussed the importance of AFL techniques, including the no-hands up approach, in increasing the attainment levels in education. </w:t>
      </w:r>
      <w:proofErr w:type="spellStart"/>
      <w:r w:rsidRPr="00772B72">
        <w:rPr>
          <w:rFonts w:ascii="Calibri" w:hAnsi="Calibri" w:cs="Arial"/>
          <w:sz w:val="22"/>
          <w:szCs w:val="22"/>
        </w:rPr>
        <w:t>Wiliam</w:t>
      </w:r>
      <w:proofErr w:type="spellEnd"/>
      <w:r w:rsidRPr="00772B72">
        <w:rPr>
          <w:rFonts w:ascii="Calibri" w:hAnsi="Calibri" w:cs="Arial"/>
          <w:sz w:val="22"/>
          <w:szCs w:val="22"/>
        </w:rPr>
        <w:t> (2014) went on to mention that a classroom that requires pupils to raise their hands to answer a question can be detrimental to their learning as the approach allows pupils to disengage from the lesson resulting in a decreased level of learning (Leah, Lyon, Thompson, and </w:t>
      </w:r>
      <w:proofErr w:type="spellStart"/>
      <w:r w:rsidRPr="00772B72">
        <w:rPr>
          <w:rFonts w:ascii="Calibri" w:hAnsi="Calibri" w:cs="Arial"/>
          <w:sz w:val="22"/>
          <w:szCs w:val="22"/>
        </w:rPr>
        <w:t>Wiliam</w:t>
      </w:r>
      <w:proofErr w:type="spellEnd"/>
      <w:r w:rsidRPr="00772B72">
        <w:rPr>
          <w:rFonts w:ascii="Calibri" w:hAnsi="Calibri" w:cs="Arial"/>
          <w:sz w:val="22"/>
          <w:szCs w:val="22"/>
        </w:rPr>
        <w:t>, 2005).  It can be argued that the most important factor to increase pupils’ desire to learn is to ensure that the pupils are engaged in the classroom. Berry (2008) expressed that if pupils are disengaged then learning cannot take place; the more engaged the pupils are with the lesson the more likely they are to concentrate and enjoy the lesson (Tomlinson and Moon, 2013). </w:t>
      </w:r>
      <w:proofErr w:type="spellStart"/>
      <w:r w:rsidRPr="00772B72">
        <w:rPr>
          <w:rFonts w:ascii="Calibri" w:hAnsi="Calibri" w:cs="Arial"/>
          <w:sz w:val="22"/>
          <w:szCs w:val="22"/>
        </w:rPr>
        <w:t>Klem</w:t>
      </w:r>
      <w:proofErr w:type="spellEnd"/>
      <w:r w:rsidRPr="00772B72">
        <w:rPr>
          <w:rFonts w:ascii="Calibri" w:hAnsi="Calibri" w:cs="Arial"/>
          <w:sz w:val="22"/>
          <w:szCs w:val="22"/>
        </w:rPr>
        <w:t> and Connell (2004) echo these statements as they reported that engagement is also directly linked to pupil success and performance; the more a pupil is engaged and enjoys the lesson the more likely they are to attend school and participate within the lesson. Thus, a technique used to help create engagement within the classroom and to resolve any disengagement issues is to promote a no-hands up approach. Angelo and Cross (1993) agreed that a no-hands up approach to AFL is an effective method to increase pupils’ engagement in the classroom, as this approach ensures all pupils in the class are engaged as they are aware that they may be asked to answer a question at any time during the lesson (</w:t>
      </w:r>
      <w:proofErr w:type="spellStart"/>
      <w:r w:rsidRPr="00772B72">
        <w:rPr>
          <w:rFonts w:ascii="Calibri" w:hAnsi="Calibri" w:cs="Arial"/>
          <w:sz w:val="22"/>
          <w:szCs w:val="22"/>
        </w:rPr>
        <w:t>Fenn</w:t>
      </w:r>
      <w:proofErr w:type="spellEnd"/>
      <w:r w:rsidRPr="00772B72">
        <w:rPr>
          <w:rFonts w:ascii="Calibri" w:hAnsi="Calibri" w:cs="Arial"/>
          <w:sz w:val="22"/>
          <w:szCs w:val="22"/>
        </w:rPr>
        <w:t xml:space="preserve"> &amp; Richardson, 2009). The approach increases engagement as the pupils will pay attention to what the teacher Is saying in case the teacher asks a question and they are randomly selected to answer. This may only work, however, if the pupils feel the need to want to answer the question to avoid embarrassment. Some pupils may be so disengaged with school that if they are asked a question that they do not know the answer to, it will not make a difference to them. However, this is an issue that would need to be taken up with the school and not just a classroom approach. Furthermore, the no-hands up method may appeal to those who are on the verge of disengagement and ensure they remain engaged. On the </w:t>
      </w:r>
      <w:r w:rsidRPr="00772B72">
        <w:rPr>
          <w:rFonts w:ascii="Calibri" w:hAnsi="Calibri" w:cs="Arial"/>
          <w:sz w:val="22"/>
          <w:szCs w:val="22"/>
        </w:rPr>
        <w:lastRenderedPageBreak/>
        <w:t>other hand, e</w:t>
      </w:r>
      <w:r w:rsidRPr="00772B72">
        <w:rPr>
          <w:rFonts w:ascii="Calibri" w:hAnsi="Calibri" w:cs="Arial"/>
          <w:color w:val="000000"/>
          <w:sz w:val="22"/>
          <w:szCs w:val="22"/>
        </w:rPr>
        <w:t>ven though</w:t>
      </w:r>
      <w:r w:rsidRPr="00772B72">
        <w:rPr>
          <w:rFonts w:ascii="Calibri" w:hAnsi="Calibri" w:cs="Arial"/>
          <w:sz w:val="22"/>
          <w:szCs w:val="22"/>
        </w:rPr>
        <w:t> Black and </w:t>
      </w:r>
      <w:proofErr w:type="spellStart"/>
      <w:r w:rsidRPr="00772B72">
        <w:rPr>
          <w:rFonts w:ascii="Calibri" w:hAnsi="Calibri" w:cs="Arial"/>
          <w:sz w:val="22"/>
          <w:szCs w:val="22"/>
        </w:rPr>
        <w:t>Wiliam</w:t>
      </w:r>
      <w:proofErr w:type="spellEnd"/>
      <w:r w:rsidRPr="00772B72">
        <w:rPr>
          <w:rFonts w:ascii="Calibri" w:hAnsi="Calibri" w:cs="Arial"/>
          <w:sz w:val="22"/>
          <w:szCs w:val="22"/>
        </w:rPr>
        <w:t> (1998) found that the</w:t>
      </w:r>
      <w:r w:rsidRPr="00772B72">
        <w:rPr>
          <w:rFonts w:ascii="Calibri" w:hAnsi="Calibri" w:cs="Arial"/>
          <w:color w:val="000000"/>
          <w:sz w:val="22"/>
          <w:szCs w:val="22"/>
        </w:rPr>
        <w:t> engagement and development in the lower ability pupils increased, it was seen to be ineffective in increasing engagement in the more able and talented (MAT) pupils. This is because they are not allowed to answer every question that they know the answer to and are only allowed to answer questions on a random basis. Hence, t</w:t>
      </w:r>
      <w:r w:rsidRPr="00772B72">
        <w:rPr>
          <w:rFonts w:ascii="Calibri" w:hAnsi="Calibri" w:cs="Arial"/>
          <w:sz w:val="22"/>
          <w:szCs w:val="22"/>
        </w:rPr>
        <w:t>he possibility of increased frustration within the MAT pupils leading to increased levels of disengagement. Following on from that, Tomlinson and Moon (2013) both critiqued the use of AFL strategies, such as the no-hands up approach, as a tool to engage pupils. They believed that the engagement of pupils is not the teacher’s main priority when using AFL techniques. Instead, the researchers explained that the AFL technique’s main function is to assess the pupils’ learning and that engagement should be a concern for the department when setting their curriculum. Kerry (2005), on the other hand, disagreed by saying that engagement is the responsibility of the teacher as they are accountable for planning and developing the individual lessons. </w:t>
      </w:r>
    </w:p>
    <w:p w14:paraId="1E5F579B" w14:textId="77777777" w:rsidR="008F1156" w:rsidRPr="00772B72" w:rsidRDefault="008F1156" w:rsidP="00772B72">
      <w:pPr>
        <w:textAlignment w:val="baseline"/>
        <w:rPr>
          <w:rFonts w:ascii="Arial" w:hAnsi="Arial" w:cs="Arial"/>
          <w:sz w:val="18"/>
          <w:szCs w:val="18"/>
        </w:rPr>
      </w:pPr>
    </w:p>
    <w:p w14:paraId="75825B6B"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A further critique of the no-hands up approach is that the pace of the lesson is affected. The pace of a lesson if affected, if a lollipop stick method is used, as teachers will have to stop and select a stick for every question that is asked (Black and </w:t>
      </w:r>
      <w:proofErr w:type="spellStart"/>
      <w:r w:rsidRPr="00772B72">
        <w:rPr>
          <w:rFonts w:ascii="Calibri" w:hAnsi="Calibri" w:cs="Arial"/>
          <w:sz w:val="22"/>
          <w:szCs w:val="22"/>
        </w:rPr>
        <w:t>Wiliam</w:t>
      </w:r>
      <w:proofErr w:type="spellEnd"/>
      <w:r w:rsidRPr="00772B72">
        <w:rPr>
          <w:rFonts w:ascii="Calibri" w:hAnsi="Calibri" w:cs="Arial"/>
          <w:sz w:val="22"/>
          <w:szCs w:val="22"/>
        </w:rPr>
        <w:t>, 2005). This decreased pace could then in turn impact the pupils’ engagement as the 'fluidity' and 'bouncing' of questions of each pupil is restricted. A quick solution for this would be to select multiple lollipop stick at a time, thus, reducing the amount of time spent searching for a stick. Despite this minor flaw, the lollipop stick method is a more advantageous approach to selection as it ensures that process of questioning is completely random (Black and </w:t>
      </w:r>
      <w:proofErr w:type="spellStart"/>
      <w:r w:rsidRPr="00772B72">
        <w:rPr>
          <w:rFonts w:ascii="Calibri" w:hAnsi="Calibri" w:cs="Arial"/>
          <w:sz w:val="22"/>
          <w:szCs w:val="22"/>
        </w:rPr>
        <w:t>Wiliam</w:t>
      </w:r>
      <w:proofErr w:type="spellEnd"/>
      <w:r w:rsidRPr="00772B72">
        <w:rPr>
          <w:rFonts w:ascii="Calibri" w:hAnsi="Calibri" w:cs="Arial"/>
          <w:sz w:val="22"/>
          <w:szCs w:val="22"/>
        </w:rPr>
        <w:t>, 2009) and eliminates any bias towards teachers choosing pupils regularly or ones they believe will know the answer (Black and </w:t>
      </w:r>
      <w:proofErr w:type="spellStart"/>
      <w:r w:rsidRPr="00772B72">
        <w:rPr>
          <w:rFonts w:ascii="Calibri" w:hAnsi="Calibri" w:cs="Arial"/>
          <w:sz w:val="22"/>
          <w:szCs w:val="22"/>
        </w:rPr>
        <w:t>Wiliam</w:t>
      </w:r>
      <w:proofErr w:type="spellEnd"/>
      <w:r w:rsidRPr="00772B72">
        <w:rPr>
          <w:rFonts w:ascii="Calibri" w:hAnsi="Calibri" w:cs="Arial"/>
          <w:sz w:val="22"/>
          <w:szCs w:val="22"/>
        </w:rPr>
        <w:t>, 2005).</w:t>
      </w:r>
      <w:r w:rsidRPr="00772B72">
        <w:rPr>
          <w:rFonts w:ascii="Calibri" w:hAnsi="Calibri" w:cs="Arial"/>
          <w:color w:val="FF0000"/>
          <w:sz w:val="22"/>
          <w:szCs w:val="22"/>
        </w:rPr>
        <w:t> </w:t>
      </w:r>
      <w:r w:rsidRPr="00772B72">
        <w:rPr>
          <w:rFonts w:ascii="Calibri" w:hAnsi="Calibri" w:cs="Arial"/>
          <w:sz w:val="22"/>
          <w:szCs w:val="22"/>
        </w:rPr>
        <w:t> </w:t>
      </w:r>
    </w:p>
    <w:p w14:paraId="2835B572" w14:textId="77777777" w:rsidR="008F1156" w:rsidRPr="00772B72" w:rsidRDefault="008F1156" w:rsidP="00772B72">
      <w:pPr>
        <w:textAlignment w:val="baseline"/>
        <w:rPr>
          <w:rFonts w:ascii="Arial" w:hAnsi="Arial" w:cs="Arial"/>
          <w:sz w:val="18"/>
          <w:szCs w:val="18"/>
        </w:rPr>
      </w:pPr>
    </w:p>
    <w:p w14:paraId="24FA1826"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Furthermore, there are also issues with differentiation within the classroom when using the lollipop stick method (</w:t>
      </w:r>
      <w:proofErr w:type="spellStart"/>
      <w:r w:rsidRPr="00772B72">
        <w:rPr>
          <w:rFonts w:ascii="Calibri" w:hAnsi="Calibri" w:cs="Arial"/>
          <w:sz w:val="22"/>
          <w:szCs w:val="22"/>
        </w:rPr>
        <w:t>Altermatt</w:t>
      </w:r>
      <w:proofErr w:type="spellEnd"/>
      <w:r w:rsidRPr="00772B72">
        <w:rPr>
          <w:rFonts w:ascii="Calibri" w:hAnsi="Calibri" w:cs="Arial"/>
          <w:sz w:val="22"/>
          <w:szCs w:val="22"/>
        </w:rPr>
        <w:t>, </w:t>
      </w:r>
      <w:proofErr w:type="spellStart"/>
      <w:r w:rsidRPr="00772B72">
        <w:rPr>
          <w:rFonts w:ascii="Calibri" w:hAnsi="Calibri" w:cs="Arial"/>
          <w:sz w:val="22"/>
          <w:szCs w:val="22"/>
        </w:rPr>
        <w:t>Jovonovic</w:t>
      </w:r>
      <w:proofErr w:type="spellEnd"/>
      <w:r w:rsidRPr="00772B72">
        <w:rPr>
          <w:rFonts w:ascii="Calibri" w:hAnsi="Calibri" w:cs="Arial"/>
          <w:sz w:val="22"/>
          <w:szCs w:val="22"/>
        </w:rPr>
        <w:t>, and Perry, 1998). Differentiation is a proactive technique used to assess pupils’ needs and enables teachers to support their learning and development within lessons by often providing a range of individualised questions to pupils (Tomlinson and Moon, 2013). The issue arises if the question is asked before the stick (pupil) has been selected, if the teacher uses the lollipop sticks incorrectly they are not allowing pupils to access higher and lower order questions, using Bloom’s taxonomy (Bloom et al, </w:t>
      </w:r>
      <w:r w:rsidRPr="00772B72">
        <w:rPr>
          <w:rFonts w:ascii="Calibri" w:hAnsi="Calibri" w:cs="Arial"/>
          <w:color w:val="222222"/>
          <w:sz w:val="22"/>
          <w:szCs w:val="22"/>
        </w:rPr>
        <w:t>1956), hence hindering the pupils learning. </w:t>
      </w:r>
      <w:r w:rsidRPr="00772B72">
        <w:rPr>
          <w:rFonts w:ascii="Calibri" w:hAnsi="Calibri" w:cs="Arial"/>
          <w:sz w:val="22"/>
          <w:szCs w:val="22"/>
        </w:rPr>
        <w:t>It was argued that teachers do not plan for or facilitate dialogue, including questioning, within their classroom (Black, Harrison, Lee, Marshall, and </w:t>
      </w:r>
      <w:proofErr w:type="spellStart"/>
      <w:r w:rsidRPr="00772B72">
        <w:rPr>
          <w:rFonts w:ascii="Calibri" w:hAnsi="Calibri" w:cs="Arial"/>
          <w:sz w:val="22"/>
          <w:szCs w:val="22"/>
        </w:rPr>
        <w:t>Wiliam</w:t>
      </w:r>
      <w:proofErr w:type="spellEnd"/>
      <w:r w:rsidRPr="00772B72">
        <w:rPr>
          <w:rFonts w:ascii="Calibri" w:hAnsi="Calibri" w:cs="Arial"/>
          <w:sz w:val="22"/>
          <w:szCs w:val="22"/>
        </w:rPr>
        <w:t>, (2003),</w:t>
      </w:r>
      <w:r w:rsidRPr="00772B72">
        <w:rPr>
          <w:rFonts w:ascii="Calibri" w:hAnsi="Calibri" w:cs="Arial"/>
          <w:color w:val="FF0000"/>
          <w:sz w:val="22"/>
          <w:szCs w:val="22"/>
        </w:rPr>
        <w:t> </w:t>
      </w:r>
      <w:r w:rsidRPr="00772B72">
        <w:rPr>
          <w:rFonts w:ascii="Calibri" w:hAnsi="Calibri" w:cs="Arial"/>
          <w:sz w:val="22"/>
          <w:szCs w:val="22"/>
        </w:rPr>
        <w:t>partly because the teachers may feel that planned questions and dialogue takes away from the organic feel of discussion and could lead pupils away from certain areas or topics they would have wanted to question, on the other hand, this understandably so, could be the exact reason as to why teachers plan questions to try and steer the conversation to a certain area for discussion. </w:t>
      </w:r>
      <w:r w:rsidRPr="00772B72">
        <w:rPr>
          <w:rFonts w:ascii="Calibri" w:hAnsi="Calibri" w:cs="Arial"/>
          <w:color w:val="000000"/>
          <w:sz w:val="22"/>
          <w:szCs w:val="22"/>
        </w:rPr>
        <w:t>The absence of dialogue has been seen to hinder and restrict the pupils learning</w:t>
      </w:r>
      <w:r w:rsidRPr="00772B72">
        <w:rPr>
          <w:rFonts w:ascii="Calibri" w:hAnsi="Calibri" w:cs="Arial"/>
          <w:sz w:val="22"/>
          <w:szCs w:val="22"/>
        </w:rPr>
        <w:t> (</w:t>
      </w:r>
      <w:proofErr w:type="spellStart"/>
      <w:r w:rsidRPr="00772B72">
        <w:rPr>
          <w:rFonts w:ascii="Calibri" w:hAnsi="Calibri" w:cs="Arial"/>
          <w:sz w:val="22"/>
          <w:szCs w:val="22"/>
        </w:rPr>
        <w:t>Luxford</w:t>
      </w:r>
      <w:proofErr w:type="spellEnd"/>
      <w:r w:rsidRPr="00772B72">
        <w:rPr>
          <w:rFonts w:ascii="Calibri" w:hAnsi="Calibri" w:cs="Arial"/>
          <w:sz w:val="22"/>
          <w:szCs w:val="22"/>
        </w:rPr>
        <w:t> and Smart, 2013) as </w:t>
      </w:r>
      <w:r w:rsidRPr="00772B72">
        <w:rPr>
          <w:rFonts w:ascii="Calibri" w:hAnsi="Calibri" w:cs="Arial"/>
          <w:color w:val="000000"/>
          <w:sz w:val="22"/>
          <w:szCs w:val="22"/>
        </w:rPr>
        <w:t>questioning allows the teacher to assess each pupil’s development in learning and understand</w:t>
      </w:r>
      <w:r w:rsidRPr="00772B72">
        <w:rPr>
          <w:rFonts w:ascii="Calibri" w:hAnsi="Calibri" w:cs="Arial"/>
          <w:sz w:val="22"/>
          <w:szCs w:val="22"/>
        </w:rPr>
        <w:t>ing (</w:t>
      </w:r>
      <w:proofErr w:type="spellStart"/>
      <w:r w:rsidRPr="00772B72">
        <w:rPr>
          <w:rFonts w:ascii="Calibri" w:hAnsi="Calibri" w:cs="Arial"/>
          <w:sz w:val="22"/>
          <w:szCs w:val="22"/>
        </w:rPr>
        <w:t>Chappuis</w:t>
      </w:r>
      <w:proofErr w:type="spellEnd"/>
      <w:r w:rsidRPr="00772B72">
        <w:rPr>
          <w:rFonts w:ascii="Calibri" w:hAnsi="Calibri" w:cs="Arial"/>
          <w:sz w:val="22"/>
          <w:szCs w:val="22"/>
        </w:rPr>
        <w:t>, 2004). Pu</w:t>
      </w:r>
      <w:r w:rsidRPr="00772B72">
        <w:rPr>
          <w:rFonts w:ascii="Calibri" w:hAnsi="Calibri" w:cs="Arial"/>
          <w:color w:val="222222"/>
          <w:sz w:val="22"/>
          <w:szCs w:val="22"/>
        </w:rPr>
        <w:t>pils’ access to higher and lower order thinking skills should </w:t>
      </w:r>
      <w:r w:rsidRPr="00772B72">
        <w:rPr>
          <w:rFonts w:ascii="Calibri" w:hAnsi="Calibri" w:cs="Arial"/>
          <w:sz w:val="22"/>
          <w:szCs w:val="22"/>
        </w:rPr>
        <w:t>be encouraged as these skills create greater attainment regardless of the pupil’s prior abilities (Zohar and Dori, 2003), and it is also widely regarded that the pupil’s thinking skills are continually developing (</w:t>
      </w:r>
      <w:proofErr w:type="spellStart"/>
      <w:r w:rsidRPr="00772B72">
        <w:rPr>
          <w:rFonts w:ascii="Calibri" w:hAnsi="Calibri" w:cs="Arial"/>
          <w:sz w:val="22"/>
          <w:szCs w:val="22"/>
        </w:rPr>
        <w:t>Dweck</w:t>
      </w:r>
      <w:proofErr w:type="spellEnd"/>
      <w:r w:rsidRPr="00772B72">
        <w:rPr>
          <w:rFonts w:ascii="Calibri" w:hAnsi="Calibri" w:cs="Arial"/>
          <w:sz w:val="22"/>
          <w:szCs w:val="22"/>
        </w:rPr>
        <w:t>, 1986). Zohar et al. (2001) p</w:t>
      </w:r>
      <w:r w:rsidRPr="00772B72">
        <w:rPr>
          <w:rFonts w:ascii="Calibri" w:hAnsi="Calibri" w:cs="Arial"/>
          <w:color w:val="222222"/>
          <w:sz w:val="22"/>
          <w:szCs w:val="22"/>
        </w:rPr>
        <w:t>reviously mentioned that using these thinking skills were more beneficial to lower ability pupils as they gained the most out of them. This is because they had the greater opportunity to develop their skills whereas the more abled pupils could have already gained great experience in their critical thinking ability. In addition, teachers that are experienced in differentiation allow for thoughtful and reflective responses from pupils and can use the lollipop sticks alongside their pract</w:t>
      </w:r>
      <w:r w:rsidRPr="00772B72">
        <w:rPr>
          <w:rFonts w:ascii="Calibri" w:hAnsi="Calibri" w:cs="Arial"/>
          <w:sz w:val="22"/>
          <w:szCs w:val="22"/>
        </w:rPr>
        <w:t>ice (</w:t>
      </w:r>
      <w:proofErr w:type="spellStart"/>
      <w:r w:rsidRPr="00772B72">
        <w:rPr>
          <w:rFonts w:ascii="Calibri" w:hAnsi="Calibri" w:cs="Arial"/>
          <w:sz w:val="22"/>
          <w:szCs w:val="22"/>
        </w:rPr>
        <w:t>Altermatt</w:t>
      </w:r>
      <w:proofErr w:type="spellEnd"/>
      <w:r w:rsidRPr="00772B72">
        <w:rPr>
          <w:rFonts w:ascii="Calibri" w:hAnsi="Calibri" w:cs="Arial"/>
          <w:sz w:val="22"/>
          <w:szCs w:val="22"/>
        </w:rPr>
        <w:t>, </w:t>
      </w:r>
      <w:proofErr w:type="spellStart"/>
      <w:r w:rsidRPr="00772B72">
        <w:rPr>
          <w:rFonts w:ascii="Calibri" w:hAnsi="Calibri" w:cs="Arial"/>
          <w:sz w:val="22"/>
          <w:szCs w:val="22"/>
        </w:rPr>
        <w:t>Jovonovic</w:t>
      </w:r>
      <w:proofErr w:type="spellEnd"/>
      <w:r w:rsidRPr="00772B72">
        <w:rPr>
          <w:rFonts w:ascii="Calibri" w:hAnsi="Calibri" w:cs="Arial"/>
          <w:sz w:val="22"/>
          <w:szCs w:val="22"/>
        </w:rPr>
        <w:t> and Perry, 1998). There</w:t>
      </w:r>
      <w:r w:rsidRPr="00772B72">
        <w:rPr>
          <w:rFonts w:ascii="Calibri" w:hAnsi="Calibri" w:cs="Arial"/>
          <w:color w:val="000000"/>
          <w:sz w:val="22"/>
          <w:szCs w:val="22"/>
        </w:rPr>
        <w:t xml:space="preserve"> is suggestion that sticks could reflect the </w:t>
      </w:r>
      <w:proofErr w:type="gramStart"/>
      <w:r w:rsidRPr="00772B72">
        <w:rPr>
          <w:rFonts w:ascii="Calibri" w:hAnsi="Calibri" w:cs="Arial"/>
          <w:color w:val="000000"/>
          <w:sz w:val="22"/>
          <w:szCs w:val="22"/>
        </w:rPr>
        <w:t>pupils</w:t>
      </w:r>
      <w:proofErr w:type="gramEnd"/>
      <w:r w:rsidRPr="00772B72">
        <w:rPr>
          <w:rFonts w:ascii="Calibri" w:hAnsi="Calibri" w:cs="Arial"/>
          <w:color w:val="000000"/>
          <w:sz w:val="22"/>
          <w:szCs w:val="22"/>
        </w:rPr>
        <w:t xml:space="preserve"> ability by having them colour coordinate</w:t>
      </w:r>
      <w:r w:rsidRPr="00772B72">
        <w:rPr>
          <w:rFonts w:ascii="Calibri" w:hAnsi="Calibri" w:cs="Arial"/>
          <w:sz w:val="22"/>
          <w:szCs w:val="22"/>
        </w:rPr>
        <w:t>d, on the other hand, Hallinan (1994) pr</w:t>
      </w:r>
      <w:r w:rsidRPr="00772B72">
        <w:rPr>
          <w:rFonts w:ascii="Calibri" w:hAnsi="Calibri" w:cs="Arial"/>
          <w:color w:val="000000"/>
          <w:sz w:val="22"/>
          <w:szCs w:val="22"/>
        </w:rPr>
        <w:t>oclaimed that the pupils may realise what the colours represent and could lead to demotivation within the class and possibly school. Hallinan went on to say that this technique could also prevent any stretch and challenge questioning as the teacher would refrain from asking pupils questions that does not reflect their 'colour'. </w:t>
      </w:r>
      <w:r w:rsidRPr="00772B72">
        <w:rPr>
          <w:rFonts w:ascii="Calibri" w:hAnsi="Calibri" w:cs="Arial"/>
          <w:sz w:val="22"/>
          <w:szCs w:val="22"/>
        </w:rPr>
        <w:t> </w:t>
      </w:r>
    </w:p>
    <w:p w14:paraId="2F7E8FE3" w14:textId="77777777" w:rsidR="008F1156" w:rsidRPr="00772B72" w:rsidRDefault="008F1156" w:rsidP="00772B72">
      <w:pPr>
        <w:textAlignment w:val="baseline"/>
        <w:rPr>
          <w:rFonts w:ascii="Arial" w:hAnsi="Arial" w:cs="Arial"/>
          <w:sz w:val="18"/>
          <w:szCs w:val="18"/>
        </w:rPr>
      </w:pPr>
    </w:p>
    <w:p w14:paraId="297D4272" w14:textId="77777777" w:rsidR="00772B72" w:rsidRDefault="00772B72" w:rsidP="00772B72">
      <w:pPr>
        <w:textAlignment w:val="baseline"/>
        <w:rPr>
          <w:rFonts w:ascii="Calibri" w:hAnsi="Calibri" w:cs="Arial"/>
          <w:sz w:val="22"/>
          <w:szCs w:val="22"/>
        </w:rPr>
      </w:pPr>
      <w:r w:rsidRPr="00772B72">
        <w:rPr>
          <w:rFonts w:ascii="Calibri" w:hAnsi="Calibri" w:cs="Arial"/>
          <w:color w:val="000000"/>
          <w:sz w:val="22"/>
          <w:szCs w:val="22"/>
        </w:rPr>
        <w:t>A solution to this could be to introduce the use of mini-white boards.</w:t>
      </w:r>
      <w:r w:rsidRPr="00772B72">
        <w:rPr>
          <w:rFonts w:ascii="Calibri" w:hAnsi="Calibri" w:cs="Arial"/>
          <w:sz w:val="22"/>
          <w:szCs w:val="22"/>
        </w:rPr>
        <w:t> Black and </w:t>
      </w:r>
      <w:proofErr w:type="spellStart"/>
      <w:r w:rsidRPr="00772B72">
        <w:rPr>
          <w:rFonts w:ascii="Calibri" w:hAnsi="Calibri" w:cs="Arial"/>
          <w:sz w:val="22"/>
          <w:szCs w:val="22"/>
        </w:rPr>
        <w:t>Wiliam</w:t>
      </w:r>
      <w:proofErr w:type="spellEnd"/>
      <w:r w:rsidRPr="00772B72">
        <w:rPr>
          <w:rFonts w:ascii="Calibri" w:hAnsi="Calibri" w:cs="Arial"/>
          <w:sz w:val="22"/>
          <w:szCs w:val="22"/>
        </w:rPr>
        <w:t> (2005) </w:t>
      </w:r>
      <w:r w:rsidRPr="00772B72">
        <w:rPr>
          <w:rFonts w:ascii="Calibri" w:hAnsi="Calibri" w:cs="Arial"/>
          <w:color w:val="000000"/>
          <w:sz w:val="22"/>
          <w:szCs w:val="22"/>
        </w:rPr>
        <w:t>agreed that mini-white boards are an effective way of assessing the knowledge of the class as a whole as it allows for all the pupils to respond and have their knowledge gathered and assessed immediately, even if the mini-white boards only assess the lower order, closed questioning. It also allows for the teacher, within their lesson, to adapt almost instantly to ensure that their teaching has the most significant impact on engagement and learning as possible </w:t>
      </w:r>
      <w:r w:rsidRPr="00772B72">
        <w:rPr>
          <w:rFonts w:ascii="Calibri" w:hAnsi="Calibri" w:cs="Arial"/>
          <w:sz w:val="22"/>
          <w:szCs w:val="22"/>
        </w:rPr>
        <w:t>(</w:t>
      </w:r>
      <w:proofErr w:type="spellStart"/>
      <w:r w:rsidRPr="00772B72">
        <w:rPr>
          <w:rFonts w:ascii="Calibri" w:hAnsi="Calibri" w:cs="Arial"/>
          <w:sz w:val="22"/>
          <w:szCs w:val="22"/>
        </w:rPr>
        <w:t>Wiliam</w:t>
      </w:r>
      <w:proofErr w:type="spellEnd"/>
      <w:r w:rsidRPr="00772B72">
        <w:rPr>
          <w:rFonts w:ascii="Calibri" w:hAnsi="Calibri" w:cs="Arial"/>
          <w:sz w:val="22"/>
          <w:szCs w:val="22"/>
        </w:rPr>
        <w:t>, 2008).</w:t>
      </w:r>
      <w:r w:rsidRPr="00772B72">
        <w:rPr>
          <w:rFonts w:ascii="Calibri" w:hAnsi="Calibri" w:cs="Arial"/>
          <w:color w:val="000000"/>
          <w:sz w:val="22"/>
          <w:szCs w:val="22"/>
        </w:rPr>
        <w:t> </w:t>
      </w:r>
      <w:r w:rsidRPr="00772B72">
        <w:rPr>
          <w:rFonts w:ascii="Calibri" w:hAnsi="Calibri" w:cs="Arial"/>
          <w:sz w:val="22"/>
          <w:szCs w:val="22"/>
        </w:rPr>
        <w:t>Brown (2005)</w:t>
      </w:r>
      <w:r w:rsidRPr="00772B72">
        <w:rPr>
          <w:rFonts w:ascii="Calibri" w:hAnsi="Calibri" w:cs="Arial"/>
          <w:color w:val="000000"/>
          <w:sz w:val="22"/>
          <w:szCs w:val="22"/>
        </w:rPr>
        <w:t> mentioned that the teachers should continually use different AFL techniques throughout the year, as well as ensuring that the techniques can be adapted to the individual needs of the class and aligned with what is being tau</w:t>
      </w:r>
      <w:r w:rsidRPr="00772B72">
        <w:rPr>
          <w:rFonts w:ascii="Calibri" w:hAnsi="Calibri" w:cs="Arial"/>
          <w:sz w:val="22"/>
          <w:szCs w:val="22"/>
        </w:rPr>
        <w:t>ght (Stobart, 2006).  </w:t>
      </w:r>
    </w:p>
    <w:p w14:paraId="2562B728" w14:textId="77777777" w:rsidR="008F1156" w:rsidRPr="00772B72" w:rsidRDefault="008F1156" w:rsidP="00772B72">
      <w:pPr>
        <w:textAlignment w:val="baseline"/>
        <w:rPr>
          <w:rFonts w:ascii="Arial" w:hAnsi="Arial" w:cs="Arial"/>
          <w:sz w:val="18"/>
          <w:szCs w:val="18"/>
        </w:rPr>
      </w:pPr>
    </w:p>
    <w:p w14:paraId="456AE4AF" w14:textId="77777777" w:rsidR="00772B72" w:rsidRDefault="00772B72" w:rsidP="00772B72">
      <w:pPr>
        <w:textAlignment w:val="baseline"/>
        <w:rPr>
          <w:rFonts w:ascii="Calibri" w:hAnsi="Calibri" w:cs="Arial"/>
          <w:sz w:val="22"/>
          <w:szCs w:val="22"/>
        </w:rPr>
      </w:pPr>
      <w:r w:rsidRPr="00772B72">
        <w:rPr>
          <w:rFonts w:ascii="Calibri" w:hAnsi="Calibri" w:cs="Arial"/>
          <w:color w:val="000000"/>
          <w:sz w:val="22"/>
          <w:szCs w:val="22"/>
        </w:rPr>
        <w:t xml:space="preserve">However, a reoccurring critique of the mini-white boards is that they are commonly used to ask closed questions. A closed question is that of which the learner can respond with, most often, a one word answer. Hence, this would only activate lower order thinking skills, as it does not require more thought from the learner than a simple one </w:t>
      </w:r>
      <w:r w:rsidRPr="00772B72">
        <w:rPr>
          <w:rFonts w:ascii="Calibri" w:hAnsi="Calibri" w:cs="Arial"/>
          <w:color w:val="000000"/>
          <w:sz w:val="22"/>
          <w:szCs w:val="22"/>
        </w:rPr>
        <w:lastRenderedPageBreak/>
        <w:t>worded answer. Therefore, although there will be an increase in pupil participation and engagement, mini-white boards can restrict the depth of thinking and u</w:t>
      </w:r>
      <w:r w:rsidRPr="00772B72">
        <w:rPr>
          <w:rFonts w:ascii="Calibri" w:hAnsi="Calibri" w:cs="Arial"/>
          <w:sz w:val="22"/>
          <w:szCs w:val="22"/>
        </w:rPr>
        <w:t>nderstanding, limiting their advancements within the classroom (Beauchamp and Parkinson, 2008). </w:t>
      </w:r>
      <w:proofErr w:type="spellStart"/>
      <w:r w:rsidRPr="00772B72">
        <w:rPr>
          <w:rFonts w:ascii="Calibri" w:hAnsi="Calibri" w:cs="Arial"/>
          <w:sz w:val="22"/>
          <w:szCs w:val="22"/>
        </w:rPr>
        <w:t>Jolliffe</w:t>
      </w:r>
      <w:proofErr w:type="spellEnd"/>
      <w:r w:rsidRPr="00772B72">
        <w:rPr>
          <w:rFonts w:ascii="Calibri" w:hAnsi="Calibri" w:cs="Arial"/>
          <w:sz w:val="22"/>
          <w:szCs w:val="22"/>
        </w:rPr>
        <w:t> (2007) agrees, in part, that pupils’ ability to access deeper thinking is limited. However, more importantly, the use of mini-white boards, without effective classroom management, could be an AFL tool that is difficult to effectively implement. Smith et al. (2005) continues, by agreeing that mini-white boards increase pupil participation but could also be ineffective if there are behavioural issues within the classroom. Therefore, if a teacher experiences a class where this approach is difficult to manage in terms of behaviour then they may become resistant to use this approach. Despite that, Angelo and Cross (1993) stated that an effective AFL technique needs to be designed to suit the intended group of learners. Thus, if the teacher was aware of the class' behavioural issues they would need to adjust and adapt their techniques to best suit them in order to avoid any behavioural issues. </w:t>
      </w:r>
    </w:p>
    <w:p w14:paraId="57193C24" w14:textId="77777777" w:rsidR="008F1156" w:rsidRPr="00772B72" w:rsidRDefault="008F1156" w:rsidP="00772B72">
      <w:pPr>
        <w:textAlignment w:val="baseline"/>
        <w:rPr>
          <w:rFonts w:ascii="Arial" w:hAnsi="Arial" w:cs="Arial"/>
          <w:sz w:val="18"/>
          <w:szCs w:val="18"/>
        </w:rPr>
      </w:pPr>
    </w:p>
    <w:p w14:paraId="30D3DC2D" w14:textId="77777777" w:rsidR="00772B72" w:rsidRPr="00772B72" w:rsidRDefault="00772B72" w:rsidP="00772B72">
      <w:pPr>
        <w:textAlignment w:val="baseline"/>
        <w:rPr>
          <w:rFonts w:ascii="Arial" w:hAnsi="Arial" w:cs="Arial"/>
          <w:sz w:val="18"/>
          <w:szCs w:val="18"/>
        </w:rPr>
      </w:pPr>
      <w:r w:rsidRPr="00772B72">
        <w:rPr>
          <w:rFonts w:ascii="Calibri" w:hAnsi="Calibri" w:cs="Arial"/>
          <w:color w:val="000000"/>
          <w:sz w:val="22"/>
          <w:szCs w:val="22"/>
        </w:rPr>
        <w:t>On the other hand, resistance from teachers may not just come from behavioural issues. </w:t>
      </w:r>
      <w:r w:rsidRPr="00772B72">
        <w:rPr>
          <w:rFonts w:ascii="Calibri" w:hAnsi="Calibri" w:cs="Arial"/>
          <w:sz w:val="22"/>
          <w:szCs w:val="22"/>
        </w:rPr>
        <w:t>Black, Harrison, Lee, Marshall and </w:t>
      </w:r>
      <w:proofErr w:type="spellStart"/>
      <w:r w:rsidRPr="00772B72">
        <w:rPr>
          <w:rFonts w:ascii="Calibri" w:hAnsi="Calibri" w:cs="Arial"/>
          <w:sz w:val="22"/>
          <w:szCs w:val="22"/>
        </w:rPr>
        <w:t>Wiliam</w:t>
      </w:r>
      <w:proofErr w:type="spellEnd"/>
      <w:r w:rsidRPr="00772B72">
        <w:rPr>
          <w:rFonts w:ascii="Calibri" w:hAnsi="Calibri" w:cs="Arial"/>
          <w:sz w:val="22"/>
          <w:szCs w:val="22"/>
        </w:rPr>
        <w:t> (2003) indicate that this use of lollipop sticks as an AF</w:t>
      </w:r>
      <w:r w:rsidRPr="00772B72">
        <w:rPr>
          <w:rFonts w:ascii="Calibri" w:hAnsi="Calibri" w:cs="Arial"/>
          <w:color w:val="000000"/>
          <w:sz w:val="22"/>
          <w:szCs w:val="22"/>
        </w:rPr>
        <w:t>L may have a lot of resistance from staff as the additional preparation in planning questioning can place an increased amount of stress on teachers by adding to their time constrai</w:t>
      </w:r>
      <w:r w:rsidRPr="00772B72">
        <w:rPr>
          <w:rFonts w:ascii="Calibri" w:hAnsi="Calibri" w:cs="Arial"/>
          <w:sz w:val="22"/>
          <w:szCs w:val="22"/>
        </w:rPr>
        <w:t>nts (Young, 2005). However, after the initial stage of planning, this AFL technique could be utilised with the aim of embedding and developing the pupils’ understanding (Young, 2005).</w:t>
      </w:r>
      <w:r w:rsidRPr="00772B72">
        <w:rPr>
          <w:rFonts w:ascii="Calibri" w:hAnsi="Calibri" w:cs="Arial"/>
          <w:color w:val="000000"/>
          <w:sz w:val="22"/>
          <w:szCs w:val="22"/>
        </w:rPr>
        <w:t> This is reiterated by Brown (2005) who states that AFL should only be embedded when pupils’ learning and understanding is being developed. Questioning acts as a key aspect of AFL as they are often a 'hinge point' in the lesson</w:t>
      </w:r>
      <w:r w:rsidRPr="00772B72">
        <w:rPr>
          <w:rFonts w:ascii="Calibri" w:hAnsi="Calibri" w:cs="Arial"/>
          <w:color w:val="FF0000"/>
          <w:sz w:val="22"/>
          <w:szCs w:val="22"/>
        </w:rPr>
        <w:t> </w:t>
      </w:r>
      <w:r w:rsidRPr="00772B72">
        <w:rPr>
          <w:rFonts w:ascii="Calibri" w:hAnsi="Calibri" w:cs="Arial"/>
          <w:color w:val="000000"/>
          <w:sz w:val="22"/>
          <w:szCs w:val="22"/>
        </w:rPr>
        <w:t>and allow the teacher to check if the pupils understand before moving o</w:t>
      </w:r>
      <w:r w:rsidRPr="00772B72">
        <w:rPr>
          <w:rFonts w:ascii="Calibri" w:hAnsi="Calibri" w:cs="Arial"/>
          <w:sz w:val="22"/>
          <w:szCs w:val="22"/>
        </w:rPr>
        <w:t>n (</w:t>
      </w:r>
      <w:proofErr w:type="spellStart"/>
      <w:r w:rsidRPr="00772B72">
        <w:rPr>
          <w:rFonts w:ascii="Calibri" w:hAnsi="Calibri" w:cs="Arial"/>
          <w:sz w:val="22"/>
          <w:szCs w:val="22"/>
        </w:rPr>
        <w:t>Wiliam</w:t>
      </w:r>
      <w:proofErr w:type="spellEnd"/>
      <w:r w:rsidRPr="00772B72">
        <w:rPr>
          <w:rFonts w:ascii="Calibri" w:hAnsi="Calibri" w:cs="Arial"/>
          <w:sz w:val="22"/>
          <w:szCs w:val="22"/>
        </w:rPr>
        <w:t>, 2013).</w:t>
      </w:r>
      <w:r w:rsidRPr="00772B72">
        <w:rPr>
          <w:rFonts w:ascii="Calibri" w:hAnsi="Calibri" w:cs="Arial"/>
          <w:color w:val="000000"/>
          <w:sz w:val="22"/>
          <w:szCs w:val="22"/>
        </w:rPr>
        <w:t> Thus, allowing for effective feedbac</w:t>
      </w:r>
      <w:r w:rsidRPr="00772B72">
        <w:rPr>
          <w:rFonts w:ascii="Calibri" w:hAnsi="Calibri" w:cs="Arial"/>
          <w:sz w:val="22"/>
          <w:szCs w:val="22"/>
        </w:rPr>
        <w:t>k (Hattie and Timperley, 2007) in whi</w:t>
      </w:r>
      <w:r w:rsidRPr="00772B72">
        <w:rPr>
          <w:rFonts w:ascii="Calibri" w:hAnsi="Calibri" w:cs="Arial"/>
          <w:color w:val="000000"/>
          <w:sz w:val="22"/>
          <w:szCs w:val="22"/>
        </w:rPr>
        <w:t>ch the teachers can then adjust their lessons appropriately</w:t>
      </w:r>
      <w:r w:rsidRPr="00772B72">
        <w:rPr>
          <w:rFonts w:ascii="Calibri" w:hAnsi="Calibri" w:cs="Arial"/>
          <w:color w:val="FF0000"/>
          <w:sz w:val="22"/>
          <w:szCs w:val="22"/>
        </w:rPr>
        <w:t> </w:t>
      </w:r>
      <w:r w:rsidRPr="00772B72">
        <w:rPr>
          <w:rFonts w:ascii="Calibri" w:hAnsi="Calibri" w:cs="Arial"/>
          <w:sz w:val="22"/>
          <w:szCs w:val="22"/>
        </w:rPr>
        <w:t>to assist in the increase in pupil participation (Brown, 2005. Which Crooks (1998) stated can lead to a development in pupils learning and progress throughout school. However, the ability to implement any AFL techniques in the classroom can be difficult as there is often a requirement that teachers need to include a number of different assessment techniques. </w:t>
      </w:r>
      <w:proofErr w:type="spellStart"/>
      <w:r w:rsidRPr="00772B72">
        <w:rPr>
          <w:rFonts w:ascii="Calibri" w:hAnsi="Calibri" w:cs="Arial"/>
          <w:sz w:val="22"/>
          <w:szCs w:val="22"/>
        </w:rPr>
        <w:t>Stiggins</w:t>
      </w:r>
      <w:proofErr w:type="spellEnd"/>
      <w:r w:rsidRPr="00772B72">
        <w:rPr>
          <w:rFonts w:ascii="Calibri" w:hAnsi="Calibri" w:cs="Arial"/>
          <w:sz w:val="22"/>
          <w:szCs w:val="22"/>
        </w:rPr>
        <w:t> (2002) and Black and </w:t>
      </w:r>
      <w:proofErr w:type="spellStart"/>
      <w:r w:rsidRPr="00772B72">
        <w:rPr>
          <w:rFonts w:ascii="Calibri" w:hAnsi="Calibri" w:cs="Arial"/>
          <w:sz w:val="22"/>
          <w:szCs w:val="22"/>
        </w:rPr>
        <w:t>Wiliam</w:t>
      </w:r>
      <w:proofErr w:type="spellEnd"/>
      <w:r w:rsidRPr="00772B72">
        <w:rPr>
          <w:rFonts w:ascii="Calibri" w:hAnsi="Calibri" w:cs="Arial"/>
          <w:sz w:val="22"/>
          <w:szCs w:val="22"/>
        </w:rPr>
        <w:t> (1998) both indicate that certain AFL techniques could face resistance from staff who feel they are required to follow these expectations. </w:t>
      </w:r>
    </w:p>
    <w:p w14:paraId="4AB27294" w14:textId="77777777"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 </w:t>
      </w:r>
    </w:p>
    <w:p w14:paraId="3AE27580"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 </w:t>
      </w:r>
      <w:r w:rsidRPr="00772B72">
        <w:rPr>
          <w:rFonts w:ascii="Calibri" w:hAnsi="Calibri" w:cs="Arial"/>
          <w:b/>
          <w:bCs/>
          <w:sz w:val="22"/>
          <w:szCs w:val="22"/>
        </w:rPr>
        <w:t>School Policy and Practice </w:t>
      </w:r>
      <w:r w:rsidRPr="00772B72">
        <w:rPr>
          <w:rFonts w:ascii="Calibri" w:hAnsi="Calibri" w:cs="Arial"/>
          <w:sz w:val="22"/>
          <w:szCs w:val="22"/>
        </w:rPr>
        <w:t> </w:t>
      </w:r>
    </w:p>
    <w:p w14:paraId="7E251D45" w14:textId="77777777" w:rsidR="008F1156" w:rsidRPr="00772B72" w:rsidRDefault="008F1156" w:rsidP="00772B72">
      <w:pPr>
        <w:textAlignment w:val="baseline"/>
        <w:rPr>
          <w:rFonts w:ascii="Arial" w:hAnsi="Arial" w:cs="Arial"/>
          <w:sz w:val="18"/>
          <w:szCs w:val="18"/>
        </w:rPr>
      </w:pPr>
    </w:p>
    <w:p w14:paraId="1CC29242"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School X is very focused on discovering and enhancing new AFL techniques, as they have a dedicated research team within the school who aim to develop new ways to assess pupils learning. School X understand that AFL is a key factor in the enhancement of pupils’ learning, and realise that AFL techniques can allow for increased engagement and participation of learners (</w:t>
      </w:r>
      <w:proofErr w:type="spellStart"/>
      <w:r w:rsidRPr="00772B72">
        <w:rPr>
          <w:rFonts w:ascii="Calibri" w:hAnsi="Calibri" w:cs="Arial"/>
          <w:sz w:val="22"/>
          <w:szCs w:val="22"/>
        </w:rPr>
        <w:t>Gadsby</w:t>
      </w:r>
      <w:proofErr w:type="spellEnd"/>
      <w:r w:rsidRPr="00772B72">
        <w:rPr>
          <w:rFonts w:ascii="Calibri" w:hAnsi="Calibri" w:cs="Arial"/>
          <w:sz w:val="22"/>
          <w:szCs w:val="22"/>
        </w:rPr>
        <w:t>, 2012). From looking at School X's School Development Plan (SDP) (</w:t>
      </w:r>
      <w:r w:rsidRPr="00772B72">
        <w:rPr>
          <w:rFonts w:ascii="Calibri" w:hAnsi="Calibri" w:cs="Arial"/>
          <w:color w:val="FF0000"/>
          <w:sz w:val="22"/>
          <w:szCs w:val="22"/>
        </w:rPr>
        <w:t>Appendix C</w:t>
      </w:r>
      <w:r w:rsidRPr="00772B72">
        <w:rPr>
          <w:rFonts w:ascii="Calibri" w:hAnsi="Calibri" w:cs="Arial"/>
          <w:sz w:val="22"/>
          <w:szCs w:val="22"/>
        </w:rPr>
        <w:t>)</w:t>
      </w:r>
      <w:r w:rsidRPr="00772B72">
        <w:rPr>
          <w:rFonts w:ascii="Calibri" w:hAnsi="Calibri" w:cs="Arial"/>
          <w:color w:val="FF0000"/>
          <w:sz w:val="22"/>
          <w:szCs w:val="22"/>
        </w:rPr>
        <w:t> </w:t>
      </w:r>
      <w:r w:rsidRPr="00772B72">
        <w:rPr>
          <w:rFonts w:ascii="Calibri" w:hAnsi="Calibri" w:cs="Arial"/>
          <w:sz w:val="22"/>
          <w:szCs w:val="22"/>
        </w:rPr>
        <w:t>it can be seen that their main aim is to embed School X approach to assessment, ensuring that there is consistency in the quality. School X have focused more on the AFL technique of feedback given to pupils and ensuring that the pupils act on the feedback. In the departmental plan (Appendix B) there is a priority to increase pupil engagement in assessment. However, there is no mention of bringing these any AFL strategies to increase pupil participation within the classroom. School X have their own approach to assessment, as seen in Appendix A, where a section from their assessment booklet shows a list of the different AFL techniques encouraged to use within the classroom. On my first 3 weeks in my placement I was on a whole school observation where I was allowed to watch a variety of lessons with different teachers where an extensive number AFL strategies were used to try and increase pupil participation and engagement (</w:t>
      </w:r>
      <w:proofErr w:type="spellStart"/>
      <w:r w:rsidRPr="00772B72">
        <w:rPr>
          <w:rFonts w:ascii="Calibri" w:hAnsi="Calibri" w:cs="Arial"/>
          <w:sz w:val="22"/>
          <w:szCs w:val="22"/>
        </w:rPr>
        <w:t>Wiliam</w:t>
      </w:r>
      <w:proofErr w:type="spellEnd"/>
      <w:r w:rsidRPr="00772B72">
        <w:rPr>
          <w:rFonts w:ascii="Calibri" w:hAnsi="Calibri" w:cs="Arial"/>
          <w:sz w:val="22"/>
          <w:szCs w:val="22"/>
        </w:rPr>
        <w:t>, 2013). There were various techniques used, such as peer assessment, mini-white boards and think/pair/share, all of which are examples of effective AFL techniques to increase pupil engagement (Brown, 2005), all depending on the context of the lesson, which is similar to what Angelo and Cross (1993) reported on. However, I did not come across any 'hands-down' only approach. There was, of course, some random name selection but the majority of the questioning was whole class based where pupils raised their hands followed by a short bouncing of questions to pupils who did not have their hands up. More often than not, every question that was asked there were frequent, usually more abled, pupils raising their hands to answer the questions, often with some pupils going throughout a lesson without being questioned. This is what interested me in the no-hands up AFL technique, as placement school had promoted the use of this approach yet there was very little evidence of this approach being used. I wanted to research for myself if there was a reason why this approach was not being used within the school. Perhaps, the teachers were competent enough to ensure that all pupils were being questioned while allowing for those confident enough to express their opinions but there were, however, bias in the questioning which the hands-down approach could have resolved. </w:t>
      </w:r>
    </w:p>
    <w:p w14:paraId="70E0EB5B" w14:textId="77777777" w:rsidR="008F1156" w:rsidRPr="00772B72" w:rsidRDefault="008F1156" w:rsidP="00772B72">
      <w:pPr>
        <w:textAlignment w:val="baseline"/>
        <w:rPr>
          <w:rFonts w:ascii="Arial" w:hAnsi="Arial" w:cs="Arial"/>
          <w:sz w:val="18"/>
          <w:szCs w:val="18"/>
        </w:rPr>
      </w:pPr>
    </w:p>
    <w:p w14:paraId="6F71B0E3" w14:textId="77777777"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 xml:space="preserve">These whole school observations were consistent with the observations of KS3 classrooms, where, in fact, the hands-up approach was promoted. The department within School X use a variety of AFL techniques to engage students, often as a tool for behaviour management, but with focus on assessing the learning and to help adapt and </w:t>
      </w:r>
      <w:r w:rsidRPr="00772B72">
        <w:rPr>
          <w:rFonts w:ascii="Calibri" w:hAnsi="Calibri" w:cs="Arial"/>
          <w:sz w:val="22"/>
          <w:szCs w:val="22"/>
        </w:rPr>
        <w:lastRenderedPageBreak/>
        <w:t>adjust their teaching when needed (Brown, 2005). Similar to</w:t>
      </w:r>
      <w:r w:rsidRPr="00772B72">
        <w:rPr>
          <w:rFonts w:ascii="Calibri" w:hAnsi="Calibri" w:cs="Arial"/>
          <w:color w:val="FF0000"/>
          <w:sz w:val="22"/>
          <w:szCs w:val="22"/>
        </w:rPr>
        <w:t> </w:t>
      </w:r>
      <w:r w:rsidRPr="00772B72">
        <w:rPr>
          <w:rFonts w:ascii="Calibri" w:hAnsi="Calibri" w:cs="Arial"/>
          <w:sz w:val="22"/>
          <w:szCs w:val="22"/>
        </w:rPr>
        <w:t>Black and </w:t>
      </w:r>
      <w:proofErr w:type="spellStart"/>
      <w:r w:rsidRPr="00772B72">
        <w:rPr>
          <w:rFonts w:ascii="Calibri" w:hAnsi="Calibri" w:cs="Arial"/>
          <w:sz w:val="22"/>
          <w:szCs w:val="22"/>
        </w:rPr>
        <w:t>Wiliam</w:t>
      </w:r>
      <w:proofErr w:type="spellEnd"/>
      <w:r w:rsidRPr="00772B72">
        <w:rPr>
          <w:rFonts w:ascii="Calibri" w:hAnsi="Calibri" w:cs="Arial"/>
          <w:sz w:val="22"/>
          <w:szCs w:val="22"/>
        </w:rPr>
        <w:t> (2005), discussion with the teachers revealed that the majority of AFL techniques were to encourage discussion to enable more communication within the classroom, this is to embed the need for students to try and think for themselves, as it is argued that pupils are continuously developing their thinking skills (</w:t>
      </w:r>
      <w:proofErr w:type="spellStart"/>
      <w:r w:rsidRPr="00772B72">
        <w:rPr>
          <w:rFonts w:ascii="Calibri" w:hAnsi="Calibri" w:cs="Arial"/>
          <w:sz w:val="22"/>
          <w:szCs w:val="22"/>
        </w:rPr>
        <w:t>Dweck</w:t>
      </w:r>
      <w:proofErr w:type="spellEnd"/>
      <w:r w:rsidRPr="00772B72">
        <w:rPr>
          <w:rFonts w:ascii="Calibri" w:hAnsi="Calibri" w:cs="Arial"/>
          <w:sz w:val="22"/>
          <w:szCs w:val="22"/>
        </w:rPr>
        <w:t>, 1986). Within School X’s departmental plan, for the KS3 iThink learning area, due to it being a new curriculum, there was very little focus on any AFL strategies and more focus towards getting it in-line with the new Donaldson curriculum. Therefore, there are no documented plans that School X aim use AFL techniques to increase pupil participation. However, when discussing with teachers there is a clear link between each department that there is an expectation that teachers should be embedding all aspects of School X's approaches to assessment, as it is currently a whole school objective; as well as much professional and academic literature suggesting that this is the direction a school should use if they are aiming to increase engagement and progress learning further (</w:t>
      </w:r>
      <w:proofErr w:type="spellStart"/>
      <w:r w:rsidRPr="00772B72">
        <w:rPr>
          <w:rFonts w:ascii="Calibri" w:hAnsi="Calibri" w:cs="Arial"/>
          <w:sz w:val="22"/>
          <w:szCs w:val="22"/>
        </w:rPr>
        <w:t>Wiliam</w:t>
      </w:r>
      <w:proofErr w:type="spellEnd"/>
      <w:r w:rsidRPr="00772B72">
        <w:rPr>
          <w:rFonts w:ascii="Calibri" w:hAnsi="Calibri" w:cs="Arial"/>
          <w:sz w:val="22"/>
          <w:szCs w:val="22"/>
        </w:rPr>
        <w:t>, 2008). If the school wide AFL strategy is utilised then it could further improve learning and progression (Bentham and Hutchins, 2012). </w:t>
      </w:r>
    </w:p>
    <w:p w14:paraId="779BD62B" w14:textId="77777777"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 </w:t>
      </w:r>
    </w:p>
    <w:p w14:paraId="30742A6E" w14:textId="77777777" w:rsidR="00772B72" w:rsidRDefault="00772B72" w:rsidP="00772B72">
      <w:pPr>
        <w:textAlignment w:val="baseline"/>
        <w:rPr>
          <w:rFonts w:ascii="Calibri" w:hAnsi="Calibri" w:cs="Arial"/>
          <w:sz w:val="22"/>
          <w:szCs w:val="22"/>
        </w:rPr>
      </w:pPr>
      <w:r w:rsidRPr="00772B72">
        <w:rPr>
          <w:rFonts w:ascii="Calibri" w:hAnsi="Calibri" w:cs="Arial"/>
          <w:b/>
          <w:bCs/>
          <w:sz w:val="22"/>
          <w:szCs w:val="22"/>
        </w:rPr>
        <w:t>Methodology </w:t>
      </w:r>
      <w:r w:rsidRPr="00772B72">
        <w:rPr>
          <w:rFonts w:ascii="Calibri" w:hAnsi="Calibri" w:cs="Arial"/>
          <w:sz w:val="22"/>
          <w:szCs w:val="22"/>
        </w:rPr>
        <w:t> </w:t>
      </w:r>
    </w:p>
    <w:p w14:paraId="7FB1F5AB" w14:textId="77777777" w:rsidR="008F1156" w:rsidRPr="00772B72" w:rsidRDefault="008F1156" w:rsidP="00772B72">
      <w:pPr>
        <w:textAlignment w:val="baseline"/>
        <w:rPr>
          <w:rFonts w:ascii="Arial" w:hAnsi="Arial" w:cs="Arial"/>
          <w:sz w:val="18"/>
          <w:szCs w:val="18"/>
        </w:rPr>
      </w:pPr>
    </w:p>
    <w:p w14:paraId="738C8CB5"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 xml:space="preserve">After reviewing the literature and an examination of the school's policy and practice, the research methods used in this assignment can now be discussed. Research methodology in education closely follows the methodology in other sciences (Newbury, 2010). Educational research is now a key part of any teachers </w:t>
      </w:r>
      <w:proofErr w:type="gramStart"/>
      <w:r w:rsidRPr="00772B72">
        <w:rPr>
          <w:rFonts w:ascii="Calibri" w:hAnsi="Calibri" w:cs="Arial"/>
          <w:sz w:val="22"/>
          <w:szCs w:val="22"/>
        </w:rPr>
        <w:t>practice</w:t>
      </w:r>
      <w:proofErr w:type="gramEnd"/>
      <w:r w:rsidRPr="00772B72">
        <w:rPr>
          <w:rFonts w:ascii="Calibri" w:hAnsi="Calibri" w:cs="Arial"/>
          <w:sz w:val="22"/>
          <w:szCs w:val="22"/>
        </w:rPr>
        <w:t xml:space="preserve"> as they are continuously developing as reflective practitioners (Punch, 2014). The intervention will be over the course of four Year 7 iThink (Placement school X take on the Donaldson key stage 3 humanities curriculum) lessons which consist of 32 mixed ability pupils, which will be observed, evaluated, reflected upon and logged in the appendices. All observation notes and reflective diaries will be kept anonymous for the sake of maintaining participant anonymity. The two main issues that have raised are the sample size and duration of intervention. The duration of four lessons is significantly shorter than the recommended period of time for most interventions (Cohen and Garcia 2014). As well as the duration, the sample size again is significantly smaller compared with most educational research interventions (</w:t>
      </w:r>
      <w:proofErr w:type="spellStart"/>
      <w:r w:rsidRPr="00772B72">
        <w:rPr>
          <w:rFonts w:ascii="Calibri" w:hAnsi="Calibri" w:cs="Arial"/>
          <w:sz w:val="22"/>
          <w:szCs w:val="22"/>
        </w:rPr>
        <w:t>Fraenkel</w:t>
      </w:r>
      <w:proofErr w:type="spellEnd"/>
      <w:r w:rsidRPr="00772B72">
        <w:rPr>
          <w:rFonts w:ascii="Calibri" w:hAnsi="Calibri" w:cs="Arial"/>
          <w:sz w:val="22"/>
          <w:szCs w:val="22"/>
        </w:rPr>
        <w:t> et al, 1993). Nonetheless, the intervention is designed to enhance my teaching practice and to aid my reflective skills as to whether this AFL technique has any significant impact on this particular class. </w:t>
      </w:r>
    </w:p>
    <w:p w14:paraId="692AABD0" w14:textId="77777777" w:rsidR="008F1156" w:rsidRPr="00772B72" w:rsidRDefault="008F1156" w:rsidP="00772B72">
      <w:pPr>
        <w:textAlignment w:val="baseline"/>
        <w:rPr>
          <w:rFonts w:ascii="Arial" w:hAnsi="Arial" w:cs="Arial"/>
          <w:sz w:val="18"/>
          <w:szCs w:val="18"/>
        </w:rPr>
      </w:pPr>
    </w:p>
    <w:p w14:paraId="71FEF848"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In the ethics form submitted, the methods of research outlined for this assignment include teacher reflection diary, lesson observations and pupil participant observation with their knowledge. These methods are aimed to help aid my research as to whether the no-hands up intervention has an impact on the pupils. </w:t>
      </w:r>
    </w:p>
    <w:p w14:paraId="250E2CCC" w14:textId="77777777" w:rsidR="008F1156" w:rsidRPr="00772B72" w:rsidRDefault="008F1156" w:rsidP="00772B72">
      <w:pPr>
        <w:textAlignment w:val="baseline"/>
        <w:rPr>
          <w:rFonts w:ascii="Arial" w:hAnsi="Arial" w:cs="Arial"/>
          <w:sz w:val="18"/>
          <w:szCs w:val="18"/>
        </w:rPr>
      </w:pPr>
    </w:p>
    <w:p w14:paraId="5D87DE29"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Observations can give an extremely insightful look at how people act, therefore, observations have been used as a research method as they can be useful, when working alongside other methods, as supporting evidence within the research (</w:t>
      </w:r>
      <w:proofErr w:type="spellStart"/>
      <w:r w:rsidRPr="00772B72">
        <w:rPr>
          <w:rFonts w:ascii="Calibri" w:hAnsi="Calibri" w:cs="Arial"/>
          <w:sz w:val="22"/>
          <w:szCs w:val="22"/>
        </w:rPr>
        <w:t>Sandelowski</w:t>
      </w:r>
      <w:proofErr w:type="spellEnd"/>
      <w:r w:rsidRPr="00772B72">
        <w:rPr>
          <w:rFonts w:ascii="Calibri" w:hAnsi="Calibri" w:cs="Arial"/>
          <w:sz w:val="22"/>
          <w:szCs w:val="22"/>
        </w:rPr>
        <w:t>, 2000). Observations, however, should be dealt with caution as </w:t>
      </w:r>
      <w:proofErr w:type="spellStart"/>
      <w:r w:rsidRPr="00772B72">
        <w:rPr>
          <w:rFonts w:ascii="Calibri" w:hAnsi="Calibri" w:cs="Arial"/>
          <w:sz w:val="22"/>
          <w:szCs w:val="22"/>
        </w:rPr>
        <w:t>DeWalt</w:t>
      </w:r>
      <w:proofErr w:type="spellEnd"/>
      <w:r w:rsidRPr="00772B72">
        <w:rPr>
          <w:rFonts w:ascii="Calibri" w:hAnsi="Calibri" w:cs="Arial"/>
          <w:sz w:val="22"/>
          <w:szCs w:val="22"/>
        </w:rPr>
        <w:t> and </w:t>
      </w:r>
      <w:proofErr w:type="spellStart"/>
      <w:r w:rsidRPr="00772B72">
        <w:rPr>
          <w:rFonts w:ascii="Calibri" w:hAnsi="Calibri" w:cs="Arial"/>
          <w:sz w:val="22"/>
          <w:szCs w:val="22"/>
        </w:rPr>
        <w:t>DeWalt</w:t>
      </w:r>
      <w:proofErr w:type="spellEnd"/>
      <w:r w:rsidRPr="00772B72">
        <w:rPr>
          <w:rFonts w:ascii="Calibri" w:hAnsi="Calibri" w:cs="Arial"/>
          <w:sz w:val="22"/>
          <w:szCs w:val="22"/>
        </w:rPr>
        <w:t> (2011) as well as Barker (1980) both had concerns over the use of observations, as sometimes they can be influenced by the observer. This was also echoed by </w:t>
      </w:r>
      <w:proofErr w:type="spellStart"/>
      <w:r w:rsidRPr="00772B72">
        <w:rPr>
          <w:rFonts w:ascii="Calibri" w:hAnsi="Calibri" w:cs="Arial"/>
          <w:sz w:val="22"/>
          <w:szCs w:val="22"/>
        </w:rPr>
        <w:t>Malderez</w:t>
      </w:r>
      <w:proofErr w:type="spellEnd"/>
      <w:r w:rsidRPr="00772B72">
        <w:rPr>
          <w:rFonts w:ascii="Calibri" w:hAnsi="Calibri" w:cs="Arial"/>
          <w:sz w:val="22"/>
          <w:szCs w:val="22"/>
        </w:rPr>
        <w:t> (2003) who also questioned the reliability of observations due to observer interference. Observer interference is when the observer’s findings are biased as they are in line with what they want to find rather than what they actually found. However, if observations are used correctly, a holistic understanding can be developed, but this can only be achieved if the importance of reporting on the intervention honestly is understood by the observer (</w:t>
      </w:r>
      <w:proofErr w:type="spellStart"/>
      <w:r w:rsidRPr="00772B72">
        <w:rPr>
          <w:rFonts w:ascii="Calibri" w:hAnsi="Calibri" w:cs="Arial"/>
          <w:sz w:val="22"/>
          <w:szCs w:val="22"/>
        </w:rPr>
        <w:t>DeWalt</w:t>
      </w:r>
      <w:proofErr w:type="spellEnd"/>
      <w:r w:rsidRPr="00772B72">
        <w:rPr>
          <w:rFonts w:ascii="Calibri" w:hAnsi="Calibri" w:cs="Arial"/>
          <w:sz w:val="22"/>
          <w:szCs w:val="22"/>
        </w:rPr>
        <w:t> and </w:t>
      </w:r>
      <w:proofErr w:type="spellStart"/>
      <w:r w:rsidRPr="00772B72">
        <w:rPr>
          <w:rFonts w:ascii="Calibri" w:hAnsi="Calibri" w:cs="Arial"/>
          <w:sz w:val="22"/>
          <w:szCs w:val="22"/>
        </w:rPr>
        <w:t>DeWalt</w:t>
      </w:r>
      <w:proofErr w:type="spellEnd"/>
      <w:r w:rsidRPr="00772B72">
        <w:rPr>
          <w:rFonts w:ascii="Calibri" w:hAnsi="Calibri" w:cs="Arial"/>
          <w:sz w:val="22"/>
          <w:szCs w:val="22"/>
        </w:rPr>
        <w:t>, 2011). Bryman and Bell (2011) then state that if the previous is followed then this allows for the results to be collected accurately and up to date which can then be analysed, referenced, and relied upon. </w:t>
      </w:r>
    </w:p>
    <w:p w14:paraId="2BD9469B" w14:textId="77777777" w:rsidR="008F1156" w:rsidRPr="00772B72" w:rsidRDefault="008F1156" w:rsidP="00772B72">
      <w:pPr>
        <w:textAlignment w:val="baseline"/>
        <w:rPr>
          <w:rFonts w:ascii="Arial" w:hAnsi="Arial" w:cs="Arial"/>
          <w:sz w:val="18"/>
          <w:szCs w:val="18"/>
        </w:rPr>
      </w:pPr>
    </w:p>
    <w:p w14:paraId="4062BC69"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Observation would work most effectively if the participants were not aware that they were being observed, as it may increase the validity of the observation as the participants behaviour and participation would be more natural. Yet, another limitation, due to the ethical nature of this assignment, was that the participants were made aware that they were being observed, therefore, their actions and level of participation may not be as accurate (</w:t>
      </w:r>
      <w:proofErr w:type="spellStart"/>
      <w:r w:rsidRPr="00772B72">
        <w:rPr>
          <w:rFonts w:ascii="Calibri" w:hAnsi="Calibri" w:cs="Arial"/>
          <w:sz w:val="22"/>
          <w:szCs w:val="22"/>
        </w:rPr>
        <w:t>Sandelowski</w:t>
      </w:r>
      <w:proofErr w:type="spellEnd"/>
      <w:r w:rsidRPr="00772B72">
        <w:rPr>
          <w:rFonts w:ascii="Calibri" w:hAnsi="Calibri" w:cs="Arial"/>
          <w:sz w:val="22"/>
          <w:szCs w:val="22"/>
        </w:rPr>
        <w:t>, 2000) which could have an effect on the validity of my research. </w:t>
      </w:r>
    </w:p>
    <w:p w14:paraId="49768080" w14:textId="77777777" w:rsidR="008F1156" w:rsidRPr="00772B72" w:rsidRDefault="008F1156" w:rsidP="00772B72">
      <w:pPr>
        <w:textAlignment w:val="baseline"/>
        <w:rPr>
          <w:rFonts w:ascii="Arial" w:hAnsi="Arial" w:cs="Arial"/>
          <w:sz w:val="18"/>
          <w:szCs w:val="18"/>
        </w:rPr>
      </w:pPr>
    </w:p>
    <w:p w14:paraId="26E2E91B"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Similar to the observation notes, the teacher’s reflection diary may also be subject to bias as conflict of interest can occur between teacher and researcher. The teacher would be more inclined to say that their intervention has had an impact as they are the ones conducting the teaching. However, in order to become a true reflective practitioner, the researcher needs to separate themselves from the teacher in order to conduct an honest reflection on the intervention. </w:t>
      </w:r>
    </w:p>
    <w:p w14:paraId="622C8052" w14:textId="77777777" w:rsidR="008F1156" w:rsidRPr="00772B72" w:rsidRDefault="008F1156" w:rsidP="00772B72">
      <w:pPr>
        <w:textAlignment w:val="baseline"/>
        <w:rPr>
          <w:rFonts w:ascii="Arial" w:hAnsi="Arial" w:cs="Arial"/>
          <w:sz w:val="18"/>
          <w:szCs w:val="18"/>
        </w:rPr>
      </w:pPr>
    </w:p>
    <w:p w14:paraId="6A1565EE"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Questionnaires are often a popular research method, however they were not chosen as a research method for this assignment as, though cost and time effective (</w:t>
      </w:r>
      <w:proofErr w:type="spellStart"/>
      <w:r w:rsidRPr="00772B72">
        <w:rPr>
          <w:rFonts w:ascii="Calibri" w:hAnsi="Calibri" w:cs="Arial"/>
          <w:sz w:val="22"/>
          <w:szCs w:val="22"/>
        </w:rPr>
        <w:t>Gliner</w:t>
      </w:r>
      <w:proofErr w:type="spellEnd"/>
      <w:r w:rsidRPr="00772B72">
        <w:rPr>
          <w:rFonts w:ascii="Calibri" w:hAnsi="Calibri" w:cs="Arial"/>
          <w:sz w:val="22"/>
          <w:szCs w:val="22"/>
        </w:rPr>
        <w:t xml:space="preserve">, Morgan and Leech, 2011), they are often unreliable as the </w:t>
      </w:r>
      <w:r w:rsidRPr="00772B72">
        <w:rPr>
          <w:rFonts w:ascii="Calibri" w:hAnsi="Calibri" w:cs="Arial"/>
          <w:sz w:val="22"/>
          <w:szCs w:val="22"/>
        </w:rPr>
        <w:lastRenderedPageBreak/>
        <w:t>participants are not likely to answer honestly as they may feel they are required to give the teacher the 'correct' answers. Another issue with questionnaires is that participants often do not get allocated enough time to complete them (Patton, 1990) and, if anonymous, any questionnaires that are not completed or contain errors cannot be resolved (Mitchell and Jolley, 2012). </w:t>
      </w:r>
    </w:p>
    <w:p w14:paraId="6043B11D" w14:textId="77777777" w:rsidR="008F1156" w:rsidRPr="00772B72" w:rsidRDefault="008F1156" w:rsidP="00772B72">
      <w:pPr>
        <w:textAlignment w:val="baseline"/>
        <w:rPr>
          <w:rFonts w:ascii="Arial" w:hAnsi="Arial" w:cs="Arial"/>
          <w:sz w:val="18"/>
          <w:szCs w:val="18"/>
        </w:rPr>
      </w:pPr>
    </w:p>
    <w:p w14:paraId="51F45358"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It is said that triangulation has occurred as this intervention is supported by more than two methodological approaches (</w:t>
      </w:r>
      <w:proofErr w:type="spellStart"/>
      <w:r w:rsidRPr="00772B72">
        <w:rPr>
          <w:rFonts w:ascii="Calibri" w:hAnsi="Calibri" w:cs="Arial"/>
          <w:sz w:val="22"/>
          <w:szCs w:val="22"/>
        </w:rPr>
        <w:t>Jick</w:t>
      </w:r>
      <w:proofErr w:type="spellEnd"/>
      <w:r w:rsidRPr="00772B72">
        <w:rPr>
          <w:rFonts w:ascii="Calibri" w:hAnsi="Calibri" w:cs="Arial"/>
          <w:sz w:val="22"/>
          <w:szCs w:val="22"/>
        </w:rPr>
        <w:t>, 1979). Triangulation allows for any issues with a methodological approach, such as bias, to be reduced by additional methods of gathering evidence. </w:t>
      </w:r>
    </w:p>
    <w:p w14:paraId="1FEE91E2" w14:textId="77777777" w:rsidR="008F1156" w:rsidRPr="00772B72" w:rsidRDefault="008F1156" w:rsidP="00772B72">
      <w:pPr>
        <w:textAlignment w:val="baseline"/>
        <w:rPr>
          <w:rFonts w:ascii="Arial" w:hAnsi="Arial" w:cs="Arial"/>
          <w:sz w:val="18"/>
          <w:szCs w:val="18"/>
        </w:rPr>
      </w:pPr>
    </w:p>
    <w:p w14:paraId="252E48C9"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After reading the literature, the method I used to question the pupils was to select the lollipop stick and read the pupil’s name and then direct a question to them. This allowed for differentiation as well as preparation time for the student to concentrate for the question. I thought this technique of selecting the stick before asking the question allowed me to identify the name and then create a suitable, yet challenging, question for that pupil giving them a more individualised assessment of their knowledge and understanding. If this was reversed then it would not allow for differentiation.  </w:t>
      </w:r>
    </w:p>
    <w:p w14:paraId="4AB09A3E" w14:textId="77777777" w:rsidR="008F1156" w:rsidRPr="00772B72" w:rsidRDefault="008F1156" w:rsidP="00772B72">
      <w:pPr>
        <w:textAlignment w:val="baseline"/>
        <w:rPr>
          <w:rFonts w:ascii="Arial" w:hAnsi="Arial" w:cs="Arial"/>
          <w:sz w:val="18"/>
          <w:szCs w:val="18"/>
        </w:rPr>
      </w:pPr>
    </w:p>
    <w:p w14:paraId="7BAB1D7C"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The preparation time (the time between myself selecting the pupils name to asking the question) for the student was very short. I thought that this may help as I often found myself repeating the question in the class prior to this, as whenever I would ask a question then </w:t>
      </w:r>
      <w:proofErr w:type="gramStart"/>
      <w:r w:rsidRPr="00772B72">
        <w:rPr>
          <w:rFonts w:ascii="Calibri" w:hAnsi="Calibri" w:cs="Arial"/>
          <w:sz w:val="22"/>
          <w:szCs w:val="22"/>
        </w:rPr>
        <w:t>select</w:t>
      </w:r>
      <w:proofErr w:type="gramEnd"/>
      <w:r w:rsidRPr="00772B72">
        <w:rPr>
          <w:rFonts w:ascii="Calibri" w:hAnsi="Calibri" w:cs="Arial"/>
          <w:sz w:val="22"/>
          <w:szCs w:val="22"/>
        </w:rPr>
        <w:t> a pupil to answer, the pupil, more often than not, asked for it to be repeated. This may have been due to disengagement from the lesson or the pupil not expecting their name to be called out. Even though, this unexpectant nature of questioning is the desired outcome of the no-hands up approach; I found it to be more effective if I made the pupil aware that they had been randomly selected so that they were briefly aware that a question would shortly follow in order to avoid repeating myself and losing the follow of the lesson and bouncing of questions. </w:t>
      </w:r>
    </w:p>
    <w:p w14:paraId="741A1A8E" w14:textId="77777777" w:rsidR="008F1156" w:rsidRPr="00772B72" w:rsidRDefault="008F1156" w:rsidP="00772B72">
      <w:pPr>
        <w:textAlignment w:val="baseline"/>
        <w:rPr>
          <w:rFonts w:ascii="Arial" w:hAnsi="Arial" w:cs="Arial"/>
          <w:sz w:val="18"/>
          <w:szCs w:val="18"/>
        </w:rPr>
      </w:pPr>
    </w:p>
    <w:p w14:paraId="6E970F69"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After I had asked the pupils the question I was cautious to allow them to have enough thinking time. This is a concept that Stahl (1990) proposed where you allow for a period of silence after a question is asked in order for the pupil to take in the question and to think of an appropriate answer. This waiting helps the pupil to access a more higher order level of thinking as they are not rushed for an answer. This think time could easily have been over looked as a teacher may be distracted by wanting to ensure the pace of the lesson is not affected further by waiting too long for an answer. However, a teacher should always be aware that each pupils’ think time may vary and that even though differentiation of questioning is important so is the differentiation of think time. </w:t>
      </w:r>
    </w:p>
    <w:p w14:paraId="72BC93DC" w14:textId="77777777" w:rsidR="00772B72" w:rsidRPr="00772B72" w:rsidRDefault="00772B72" w:rsidP="00772B72">
      <w:pPr>
        <w:textAlignment w:val="baseline"/>
        <w:rPr>
          <w:rFonts w:ascii="Arial" w:hAnsi="Arial" w:cs="Arial"/>
          <w:sz w:val="18"/>
          <w:szCs w:val="18"/>
        </w:rPr>
      </w:pPr>
    </w:p>
    <w:p w14:paraId="3437289B" w14:textId="77777777" w:rsidR="00772B72" w:rsidRDefault="00772B72" w:rsidP="00772B72">
      <w:pPr>
        <w:textAlignment w:val="baseline"/>
        <w:rPr>
          <w:rFonts w:ascii="Calibri" w:hAnsi="Calibri" w:cs="Arial"/>
          <w:sz w:val="22"/>
          <w:szCs w:val="22"/>
        </w:rPr>
      </w:pPr>
      <w:r w:rsidRPr="00772B72">
        <w:rPr>
          <w:rFonts w:ascii="Calibri" w:hAnsi="Calibri" w:cs="Arial"/>
          <w:b/>
          <w:bCs/>
          <w:sz w:val="22"/>
          <w:szCs w:val="22"/>
        </w:rPr>
        <w:t>Evaluation </w:t>
      </w:r>
      <w:r w:rsidRPr="00772B72">
        <w:rPr>
          <w:rFonts w:ascii="Calibri" w:hAnsi="Calibri" w:cs="Arial"/>
          <w:sz w:val="22"/>
          <w:szCs w:val="22"/>
        </w:rPr>
        <w:t> </w:t>
      </w:r>
    </w:p>
    <w:p w14:paraId="2879B837" w14:textId="77777777" w:rsidR="008F1156" w:rsidRPr="00772B72" w:rsidRDefault="008F1156" w:rsidP="00772B72">
      <w:pPr>
        <w:textAlignment w:val="baseline"/>
        <w:rPr>
          <w:rFonts w:ascii="Arial" w:hAnsi="Arial" w:cs="Arial"/>
          <w:sz w:val="18"/>
          <w:szCs w:val="18"/>
        </w:rPr>
      </w:pPr>
    </w:p>
    <w:p w14:paraId="431D86B8"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The sequence of lessons leading up to and throughout the no-hands up approach intervention will now be outlined and discussed, and the results from the research methods will be analysed and compared to the literature around the approach in question.  </w:t>
      </w:r>
    </w:p>
    <w:p w14:paraId="609CEEEB" w14:textId="77777777" w:rsidR="008F1156" w:rsidRPr="00772B72" w:rsidRDefault="008F1156" w:rsidP="00772B72">
      <w:pPr>
        <w:textAlignment w:val="baseline"/>
        <w:rPr>
          <w:rFonts w:ascii="Arial" w:hAnsi="Arial" w:cs="Arial"/>
          <w:sz w:val="18"/>
          <w:szCs w:val="18"/>
        </w:rPr>
      </w:pPr>
    </w:p>
    <w:p w14:paraId="5EC61476"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Firstly, as noted in the methodology, the duration of this intervention is significantly shorter than required for an educational intervention, as stated by Cohen and Garcia (2014), causing a reduction on the validity of the research findings. As well as the duration, the sample size of the class used for the intervention does not wholly represent the age group being researched, therefore, limiting the validity of the findings also, as a result, these limitations will need to be taken into account when evaluating the findings of the research. </w:t>
      </w:r>
    </w:p>
    <w:p w14:paraId="7F869E82" w14:textId="77777777" w:rsidR="008F1156" w:rsidRPr="00772B72" w:rsidRDefault="008F1156" w:rsidP="00772B72">
      <w:pPr>
        <w:textAlignment w:val="baseline"/>
        <w:rPr>
          <w:rFonts w:ascii="Arial" w:hAnsi="Arial" w:cs="Arial"/>
          <w:sz w:val="18"/>
          <w:szCs w:val="18"/>
        </w:rPr>
      </w:pPr>
    </w:p>
    <w:p w14:paraId="700BE7FA"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 xml:space="preserve">Prior to the intervention, my mentor and I observed the </w:t>
      </w:r>
      <w:proofErr w:type="gramStart"/>
      <w:r w:rsidRPr="00772B72">
        <w:rPr>
          <w:rFonts w:ascii="Calibri" w:hAnsi="Calibri" w:cs="Arial"/>
          <w:sz w:val="22"/>
          <w:szCs w:val="22"/>
        </w:rPr>
        <w:t>pupils</w:t>
      </w:r>
      <w:proofErr w:type="gramEnd"/>
      <w:r w:rsidRPr="00772B72">
        <w:rPr>
          <w:rFonts w:ascii="Calibri" w:hAnsi="Calibri" w:cs="Arial"/>
          <w:sz w:val="22"/>
          <w:szCs w:val="22"/>
        </w:rPr>
        <w:t xml:space="preserve"> interaction and participation rates. It was concluded that the majority of pupils in the classroom were confident in expressing their opinion in front of their peers. However, when questions were directed to the class, a minority of the class were reluctant to give their answers. This may be due to them not having accountability and not responsible for answering (Paul, 2005). It could be thought that as the classroom had previously experienced a hands-up approach only to answering questions, that the pupils assumed this was the norm and that if you did not want to answer any questions you simply just did not put your hands up. It was observed that within the classroom the more extroverted pupils were willing to answer the questions whereas, the more introverted pupils in the class would show signs of being uncomfortable when speaking aloud to the class, such as little eye contact and not speaking clearly. This behaviour may be due to their general shyness (Bartlett, 2015), nonetheless, they seemed reluctant to answer in fear of getting it wrong. This was a surprise as I tried to make the classroom a safe environment were all the pupils respect each other’s views and that wrong answers are encouraged as they can learn from them. Contrary to this, Dixie (2011) mentioned that pupils who are reluctant to answer are often distracted within the lesson and it is often not their ability levels that restrict them from answering questions. Therefore, without questions being directed to each pupil, the pupils who do not </w:t>
      </w:r>
      <w:r w:rsidRPr="00772B72">
        <w:rPr>
          <w:rFonts w:ascii="Calibri" w:hAnsi="Calibri" w:cs="Arial"/>
          <w:sz w:val="22"/>
          <w:szCs w:val="22"/>
        </w:rPr>
        <w:lastRenderedPageBreak/>
        <w:t>want to answer do not have to and in turn miss opportunities to build their confidence and as well as the teacher being able to assess their understanding (Dillon and Maguire, 2011). </w:t>
      </w:r>
    </w:p>
    <w:p w14:paraId="6A7BEC11" w14:textId="77777777" w:rsidR="008F1156" w:rsidRPr="00772B72" w:rsidRDefault="008F1156" w:rsidP="00772B72">
      <w:pPr>
        <w:textAlignment w:val="baseline"/>
        <w:rPr>
          <w:rFonts w:ascii="Arial" w:hAnsi="Arial" w:cs="Arial"/>
          <w:sz w:val="18"/>
          <w:szCs w:val="18"/>
        </w:rPr>
      </w:pPr>
    </w:p>
    <w:p w14:paraId="13CF5E5B"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Throughout the intervention, when a whole class question was asked a portion of the pupils would not volunteer an answer even if the mentor and myself believed that such pupil would have known the correct answer. As well as that, it was observed that pupils would often avoid eye contact and look down at their work so they would not be selected for questioning, evidence of this was also found with Bartlett (2015). It could be argued that it was not the pupils’ ability that was stopping them but their self-belief. This then, in turn, made it harder for them to answer the corresponding questions that I asked them, while I often, due to the nature of this intervention, relied heavily on questioning as the main source of AFL within the classroom. The reliance on questioning then made it difficult to assess the pupils’ progression within the classroom without looking through their individual written work as, previously mentioned, not all pupils offered true reflections on their knowledge due to their poor verbal communication skills or shyness.  </w:t>
      </w:r>
    </w:p>
    <w:p w14:paraId="2F1C3858" w14:textId="77777777" w:rsidR="008F1156" w:rsidRPr="00772B72" w:rsidRDefault="008F1156" w:rsidP="00772B72">
      <w:pPr>
        <w:textAlignment w:val="baseline"/>
        <w:rPr>
          <w:rFonts w:ascii="Arial" w:hAnsi="Arial" w:cs="Arial"/>
          <w:sz w:val="18"/>
          <w:szCs w:val="18"/>
        </w:rPr>
      </w:pPr>
    </w:p>
    <w:p w14:paraId="15637857"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In reflection, my mentor and I said that this was unusual behaviour and may be due to the nervousness of the intervention that I explained to them was taking place. However, in the future, I will need to address this by ensuring that the classroom is a safe environment where leaners should feel free to contribute without fear of being judged. Schein (1996) argues that a classroom environment which is unsafe for discussion prevents pupils from feeling confident in giving their answers and interacting with each other and instead promotes anxiety. It was agreed that the pupils needed to believe that the environment within the classroom was supportive and that wrong answers are how you learn and progress. It was discussed that this would be another area that we focus on in hope that the 'no-hands up' approach method could be responded to.  </w:t>
      </w:r>
    </w:p>
    <w:p w14:paraId="68AA5E95" w14:textId="77777777" w:rsidR="008F1156" w:rsidRPr="00772B72" w:rsidRDefault="008F1156" w:rsidP="00772B72">
      <w:pPr>
        <w:textAlignment w:val="baseline"/>
        <w:rPr>
          <w:rFonts w:ascii="Arial" w:hAnsi="Arial" w:cs="Arial"/>
          <w:sz w:val="18"/>
          <w:szCs w:val="18"/>
        </w:rPr>
      </w:pPr>
    </w:p>
    <w:p w14:paraId="240C6CB0"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When starting this intervention there was an issue with classroom management behaviour. The class teacher and I often used the hands-up approach as a means to ensure that the pupils did not shout out their answers. Therefore, in agreeance with Tomlinson and Moon (2005), the use of our AFL strategy was not to primarily engage pupils but as a classroom management technique. Thankfully, the development of mutual respect between the class and myself has ensured that within the classroom an effective learning environment was expected with high standards set for both pupils’ behaviour and the teacher’s behaviour management techniques. Despite this, there will still need to be some set rules regarding the shouting out of answers and the 'no-hands up' unless asking a question rule will allow for the randomness of questioning without any disturbances. </w:t>
      </w:r>
    </w:p>
    <w:p w14:paraId="6AFB796E" w14:textId="77777777" w:rsidR="008F1156" w:rsidRPr="00772B72" w:rsidRDefault="008F1156" w:rsidP="00772B72">
      <w:pPr>
        <w:textAlignment w:val="baseline"/>
        <w:rPr>
          <w:rFonts w:ascii="Arial" w:hAnsi="Arial" w:cs="Arial"/>
          <w:sz w:val="18"/>
          <w:szCs w:val="18"/>
        </w:rPr>
      </w:pPr>
    </w:p>
    <w:p w14:paraId="0BB24F91"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When I began using the lollipop sticks for the no-hands up approach the pupils seemed very engaged and pupil participation had increased. This may be due to how I tried to get them to approach the intervention, as I tried to make the lollipop sticks seem like a fun activity that added to the lesson rather than a technique I was going to use to ensure everyone contributed. However, the pupils who struggled to communicate verbally due to shyness remained shy yet did participate more due to the randomness of the questioning. The classroom teacher mentioned that the participation of the class as a whole increased, as pupils who often were left unnoticed in the class got the opportunity to answer and give their opinions within the class. However, some pupils found it difficult to remain silent if they knew the answer, and often shouted out the answer in excitement, as discussed by Angelo and Cross (1993), the use of certain AFL strategies may cause behavioural management issues. This then did not allow for the quieter pupils to have chance to think of their own answers and normally repeated the answer that was shouted out. Initially, during the first lesson, this was a problem, however, over time, the pupils realised that this behaviour was not acceptable and they remained silent as the only answer that was accepted was that from the pupil whose name was pulled from the lollipop sticks.  </w:t>
      </w:r>
    </w:p>
    <w:p w14:paraId="4C6E621A" w14:textId="77777777" w:rsidR="008F1156" w:rsidRPr="00772B72" w:rsidRDefault="008F1156" w:rsidP="00772B72">
      <w:pPr>
        <w:textAlignment w:val="baseline"/>
        <w:rPr>
          <w:rFonts w:ascii="Arial" w:hAnsi="Arial" w:cs="Arial"/>
          <w:sz w:val="18"/>
          <w:szCs w:val="18"/>
        </w:rPr>
      </w:pPr>
    </w:p>
    <w:p w14:paraId="52A326EC"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During the intervention, the pupils were currently focusing on making an ethical recipe, therefore the pupils needed to use their creative skills. Thus, an over reliance on in-depth probing questioning could result in more distractions and lead to disengagement and poor attainment levels. I was worried that I may see a negative effect from too much questioning but after discussion with my mentor we agreed that because the intervention is taking place it doesn’t mean more questions need to be asked but the method of questioning does. </w:t>
      </w:r>
    </w:p>
    <w:p w14:paraId="41B66413" w14:textId="77777777" w:rsidR="008F1156" w:rsidRPr="00772B72" w:rsidRDefault="008F1156" w:rsidP="00772B72">
      <w:pPr>
        <w:textAlignment w:val="baseline"/>
        <w:rPr>
          <w:rFonts w:ascii="Arial" w:hAnsi="Arial" w:cs="Arial"/>
          <w:sz w:val="18"/>
          <w:szCs w:val="18"/>
        </w:rPr>
      </w:pPr>
    </w:p>
    <w:p w14:paraId="5818FCE1" w14:textId="2F9372FD" w:rsidR="00772B72" w:rsidRDefault="00772B72" w:rsidP="00772B72">
      <w:pPr>
        <w:textAlignment w:val="baseline"/>
        <w:rPr>
          <w:rFonts w:ascii="Calibri" w:hAnsi="Calibri" w:cs="Arial"/>
          <w:sz w:val="22"/>
          <w:szCs w:val="22"/>
        </w:rPr>
      </w:pPr>
      <w:r w:rsidRPr="00772B72">
        <w:rPr>
          <w:rFonts w:ascii="Calibri" w:hAnsi="Calibri" w:cs="Arial"/>
          <w:sz w:val="22"/>
          <w:szCs w:val="22"/>
        </w:rPr>
        <w:t xml:space="preserve">As seen in my lesson reflections, the first lesson, as discussed previously, there were minor behavioural issues trying to control the problem of a minority of pupils shouting the answers out. Once that was contained, the second lesson saw great success. The pupils seemed to be more engaged, even though you could still see frustration and I tried to remind them that they could only put their hands up if they were to ask me a question. Some pupils were clever enough to re-phrase their ideas or topics they wanted to talk about into a question that they believed would cause a discussion which, even though is something that is promoted within the iThink curriculum, it was a loop-hole that </w:t>
      </w:r>
      <w:r w:rsidRPr="00772B72">
        <w:rPr>
          <w:rFonts w:ascii="Calibri" w:hAnsi="Calibri" w:cs="Arial"/>
          <w:sz w:val="22"/>
          <w:szCs w:val="22"/>
        </w:rPr>
        <w:lastRenderedPageBreak/>
        <w:t>they had found within the rules set out in this approach. However, I did not correct this as I thought it was a good thing that they were being creative and expressing themselves in a respectful yet innovative way and I didn’t want to restrict them. In the future, perhaps, I would set new ground rules which would have ensured that this could not happen.  </w:t>
      </w:r>
    </w:p>
    <w:p w14:paraId="0D2A0492" w14:textId="77777777" w:rsidR="008F1156" w:rsidRPr="00772B72" w:rsidRDefault="008F1156" w:rsidP="00772B72">
      <w:pPr>
        <w:textAlignment w:val="baseline"/>
        <w:rPr>
          <w:rFonts w:ascii="Arial" w:hAnsi="Arial" w:cs="Arial"/>
          <w:sz w:val="18"/>
          <w:szCs w:val="18"/>
        </w:rPr>
      </w:pPr>
    </w:p>
    <w:p w14:paraId="51AA3913" w14:textId="2C76FE5B" w:rsidR="00772B72" w:rsidRDefault="00772B72" w:rsidP="00772B72">
      <w:pPr>
        <w:textAlignment w:val="baseline"/>
        <w:rPr>
          <w:rFonts w:ascii="Calibri" w:hAnsi="Calibri" w:cs="Arial"/>
          <w:sz w:val="22"/>
          <w:szCs w:val="22"/>
        </w:rPr>
      </w:pPr>
      <w:r w:rsidRPr="00772B72">
        <w:rPr>
          <w:rFonts w:ascii="Calibri" w:hAnsi="Calibri" w:cs="Arial"/>
          <w:sz w:val="22"/>
          <w:szCs w:val="22"/>
        </w:rPr>
        <w:t>By the third and fourth intervention the pupils had gotten used to the approach and were expecting it. This helped with the class engagement and saw low-level classroom disruption decreasing as the pupils were eager to see who was going to be selected next. There were, however, instances where a name may be called out more than one time in a short period of time which saw the pupil get frustrated as they thought they were being singled out. However, after explanation, as previously found by Black and </w:t>
      </w:r>
      <w:proofErr w:type="spellStart"/>
      <w:r w:rsidRPr="00772B72">
        <w:rPr>
          <w:rFonts w:ascii="Calibri" w:hAnsi="Calibri" w:cs="Arial"/>
          <w:sz w:val="22"/>
          <w:szCs w:val="22"/>
        </w:rPr>
        <w:t>Wiliam</w:t>
      </w:r>
      <w:proofErr w:type="spellEnd"/>
      <w:r w:rsidRPr="00772B72">
        <w:rPr>
          <w:rFonts w:ascii="Calibri" w:hAnsi="Calibri" w:cs="Arial"/>
          <w:sz w:val="22"/>
          <w:szCs w:val="22"/>
        </w:rPr>
        <w:t> (2009), the randomness of selection may coincidentally mean that sometimes you may be chosen more than others, however, in the long run, this method is the least bias and offers the most random questioning available.  </w:t>
      </w:r>
    </w:p>
    <w:p w14:paraId="1FFE1C73" w14:textId="77777777" w:rsidR="008F1156" w:rsidRPr="00772B72" w:rsidRDefault="008F1156" w:rsidP="00772B72">
      <w:pPr>
        <w:textAlignment w:val="baseline"/>
        <w:rPr>
          <w:rFonts w:ascii="Arial" w:hAnsi="Arial" w:cs="Arial"/>
          <w:sz w:val="18"/>
          <w:szCs w:val="18"/>
        </w:rPr>
      </w:pPr>
    </w:p>
    <w:p w14:paraId="0A5C78FA"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As discussed in my methodology, I aimed to give the pupils some preparation time to make them aware that the question was coming in order to avoid myself repeating the question. However, I found that this did not often work. It allowed pupils to disengage and then engage when their name was called, my mentor brought this up with me and we discussed how this should be resolved and we agreed that I should resort back to giving no time to prepare for questioning to ensure that the pupils were paying attention throughout the lesson. At first, I was somewhat sceptical about this method as I thought it may increase anxiety in the shyer pupils who found it difficult to communicate, but by the fourth lesson I could see their confidence building and as they were in a safe environment where the class respected each other they seemed more at ease being put under slight pressure with the questioning.  </w:t>
      </w:r>
    </w:p>
    <w:p w14:paraId="72961F39" w14:textId="77777777" w:rsidR="008F1156" w:rsidRPr="00772B72" w:rsidRDefault="008F1156" w:rsidP="00772B72">
      <w:pPr>
        <w:textAlignment w:val="baseline"/>
        <w:rPr>
          <w:rFonts w:ascii="Arial" w:hAnsi="Arial" w:cs="Arial"/>
          <w:sz w:val="18"/>
          <w:szCs w:val="18"/>
        </w:rPr>
      </w:pPr>
    </w:p>
    <w:p w14:paraId="1899D7F4"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After the intervention, the pupils in the class when asked said they initially did not enjoy the use of the lollipop sticks as they found it hard not to put their hands up and got frustrated when they couldn’t give their own opinions on something they were very passionate about. In the future, this approach may need to be accompanied with the use of mini-white boards, as discussed by </w:t>
      </w:r>
      <w:proofErr w:type="spellStart"/>
      <w:r w:rsidRPr="00772B72">
        <w:rPr>
          <w:rFonts w:ascii="Calibri" w:hAnsi="Calibri" w:cs="Arial"/>
          <w:sz w:val="22"/>
          <w:szCs w:val="22"/>
        </w:rPr>
        <w:t>Altermatt</w:t>
      </w:r>
      <w:proofErr w:type="spellEnd"/>
      <w:r w:rsidRPr="00772B72">
        <w:rPr>
          <w:rFonts w:ascii="Calibri" w:hAnsi="Calibri" w:cs="Arial"/>
          <w:sz w:val="22"/>
          <w:szCs w:val="22"/>
        </w:rPr>
        <w:t>, </w:t>
      </w:r>
      <w:proofErr w:type="spellStart"/>
      <w:r w:rsidRPr="00772B72">
        <w:rPr>
          <w:rFonts w:ascii="Calibri" w:hAnsi="Calibri" w:cs="Arial"/>
          <w:sz w:val="22"/>
          <w:szCs w:val="22"/>
        </w:rPr>
        <w:t>Jovonovic</w:t>
      </w:r>
      <w:proofErr w:type="spellEnd"/>
      <w:r w:rsidRPr="00772B72">
        <w:rPr>
          <w:rFonts w:ascii="Calibri" w:hAnsi="Calibri" w:cs="Arial"/>
          <w:sz w:val="22"/>
          <w:szCs w:val="22"/>
        </w:rPr>
        <w:t> and Perry (1998). The use of the lollipop sticks would work best if accompanied with another technique, such as the mini-white boards, in order to allow all the pupils to respond to their questions whilst also allowing all pupils to express their opinions. However, they went on to mention that the randomness of the lollipop sticks made it more of a 'game' and that they were more engaged with the lesson because they didn’t want to be asked a question when they were not paying attention.  </w:t>
      </w:r>
    </w:p>
    <w:p w14:paraId="0438B76F" w14:textId="77777777" w:rsidR="008F1156" w:rsidRPr="00772B72" w:rsidRDefault="008F1156" w:rsidP="00772B72">
      <w:pPr>
        <w:textAlignment w:val="baseline"/>
        <w:rPr>
          <w:rFonts w:ascii="Arial" w:hAnsi="Arial" w:cs="Arial"/>
          <w:sz w:val="18"/>
          <w:szCs w:val="18"/>
        </w:rPr>
      </w:pPr>
    </w:p>
    <w:p w14:paraId="60FE69E8" w14:textId="77777777"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There is evidence in the research conducted that suggests that the 'no-hands up' approach does have strengths in increasing pupil participation levels and their potential to attain a higher level. It also identifies the use of questioning as a tool to promote thinking and learning. However, this method will be more successful when working alongside other AFL techniques with appropriate behavioural management techniques. </w:t>
      </w:r>
    </w:p>
    <w:p w14:paraId="1B31C0F3" w14:textId="77777777"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 </w:t>
      </w:r>
    </w:p>
    <w:p w14:paraId="5EC3F1AF" w14:textId="77777777" w:rsidR="00772B72" w:rsidRDefault="00772B72" w:rsidP="00772B72">
      <w:pPr>
        <w:textAlignment w:val="baseline"/>
        <w:rPr>
          <w:rFonts w:ascii="Calibri" w:hAnsi="Calibri" w:cs="Arial"/>
          <w:sz w:val="22"/>
          <w:szCs w:val="22"/>
        </w:rPr>
      </w:pPr>
      <w:r w:rsidRPr="00772B72">
        <w:rPr>
          <w:rFonts w:ascii="Calibri" w:hAnsi="Calibri" w:cs="Arial"/>
          <w:b/>
          <w:bCs/>
          <w:sz w:val="22"/>
          <w:szCs w:val="22"/>
        </w:rPr>
        <w:t>Conclusion</w:t>
      </w:r>
      <w:r w:rsidRPr="00772B72">
        <w:rPr>
          <w:rFonts w:ascii="Calibri" w:hAnsi="Calibri" w:cs="Arial"/>
          <w:sz w:val="22"/>
          <w:szCs w:val="22"/>
        </w:rPr>
        <w:t> </w:t>
      </w:r>
    </w:p>
    <w:p w14:paraId="0EE1DC31" w14:textId="77777777" w:rsidR="008F1156" w:rsidRPr="00772B72" w:rsidRDefault="008F1156" w:rsidP="00772B72">
      <w:pPr>
        <w:textAlignment w:val="baseline"/>
        <w:rPr>
          <w:rFonts w:ascii="Arial" w:hAnsi="Arial" w:cs="Arial"/>
          <w:sz w:val="18"/>
          <w:szCs w:val="18"/>
        </w:rPr>
      </w:pPr>
    </w:p>
    <w:p w14:paraId="1E1BA463" w14:textId="7600CA39" w:rsidR="00772B72" w:rsidRDefault="00772B72" w:rsidP="00772B72">
      <w:pPr>
        <w:textAlignment w:val="baseline"/>
        <w:rPr>
          <w:rFonts w:ascii="Calibri" w:hAnsi="Calibri" w:cs="Arial"/>
          <w:sz w:val="22"/>
          <w:szCs w:val="22"/>
        </w:rPr>
      </w:pPr>
      <w:r w:rsidRPr="00772B72">
        <w:rPr>
          <w:rFonts w:ascii="Calibri" w:hAnsi="Calibri" w:cs="Arial"/>
          <w:sz w:val="22"/>
          <w:szCs w:val="22"/>
        </w:rPr>
        <w:t xml:space="preserve">The intervention started with some behavioural issues, however, once that was controlled the intervention started to develop into something I could see becoming beneficial to the class and myself. I was able to learn how the class reacted to the approach and what strategies I could use to help support this approach. The benefits definitely outweighed the drawbacks. The pupil participation and engagement levels increased and the </w:t>
      </w:r>
      <w:proofErr w:type="gramStart"/>
      <w:r w:rsidRPr="00772B72">
        <w:rPr>
          <w:rFonts w:ascii="Calibri" w:hAnsi="Calibri" w:cs="Arial"/>
          <w:sz w:val="22"/>
          <w:szCs w:val="22"/>
        </w:rPr>
        <w:t>low level</w:t>
      </w:r>
      <w:proofErr w:type="gramEnd"/>
      <w:r w:rsidRPr="00772B72">
        <w:rPr>
          <w:rFonts w:ascii="Calibri" w:hAnsi="Calibri" w:cs="Arial"/>
          <w:sz w:val="22"/>
          <w:szCs w:val="22"/>
        </w:rPr>
        <w:t xml:space="preserve"> classroom disruption also improved with pupils talking to their partners less as they did not want to be asked to answer a question without knowing what the answer could be. The class teacher and I both saw that the pupils at first got frustrated very quickly, however, after the initial frustration they saw that this was the best way to get a fair questioning system (</w:t>
      </w:r>
      <w:proofErr w:type="spellStart"/>
      <w:r w:rsidRPr="00772B72">
        <w:rPr>
          <w:rFonts w:ascii="Calibri" w:hAnsi="Calibri" w:cs="Arial"/>
          <w:sz w:val="22"/>
          <w:szCs w:val="22"/>
        </w:rPr>
        <w:t>Wiliam</w:t>
      </w:r>
      <w:proofErr w:type="spellEnd"/>
      <w:r w:rsidRPr="00772B72">
        <w:rPr>
          <w:rFonts w:ascii="Calibri" w:hAnsi="Calibri" w:cs="Arial"/>
          <w:sz w:val="22"/>
          <w:szCs w:val="22"/>
        </w:rPr>
        <w:t>, 2008).  </w:t>
      </w:r>
    </w:p>
    <w:p w14:paraId="09C9067E" w14:textId="77777777" w:rsidR="008F1156" w:rsidRPr="00772B72" w:rsidRDefault="008F1156" w:rsidP="00772B72">
      <w:pPr>
        <w:textAlignment w:val="baseline"/>
        <w:rPr>
          <w:rFonts w:ascii="Arial" w:hAnsi="Arial" w:cs="Arial"/>
          <w:sz w:val="18"/>
          <w:szCs w:val="18"/>
        </w:rPr>
      </w:pPr>
    </w:p>
    <w:p w14:paraId="257E2D54"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The pupils at first did not enjoy the lollipop system, as they got frustrated with not being able to express their opinion. However, I believe that teachers who use this approach need to see past the initial rejection from the pupils and focus on the long-term impact this method can have on their engagement and participation levels. Just because the pupils do not initially enjoy the technique does not mean that the teacher should stop using it, especially if it will benefit the pupils. </w:t>
      </w:r>
    </w:p>
    <w:p w14:paraId="000AB637" w14:textId="77777777" w:rsidR="008F1156" w:rsidRPr="00772B72" w:rsidRDefault="008F1156" w:rsidP="00772B72">
      <w:pPr>
        <w:textAlignment w:val="baseline"/>
        <w:rPr>
          <w:rFonts w:ascii="Arial" w:hAnsi="Arial" w:cs="Arial"/>
          <w:sz w:val="18"/>
          <w:szCs w:val="18"/>
        </w:rPr>
      </w:pPr>
    </w:p>
    <w:p w14:paraId="749DAE4D"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 xml:space="preserve">The main finding that the class teacher and I saw from the research was the increase in participation levels. This may be because the pupils were now pressured to give an answer as they were being asked individually whereas prior to the intervention they would only be asked if they put their hands up. This increase in engagement was due to the pressure that they didn’t want to be asked a question when they weren't paying attention, so they could avoid embarrassment. I am still unsure if this is the best possible way to gain the pupils’ attention in the class as I would </w:t>
      </w:r>
      <w:r w:rsidRPr="00772B72">
        <w:rPr>
          <w:rFonts w:ascii="Calibri" w:hAnsi="Calibri" w:cs="Arial"/>
          <w:sz w:val="22"/>
          <w:szCs w:val="22"/>
        </w:rPr>
        <w:lastRenderedPageBreak/>
        <w:t>rather gain their engagement through engaging resources and the ability to make the subject content appealing to each pupil. In addition to this, Stobart (2006) as well as Angelo and Cross (1993) both mention that AFL strategies need to be i</w:t>
      </w:r>
      <w:r w:rsidRPr="00772B72">
        <w:rPr>
          <w:rFonts w:ascii="Calibri" w:hAnsi="Calibri" w:cs="Arial"/>
          <w:color w:val="000000"/>
          <w:sz w:val="22"/>
          <w:szCs w:val="22"/>
        </w:rPr>
        <w:t>ndividualised to the class and ensure that the teacher finds what fits best with the class as not one technique will be effective for all.</w:t>
      </w:r>
      <w:r w:rsidRPr="00772B72">
        <w:rPr>
          <w:rFonts w:ascii="Calibri" w:hAnsi="Calibri" w:cs="Arial"/>
          <w:sz w:val="22"/>
          <w:szCs w:val="22"/>
        </w:rPr>
        <w:t> </w:t>
      </w:r>
    </w:p>
    <w:p w14:paraId="35FD166D" w14:textId="77777777" w:rsidR="008F1156" w:rsidRPr="00772B72" w:rsidRDefault="008F1156" w:rsidP="00772B72">
      <w:pPr>
        <w:textAlignment w:val="baseline"/>
        <w:rPr>
          <w:rFonts w:ascii="Arial" w:hAnsi="Arial" w:cs="Arial"/>
          <w:sz w:val="18"/>
          <w:szCs w:val="18"/>
        </w:rPr>
      </w:pPr>
    </w:p>
    <w:p w14:paraId="6034C86A" w14:textId="56886EB3" w:rsidR="00772B72" w:rsidRDefault="00772B72" w:rsidP="00772B72">
      <w:pPr>
        <w:textAlignment w:val="baseline"/>
        <w:rPr>
          <w:rFonts w:ascii="Calibri" w:hAnsi="Calibri" w:cs="Arial"/>
          <w:sz w:val="22"/>
          <w:szCs w:val="22"/>
        </w:rPr>
      </w:pPr>
      <w:r w:rsidRPr="00772B72">
        <w:rPr>
          <w:rFonts w:ascii="Calibri" w:hAnsi="Calibri" w:cs="Arial"/>
          <w:sz w:val="22"/>
          <w:szCs w:val="22"/>
        </w:rPr>
        <w:t xml:space="preserve">In the </w:t>
      </w:r>
      <w:r w:rsidR="00C10E35" w:rsidRPr="00772B72">
        <w:rPr>
          <w:rFonts w:ascii="Calibri" w:hAnsi="Calibri" w:cs="Arial"/>
          <w:sz w:val="22"/>
          <w:szCs w:val="22"/>
        </w:rPr>
        <w:t>future,</w:t>
      </w:r>
      <w:r w:rsidRPr="00772B72">
        <w:rPr>
          <w:rFonts w:ascii="Calibri" w:hAnsi="Calibri" w:cs="Arial"/>
          <w:sz w:val="22"/>
          <w:szCs w:val="22"/>
        </w:rPr>
        <w:t xml:space="preserve"> I would continue to use the lollipop stick method however, I would try and adapt this method or support it with another technique as the pupils may get bored of the same technique. As Brown (2005) suggests, teachers </w:t>
      </w:r>
      <w:r w:rsidR="00C10E35" w:rsidRPr="00772B72">
        <w:rPr>
          <w:rFonts w:ascii="Calibri" w:hAnsi="Calibri" w:cs="Arial"/>
          <w:sz w:val="22"/>
          <w:szCs w:val="22"/>
        </w:rPr>
        <w:t>need</w:t>
      </w:r>
      <w:r w:rsidRPr="00772B72">
        <w:rPr>
          <w:rFonts w:ascii="Calibri" w:hAnsi="Calibri" w:cs="Arial"/>
          <w:sz w:val="22"/>
          <w:szCs w:val="22"/>
        </w:rPr>
        <w:t xml:space="preserve"> to constantly find new innovative AFL techniques to keep the pupils engaged, if the teacher was to continually use the same AFL technique then this would disengage the pupils. In the future, I would look to implement the no-hands up approach along with mini-white boards. This allows for all the pupils to express their opinions which was a main frustration from the no-hands up approach, then the hands-up approach would allow for the teacher to access the higher order questioning that the white boards do not offer. These two approaches seem to work very well with each other, this was also the case for Black and </w:t>
      </w:r>
      <w:proofErr w:type="spellStart"/>
      <w:r w:rsidRPr="00772B72">
        <w:rPr>
          <w:rFonts w:ascii="Calibri" w:hAnsi="Calibri" w:cs="Arial"/>
          <w:sz w:val="22"/>
          <w:szCs w:val="22"/>
        </w:rPr>
        <w:t>Wiliam</w:t>
      </w:r>
      <w:proofErr w:type="spellEnd"/>
      <w:r w:rsidRPr="00772B72">
        <w:rPr>
          <w:rFonts w:ascii="Calibri" w:hAnsi="Calibri" w:cs="Arial"/>
          <w:sz w:val="22"/>
          <w:szCs w:val="22"/>
        </w:rPr>
        <w:t> (2005) and their classroom experiment.  </w:t>
      </w:r>
    </w:p>
    <w:p w14:paraId="49522126" w14:textId="77777777" w:rsidR="008F1156" w:rsidRPr="00772B72" w:rsidRDefault="008F1156" w:rsidP="00772B72">
      <w:pPr>
        <w:textAlignment w:val="baseline"/>
        <w:rPr>
          <w:rFonts w:ascii="Arial" w:hAnsi="Arial" w:cs="Arial"/>
          <w:sz w:val="18"/>
          <w:szCs w:val="18"/>
        </w:rPr>
      </w:pPr>
    </w:p>
    <w:p w14:paraId="63F981DE"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The addition of other techniques, such as the mini-white boards, would be the main improvement to this experiment if I were to do it in the future. This was evidenced in Black and </w:t>
      </w:r>
      <w:proofErr w:type="spellStart"/>
      <w:r w:rsidRPr="00772B72">
        <w:rPr>
          <w:rFonts w:ascii="Calibri" w:hAnsi="Calibri" w:cs="Arial"/>
          <w:sz w:val="22"/>
          <w:szCs w:val="22"/>
        </w:rPr>
        <w:t>Wiliam</w:t>
      </w:r>
      <w:proofErr w:type="spellEnd"/>
      <w:r w:rsidRPr="00772B72">
        <w:rPr>
          <w:rFonts w:ascii="Calibri" w:hAnsi="Calibri" w:cs="Arial"/>
          <w:sz w:val="22"/>
          <w:szCs w:val="22"/>
        </w:rPr>
        <w:t> (2005)</w:t>
      </w:r>
      <w:r w:rsidRPr="00772B72">
        <w:rPr>
          <w:rFonts w:ascii="Calibri" w:hAnsi="Calibri" w:cs="Arial"/>
          <w:color w:val="000000"/>
          <w:sz w:val="22"/>
          <w:szCs w:val="22"/>
        </w:rPr>
        <w:t> research where the mini-white boards, although only offered lower order questioning skills, gave an immediate whole class assessment</w:t>
      </w:r>
      <w:r w:rsidRPr="00772B72">
        <w:rPr>
          <w:rFonts w:ascii="Calibri" w:hAnsi="Calibri" w:cs="Arial"/>
          <w:sz w:val="22"/>
          <w:szCs w:val="22"/>
        </w:rPr>
        <w:t xml:space="preserve">. I would also like to see what the </w:t>
      </w:r>
      <w:proofErr w:type="gramStart"/>
      <w:r w:rsidRPr="00772B72">
        <w:rPr>
          <w:rFonts w:ascii="Calibri" w:hAnsi="Calibri" w:cs="Arial"/>
          <w:sz w:val="22"/>
          <w:szCs w:val="22"/>
        </w:rPr>
        <w:t>pupils</w:t>
      </w:r>
      <w:proofErr w:type="gramEnd"/>
      <w:r w:rsidRPr="00772B72">
        <w:rPr>
          <w:rFonts w:ascii="Calibri" w:hAnsi="Calibri" w:cs="Arial"/>
          <w:sz w:val="22"/>
          <w:szCs w:val="22"/>
        </w:rPr>
        <w:t xml:space="preserve"> reaction would have been like if they were not told that their participation and engagement levels were being monitored. The unknown monitoring of their behaviour would have given a more natural outcome and one that would have been more beneficial to our findings. </w:t>
      </w:r>
    </w:p>
    <w:p w14:paraId="6ECE9634" w14:textId="77777777" w:rsidR="008F1156" w:rsidRPr="00772B72" w:rsidRDefault="008F1156" w:rsidP="00772B72">
      <w:pPr>
        <w:textAlignment w:val="baseline"/>
        <w:rPr>
          <w:rFonts w:ascii="Arial" w:hAnsi="Arial" w:cs="Arial"/>
          <w:sz w:val="18"/>
          <w:szCs w:val="18"/>
        </w:rPr>
      </w:pPr>
    </w:p>
    <w:p w14:paraId="75F8090C"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Even though, the pupils were aware they were being monitored I do believe the results of the findings are still valid. Following on from that, if I were to repeat this experiment I would want a greater duration for the experiment as this would allow me to gather more evidence and enable me to create a more precise analysis of the research conducted. Moreover, it would be beneficial having another class where the no-hands up approach is not in place, so a comparison could be made on how the pupils’ participation and engagement may have impacted their work compared to another set of pupils. </w:t>
      </w:r>
    </w:p>
    <w:p w14:paraId="06653C36" w14:textId="77777777" w:rsidR="008F1156" w:rsidRPr="00772B72" w:rsidRDefault="008F1156" w:rsidP="00772B72">
      <w:pPr>
        <w:textAlignment w:val="baseline"/>
        <w:rPr>
          <w:rFonts w:ascii="Arial" w:hAnsi="Arial" w:cs="Arial"/>
          <w:sz w:val="18"/>
          <w:szCs w:val="18"/>
        </w:rPr>
      </w:pPr>
    </w:p>
    <w:p w14:paraId="478004AD" w14:textId="77D0F335"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From my own experience, I also believe that this technique would be very useful for a teacher that is new to the class. Often when you are new to the class you struggle with the names of the pupils and would tend to only ask the pupils </w:t>
      </w:r>
      <w:r w:rsidR="00C10E35">
        <w:rPr>
          <w:rFonts w:ascii="Calibri" w:hAnsi="Calibri" w:cs="Arial"/>
          <w:sz w:val="22"/>
          <w:szCs w:val="22"/>
        </w:rPr>
        <w:t>whose names you know. However, i</w:t>
      </w:r>
      <w:r w:rsidRPr="00772B72">
        <w:rPr>
          <w:rFonts w:ascii="Calibri" w:hAnsi="Calibri" w:cs="Arial"/>
          <w:sz w:val="22"/>
          <w:szCs w:val="22"/>
        </w:rPr>
        <w:t xml:space="preserve">f you had the lollipop sticks with every </w:t>
      </w:r>
      <w:proofErr w:type="gramStart"/>
      <w:r w:rsidRPr="00772B72">
        <w:rPr>
          <w:rFonts w:ascii="Calibri" w:hAnsi="Calibri" w:cs="Arial"/>
          <w:sz w:val="22"/>
          <w:szCs w:val="22"/>
        </w:rPr>
        <w:t>pupils</w:t>
      </w:r>
      <w:proofErr w:type="gramEnd"/>
      <w:r w:rsidRPr="00772B72">
        <w:rPr>
          <w:rFonts w:ascii="Calibri" w:hAnsi="Calibri" w:cs="Arial"/>
          <w:sz w:val="22"/>
          <w:szCs w:val="22"/>
        </w:rPr>
        <w:t xml:space="preserve"> name on it this then allows you to ask the pupils questions randomly. This allows you from the outset to be able to assess the understanding and knowledge of every pupil whilst also setting the tone that all pupils need to be engaged during the lesson. An addition to this is that it may also be a very helpful tool to learn the pupils’ names quicker. However, if new to the classroom, pupils could manipulate the teachers </w:t>
      </w:r>
      <w:proofErr w:type="gramStart"/>
      <w:r w:rsidRPr="00772B72">
        <w:rPr>
          <w:rFonts w:ascii="Calibri" w:hAnsi="Calibri" w:cs="Arial"/>
          <w:sz w:val="22"/>
          <w:szCs w:val="22"/>
        </w:rPr>
        <w:t>lack of</w:t>
      </w:r>
      <w:proofErr w:type="gramEnd"/>
      <w:r w:rsidRPr="00772B72">
        <w:rPr>
          <w:rFonts w:ascii="Calibri" w:hAnsi="Calibri" w:cs="Arial"/>
          <w:sz w:val="22"/>
          <w:szCs w:val="22"/>
        </w:rPr>
        <w:t> knowledge of names and state that the pupils name that has been selected is not in class, even if they are, in order to avoid being questioned. </w:t>
      </w:r>
    </w:p>
    <w:p w14:paraId="1540294E" w14:textId="77777777"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 </w:t>
      </w:r>
    </w:p>
    <w:p w14:paraId="597D619D" w14:textId="77777777" w:rsidR="00772B72" w:rsidRDefault="00772B72" w:rsidP="00772B72">
      <w:pPr>
        <w:textAlignment w:val="baseline"/>
        <w:rPr>
          <w:rFonts w:ascii="Calibri" w:hAnsi="Calibri" w:cs="Arial"/>
          <w:sz w:val="22"/>
          <w:szCs w:val="22"/>
        </w:rPr>
      </w:pPr>
      <w:r w:rsidRPr="00772B72">
        <w:rPr>
          <w:rFonts w:ascii="Calibri" w:hAnsi="Calibri" w:cs="Arial"/>
          <w:b/>
          <w:bCs/>
          <w:sz w:val="22"/>
          <w:szCs w:val="22"/>
        </w:rPr>
        <w:t>Limitations and future development </w:t>
      </w:r>
      <w:r w:rsidRPr="00772B72">
        <w:rPr>
          <w:rFonts w:ascii="Calibri" w:hAnsi="Calibri" w:cs="Arial"/>
          <w:sz w:val="22"/>
          <w:szCs w:val="22"/>
        </w:rPr>
        <w:t> </w:t>
      </w:r>
    </w:p>
    <w:p w14:paraId="74C385B5" w14:textId="77777777" w:rsidR="008F1156" w:rsidRPr="00772B72" w:rsidRDefault="008F1156" w:rsidP="00772B72">
      <w:pPr>
        <w:textAlignment w:val="baseline"/>
        <w:rPr>
          <w:rFonts w:ascii="Arial" w:hAnsi="Arial" w:cs="Arial"/>
          <w:sz w:val="18"/>
          <w:szCs w:val="18"/>
        </w:rPr>
      </w:pPr>
    </w:p>
    <w:p w14:paraId="3A169A6E"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Following on from my conclusions, the future development of this experiment would be to improve upon the limitations of the previous experiment conducted. </w:t>
      </w:r>
    </w:p>
    <w:p w14:paraId="0BED6366" w14:textId="77777777" w:rsidR="008F1156" w:rsidRPr="00772B72" w:rsidRDefault="008F1156" w:rsidP="00772B72">
      <w:pPr>
        <w:textAlignment w:val="baseline"/>
        <w:rPr>
          <w:rFonts w:ascii="Arial" w:hAnsi="Arial" w:cs="Arial"/>
          <w:sz w:val="18"/>
          <w:szCs w:val="18"/>
        </w:rPr>
      </w:pPr>
    </w:p>
    <w:p w14:paraId="102F3200"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 xml:space="preserve">Firstly, as Cohen and Garcia (2014) suggest, the sample size and duration of the experiment were key factors that questioned the validity of this research project. In the future, there would hopefully be </w:t>
      </w:r>
      <w:proofErr w:type="gramStart"/>
      <w:r w:rsidRPr="00772B72">
        <w:rPr>
          <w:rFonts w:ascii="Calibri" w:hAnsi="Calibri" w:cs="Arial"/>
          <w:sz w:val="22"/>
          <w:szCs w:val="22"/>
        </w:rPr>
        <w:t>scope</w:t>
      </w:r>
      <w:proofErr w:type="gramEnd"/>
      <w:r w:rsidRPr="00772B72">
        <w:rPr>
          <w:rFonts w:ascii="Calibri" w:hAnsi="Calibri" w:cs="Arial"/>
          <w:sz w:val="22"/>
          <w:szCs w:val="22"/>
        </w:rPr>
        <w:t xml:space="preserve"> to continue this experiment over an extended period of time. This would allow for a greater scope into how the pupils’ engagement affected their work and assessment levels. I would then look to try and compare this class to another where the no-hands up approach would not be in place. It would be interesting to see how the participation and engagement within the class has, if at all, impacted their work and assessment levels. </w:t>
      </w:r>
    </w:p>
    <w:p w14:paraId="2D0AF03C" w14:textId="77777777" w:rsidR="008F1156" w:rsidRPr="00772B72" w:rsidRDefault="008F1156" w:rsidP="00772B72">
      <w:pPr>
        <w:textAlignment w:val="baseline"/>
        <w:rPr>
          <w:rFonts w:ascii="Arial" w:hAnsi="Arial" w:cs="Arial"/>
          <w:sz w:val="18"/>
          <w:szCs w:val="18"/>
        </w:rPr>
      </w:pPr>
    </w:p>
    <w:p w14:paraId="7D9DDAC6" w14:textId="3A237185" w:rsidR="00772B72" w:rsidRDefault="00772B72" w:rsidP="00772B72">
      <w:pPr>
        <w:textAlignment w:val="baseline"/>
        <w:rPr>
          <w:rFonts w:ascii="Calibri" w:hAnsi="Calibri" w:cs="Arial"/>
          <w:sz w:val="22"/>
          <w:szCs w:val="22"/>
        </w:rPr>
      </w:pPr>
      <w:r w:rsidRPr="00772B72">
        <w:rPr>
          <w:rFonts w:ascii="Calibri" w:hAnsi="Calibri" w:cs="Arial"/>
          <w:sz w:val="22"/>
          <w:szCs w:val="22"/>
        </w:rPr>
        <w:t>Another limitation to this method, was the pace of questioning. Similar to Black and </w:t>
      </w:r>
      <w:proofErr w:type="spellStart"/>
      <w:r w:rsidRPr="00772B72">
        <w:rPr>
          <w:rFonts w:ascii="Calibri" w:hAnsi="Calibri" w:cs="Arial"/>
          <w:sz w:val="22"/>
          <w:szCs w:val="22"/>
        </w:rPr>
        <w:t>Wiliam</w:t>
      </w:r>
      <w:proofErr w:type="spellEnd"/>
      <w:r w:rsidRPr="00772B72">
        <w:rPr>
          <w:rFonts w:ascii="Calibri" w:hAnsi="Calibri" w:cs="Arial"/>
          <w:sz w:val="22"/>
          <w:szCs w:val="22"/>
        </w:rPr>
        <w:t xml:space="preserve"> (2009), I found it difficult to bounce the questions around the class as I had to keep on reading the names from the lollipop stick and then think of an appropriate question that challenged each individual. Even though this benefitted the level of differentiation in my questioning, it slowed the pace of the lesson which often felt like it was disengaging more pupils than it was engaging them. To counter act this I selected a number of lollipop sticks at a time, however, once I asked the first pupil, who was the first lollipop stick I had pulled out, they automatically knew they were not going to be asked another question in following ten minutes as I had other lollipop sticks in my hand ready to question. This then allowed them to disengage with the lesson after they had answered the question, therefore, I decided I needed </w:t>
      </w:r>
      <w:r w:rsidRPr="00772B72">
        <w:rPr>
          <w:rFonts w:ascii="Calibri" w:hAnsi="Calibri" w:cs="Arial"/>
          <w:sz w:val="22"/>
          <w:szCs w:val="22"/>
        </w:rPr>
        <w:lastRenderedPageBreak/>
        <w:t xml:space="preserve">to stop using that technique and go back to selecting each lollipop stick at a time. I would need to address this issue if I was to continue to use this method in the future. From the </w:t>
      </w:r>
      <w:proofErr w:type="gramStart"/>
      <w:r w:rsidR="00A025E3">
        <w:rPr>
          <w:rFonts w:ascii="Calibri" w:hAnsi="Calibri" w:cs="Arial"/>
          <w:sz w:val="22"/>
          <w:szCs w:val="22"/>
        </w:rPr>
        <w:t>research</w:t>
      </w:r>
      <w:proofErr w:type="gramEnd"/>
      <w:r w:rsidR="00A025E3">
        <w:rPr>
          <w:rFonts w:ascii="Calibri" w:hAnsi="Calibri" w:cs="Arial"/>
          <w:sz w:val="22"/>
          <w:szCs w:val="22"/>
        </w:rPr>
        <w:t xml:space="preserve"> </w:t>
      </w:r>
      <w:r w:rsidRPr="00772B72">
        <w:rPr>
          <w:rFonts w:ascii="Calibri" w:hAnsi="Calibri" w:cs="Arial"/>
          <w:sz w:val="22"/>
          <w:szCs w:val="22"/>
        </w:rPr>
        <w:t>I carried out and the different techniques that I used, to mitigate this issue in the future I would revert back to selecting a number of lollipop sticks but decrease the amount I would select. I would possibly select around three lollipop sticks at a time to allow for the pace of the lesson to be unaffected, whilst also limiting any time the pupils would have the chance to disengage with the lesson.  </w:t>
      </w:r>
    </w:p>
    <w:p w14:paraId="17AEFFC5" w14:textId="77777777" w:rsidR="008F1156" w:rsidRPr="00772B72" w:rsidRDefault="008F1156" w:rsidP="00772B72">
      <w:pPr>
        <w:textAlignment w:val="baseline"/>
        <w:rPr>
          <w:rFonts w:ascii="Arial" w:hAnsi="Arial" w:cs="Arial"/>
          <w:sz w:val="18"/>
          <w:szCs w:val="18"/>
        </w:rPr>
      </w:pPr>
    </w:p>
    <w:p w14:paraId="2BDEE7A6"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As a teacher, the use of effective questioning is crucial when assessing the knowledge of the learners (Redfield and Rousseau, 1981). Therefore, a limitation could be that as I am still new to teaching my questioning abilities may not be as effective in comparison to a more experienced and skilled teacher. Hence, the result of this research project does heavily rely on the teachers questioning ability, which may vary dramatically from teacher to teacher. The results may not accurately show the effectiveness of the no-hands up approach in engaging pupils within the classroom. To mitigate this limitation, future research conducted should ensure that the teacher used has sound questioning ability which has been reliably observed throughout their career. </w:t>
      </w:r>
    </w:p>
    <w:p w14:paraId="2F96F778" w14:textId="77777777" w:rsidR="008F1156" w:rsidRPr="00772B72" w:rsidRDefault="008F1156" w:rsidP="00772B72">
      <w:pPr>
        <w:textAlignment w:val="baseline"/>
        <w:rPr>
          <w:rFonts w:ascii="Arial" w:hAnsi="Arial" w:cs="Arial"/>
          <w:sz w:val="18"/>
          <w:szCs w:val="18"/>
        </w:rPr>
      </w:pPr>
    </w:p>
    <w:p w14:paraId="21699FC0"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To further develop this research, if given the opportunity, I would to like to interview and question the current teaching staff at School X. Black, Harrison, Lee, Marshall and </w:t>
      </w:r>
      <w:proofErr w:type="spellStart"/>
      <w:r w:rsidRPr="00772B72">
        <w:rPr>
          <w:rFonts w:ascii="Calibri" w:hAnsi="Calibri" w:cs="Arial"/>
          <w:sz w:val="22"/>
          <w:szCs w:val="22"/>
        </w:rPr>
        <w:t>Wiliam</w:t>
      </w:r>
      <w:proofErr w:type="spellEnd"/>
      <w:r w:rsidRPr="00772B72">
        <w:rPr>
          <w:rFonts w:ascii="Calibri" w:hAnsi="Calibri" w:cs="Arial"/>
          <w:sz w:val="22"/>
          <w:szCs w:val="22"/>
        </w:rPr>
        <w:t> (2003)</w:t>
      </w:r>
      <w:r w:rsidRPr="00772B72">
        <w:rPr>
          <w:rFonts w:ascii="Calibri" w:hAnsi="Calibri" w:cs="Arial"/>
          <w:color w:val="FF0000"/>
          <w:sz w:val="22"/>
          <w:szCs w:val="22"/>
        </w:rPr>
        <w:t> </w:t>
      </w:r>
      <w:r w:rsidRPr="00772B72">
        <w:rPr>
          <w:rFonts w:ascii="Calibri" w:hAnsi="Calibri" w:cs="Arial"/>
          <w:sz w:val="22"/>
          <w:szCs w:val="22"/>
        </w:rPr>
        <w:t>state that some teaching staff may offer resistance to the no-hands up approach, the use of interviewing and questioning the teachers may then be able to give an insight as to why they choose not to use the no-hands up approach. This would have been beneficial as it may have given a more realistic and practical point of view that the theory cannot offer. As Brown (2005) stated, each technique needs to be contextualised, therefore, a certain technique in one school with a specific class may not be as effective with another school and class. Furthermore, the next step would be to create a questionnaire or focus group to document the reasons and opinions of the teachers towards using the no-hands up approach, this extra data gathering method would also add to the triangulation of the research method and give the findings more validity (</w:t>
      </w:r>
      <w:proofErr w:type="spellStart"/>
      <w:r w:rsidRPr="00772B72">
        <w:rPr>
          <w:rFonts w:ascii="Calibri" w:hAnsi="Calibri" w:cs="Arial"/>
          <w:sz w:val="22"/>
          <w:szCs w:val="22"/>
        </w:rPr>
        <w:t>Jick</w:t>
      </w:r>
      <w:proofErr w:type="spellEnd"/>
      <w:r w:rsidRPr="00772B72">
        <w:rPr>
          <w:rFonts w:ascii="Calibri" w:hAnsi="Calibri" w:cs="Arial"/>
          <w:sz w:val="22"/>
          <w:szCs w:val="22"/>
        </w:rPr>
        <w:t>, 1979). </w:t>
      </w:r>
    </w:p>
    <w:p w14:paraId="4DA07456" w14:textId="77777777" w:rsidR="008F1156" w:rsidRPr="00772B72" w:rsidRDefault="008F1156" w:rsidP="00772B72">
      <w:pPr>
        <w:textAlignment w:val="baseline"/>
        <w:rPr>
          <w:rFonts w:ascii="Arial" w:hAnsi="Arial" w:cs="Arial"/>
          <w:sz w:val="18"/>
          <w:szCs w:val="18"/>
        </w:rPr>
      </w:pPr>
    </w:p>
    <w:p w14:paraId="6C22576C" w14:textId="77777777"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Another development for this research project would be to try and expand the scope of the data gathering. Thus, including possible focus groups and questionnaires to document how the pupils found the technique. Even though there is a lot of criticism around the use of this data gathering method, with the use of triangulation hopefully any bias would be levelled out (</w:t>
      </w:r>
      <w:proofErr w:type="spellStart"/>
      <w:r w:rsidRPr="00772B72">
        <w:rPr>
          <w:rFonts w:ascii="Calibri" w:hAnsi="Calibri" w:cs="Arial"/>
          <w:sz w:val="22"/>
          <w:szCs w:val="22"/>
        </w:rPr>
        <w:t>Jick</w:t>
      </w:r>
      <w:proofErr w:type="spellEnd"/>
      <w:r w:rsidRPr="00772B72">
        <w:rPr>
          <w:rFonts w:ascii="Calibri" w:hAnsi="Calibri" w:cs="Arial"/>
          <w:sz w:val="22"/>
          <w:szCs w:val="22"/>
        </w:rPr>
        <w:t>, 1979). The more data that we could gather, the more valid the research would be.  </w:t>
      </w:r>
    </w:p>
    <w:p w14:paraId="3AEC5249" w14:textId="27BFDE72"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 </w:t>
      </w:r>
    </w:p>
    <w:p w14:paraId="629C7499" w14:textId="63A76800" w:rsidR="00772B72" w:rsidRPr="00772B72" w:rsidRDefault="00772B72" w:rsidP="00772B72">
      <w:pPr>
        <w:textAlignment w:val="baseline"/>
        <w:rPr>
          <w:rFonts w:ascii="Arial" w:hAnsi="Arial" w:cs="Arial"/>
          <w:sz w:val="18"/>
          <w:szCs w:val="18"/>
        </w:rPr>
      </w:pPr>
    </w:p>
    <w:p w14:paraId="27320CFE" w14:textId="77777777" w:rsidR="00772B72" w:rsidRPr="00772B72" w:rsidRDefault="00772B72" w:rsidP="00772B72">
      <w:pPr>
        <w:textAlignment w:val="baseline"/>
        <w:rPr>
          <w:rFonts w:ascii="Arial" w:hAnsi="Arial" w:cs="Arial"/>
          <w:sz w:val="18"/>
          <w:szCs w:val="18"/>
        </w:rPr>
      </w:pPr>
      <w:r w:rsidRPr="00772B72">
        <w:rPr>
          <w:rFonts w:ascii="Calibri" w:hAnsi="Calibri" w:cs="Arial"/>
          <w:b/>
          <w:bCs/>
          <w:sz w:val="22"/>
          <w:szCs w:val="22"/>
        </w:rPr>
        <w:t>Appendices:</w:t>
      </w:r>
      <w:r w:rsidRPr="00772B72">
        <w:rPr>
          <w:rFonts w:ascii="Calibri" w:hAnsi="Calibri" w:cs="Arial"/>
          <w:sz w:val="22"/>
          <w:szCs w:val="22"/>
        </w:rPr>
        <w:t> </w:t>
      </w:r>
    </w:p>
    <w:p w14:paraId="462925F8" w14:textId="77777777"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 </w:t>
      </w:r>
    </w:p>
    <w:p w14:paraId="33A26FB0" w14:textId="77777777"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Appendix A: School X approach to assessment techniques. </w:t>
      </w:r>
    </w:p>
    <w:p w14:paraId="3E2E9E66" w14:textId="77777777" w:rsidR="00A025E3" w:rsidRDefault="00772B72" w:rsidP="00772B72">
      <w:pPr>
        <w:textAlignment w:val="baseline"/>
        <w:rPr>
          <w:rFonts w:ascii="Arial" w:hAnsi="Arial" w:cs="Arial"/>
          <w:sz w:val="18"/>
          <w:szCs w:val="18"/>
        </w:rPr>
      </w:pPr>
      <w:r w:rsidRPr="00772B72">
        <w:rPr>
          <w:rFonts w:ascii="Calibri" w:hAnsi="Calibri" w:cs="Arial"/>
          <w:sz w:val="22"/>
          <w:szCs w:val="22"/>
        </w:rPr>
        <w:t>Full image available on request due to anonymity. </w:t>
      </w:r>
    </w:p>
    <w:p w14:paraId="3E0A4984" w14:textId="77777777" w:rsidR="00A025E3" w:rsidRDefault="00A025E3" w:rsidP="00772B72">
      <w:pPr>
        <w:textAlignment w:val="baseline"/>
        <w:rPr>
          <w:rFonts w:ascii="Arial" w:hAnsi="Arial" w:cs="Arial"/>
          <w:sz w:val="18"/>
          <w:szCs w:val="18"/>
        </w:rPr>
      </w:pPr>
    </w:p>
    <w:p w14:paraId="06C5800D" w14:textId="77777777" w:rsidR="00A025E3" w:rsidRDefault="00A025E3" w:rsidP="00772B72">
      <w:pPr>
        <w:textAlignment w:val="baseline"/>
        <w:rPr>
          <w:rFonts w:ascii="Arial" w:hAnsi="Arial" w:cs="Arial"/>
          <w:sz w:val="18"/>
          <w:szCs w:val="18"/>
        </w:rPr>
      </w:pPr>
    </w:p>
    <w:p w14:paraId="71D34E26" w14:textId="6F43422D" w:rsidR="00772B72" w:rsidRDefault="00772B72" w:rsidP="00772B72">
      <w:pPr>
        <w:textAlignment w:val="baseline"/>
        <w:rPr>
          <w:rFonts w:ascii="Calibri" w:hAnsi="Calibri" w:cs="Arial"/>
          <w:sz w:val="22"/>
          <w:szCs w:val="22"/>
        </w:rPr>
      </w:pPr>
      <w:r w:rsidRPr="00772B72">
        <w:rPr>
          <w:rFonts w:ascii="Calibri" w:hAnsi="Calibri" w:cs="Arial"/>
          <w:sz w:val="22"/>
          <w:szCs w:val="22"/>
        </w:rPr>
        <w:t> </w:t>
      </w:r>
      <w:r w:rsidR="00A025E3">
        <w:rPr>
          <w:rFonts w:ascii="Calibri" w:hAnsi="Calibri" w:cs="Arial"/>
          <w:noProof/>
          <w:sz w:val="22"/>
          <w:szCs w:val="22"/>
        </w:rPr>
        <w:drawing>
          <wp:inline distT="0" distB="0" distL="0" distR="0" wp14:anchorId="024EB110" wp14:editId="1FEB57E7">
            <wp:extent cx="2120900" cy="3378200"/>
            <wp:effectExtent l="0" t="0" r="1270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05-11 at 17.26.29.png"/>
                    <pic:cNvPicPr/>
                  </pic:nvPicPr>
                  <pic:blipFill>
                    <a:blip r:embed="rId11">
                      <a:extLst>
                        <a:ext uri="{28A0092B-C50C-407E-A947-70E740481C1C}">
                          <a14:useLocalDpi xmlns:a14="http://schemas.microsoft.com/office/drawing/2010/main" val="0"/>
                        </a:ext>
                      </a:extLst>
                    </a:blip>
                    <a:stretch>
                      <a:fillRect/>
                    </a:stretch>
                  </pic:blipFill>
                  <pic:spPr>
                    <a:xfrm>
                      <a:off x="0" y="0"/>
                      <a:ext cx="2120900" cy="3378200"/>
                    </a:xfrm>
                    <a:prstGeom prst="rect">
                      <a:avLst/>
                    </a:prstGeom>
                  </pic:spPr>
                </pic:pic>
              </a:graphicData>
            </a:graphic>
          </wp:inline>
        </w:drawing>
      </w:r>
    </w:p>
    <w:p w14:paraId="4CB04E19" w14:textId="77777777" w:rsidR="00A025E3" w:rsidRDefault="00A025E3" w:rsidP="00772B72">
      <w:pPr>
        <w:textAlignment w:val="baseline"/>
        <w:rPr>
          <w:rFonts w:ascii="Calibri" w:hAnsi="Calibri" w:cs="Arial"/>
          <w:sz w:val="22"/>
          <w:szCs w:val="22"/>
        </w:rPr>
      </w:pPr>
    </w:p>
    <w:p w14:paraId="22B0F285" w14:textId="77777777" w:rsidR="00A025E3" w:rsidRPr="00772B72" w:rsidRDefault="00A025E3" w:rsidP="00772B72">
      <w:pPr>
        <w:textAlignment w:val="baseline"/>
        <w:rPr>
          <w:rFonts w:ascii="Arial" w:hAnsi="Arial" w:cs="Arial"/>
          <w:sz w:val="18"/>
          <w:szCs w:val="18"/>
        </w:rPr>
      </w:pPr>
    </w:p>
    <w:p w14:paraId="5269EADC" w14:textId="77777777"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Appendix B: Section of KS3 iThink (Humanities) departmental plan. </w:t>
      </w:r>
    </w:p>
    <w:p w14:paraId="4463D8DB" w14:textId="77777777"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 </w:t>
      </w:r>
    </w:p>
    <w:p w14:paraId="3C78CBD5" w14:textId="591D5004" w:rsidR="00A025E3" w:rsidRPr="00A025E3" w:rsidRDefault="00772B72" w:rsidP="00772B72">
      <w:pPr>
        <w:textAlignment w:val="baseline"/>
        <w:rPr>
          <w:rFonts w:ascii="Arial" w:hAnsi="Arial" w:cs="Arial"/>
          <w:sz w:val="18"/>
          <w:szCs w:val="18"/>
        </w:rPr>
      </w:pPr>
      <w:r w:rsidRPr="00772B72">
        <w:rPr>
          <w:rFonts w:ascii="Calibri" w:hAnsi="Calibri" w:cs="Arial"/>
          <w:sz w:val="22"/>
          <w:szCs w:val="22"/>
        </w:rPr>
        <w:t> </w:t>
      </w:r>
    </w:p>
    <w:p w14:paraId="01306FD7" w14:textId="2BF5638F" w:rsidR="00A025E3" w:rsidRDefault="00A025E3" w:rsidP="00772B72">
      <w:pPr>
        <w:textAlignment w:val="baseline"/>
        <w:rPr>
          <w:rFonts w:ascii="Calibri" w:hAnsi="Calibri" w:cs="Arial"/>
          <w:sz w:val="22"/>
          <w:szCs w:val="22"/>
        </w:rPr>
      </w:pPr>
      <w:r>
        <w:rPr>
          <w:rFonts w:ascii="Calibri" w:hAnsi="Calibri" w:cs="Arial"/>
          <w:noProof/>
          <w:sz w:val="22"/>
          <w:szCs w:val="22"/>
        </w:rPr>
        <w:drawing>
          <wp:inline distT="0" distB="0" distL="0" distR="0" wp14:anchorId="1E02AE1E" wp14:editId="627B8ECA">
            <wp:extent cx="3327400" cy="3276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04-03 at 17.22.25.png"/>
                    <pic:cNvPicPr/>
                  </pic:nvPicPr>
                  <pic:blipFill rotWithShape="1">
                    <a:blip r:embed="rId12">
                      <a:extLst>
                        <a:ext uri="{28A0092B-C50C-407E-A947-70E740481C1C}">
                          <a14:useLocalDpi xmlns:a14="http://schemas.microsoft.com/office/drawing/2010/main" val="0"/>
                        </a:ext>
                      </a:extLst>
                    </a:blip>
                    <a:srcRect l="1722" t="8279" r="48154" b="15435"/>
                    <a:stretch/>
                  </pic:blipFill>
                  <pic:spPr bwMode="auto">
                    <a:xfrm>
                      <a:off x="0" y="0"/>
                      <a:ext cx="3327400" cy="3276600"/>
                    </a:xfrm>
                    <a:prstGeom prst="rect">
                      <a:avLst/>
                    </a:prstGeom>
                    <a:ln>
                      <a:noFill/>
                    </a:ln>
                    <a:extLst>
                      <a:ext uri="{53640926-AAD7-44D8-BBD7-CCE9431645EC}">
                        <a14:shadowObscured xmlns:a14="http://schemas.microsoft.com/office/drawing/2010/main"/>
                      </a:ext>
                    </a:extLst>
                  </pic:spPr>
                </pic:pic>
              </a:graphicData>
            </a:graphic>
          </wp:inline>
        </w:drawing>
      </w:r>
    </w:p>
    <w:p w14:paraId="071EA3D0" w14:textId="2DE5BE5C" w:rsidR="00A025E3" w:rsidRDefault="00A025E3" w:rsidP="00772B72">
      <w:pPr>
        <w:textAlignment w:val="baseline"/>
        <w:rPr>
          <w:rFonts w:ascii="Calibri" w:hAnsi="Calibri" w:cs="Arial"/>
          <w:sz w:val="22"/>
          <w:szCs w:val="22"/>
        </w:rPr>
      </w:pPr>
    </w:p>
    <w:p w14:paraId="3921CB54" w14:textId="77777777" w:rsidR="00A025E3" w:rsidRDefault="00A025E3" w:rsidP="00772B72">
      <w:pPr>
        <w:textAlignment w:val="baseline"/>
        <w:rPr>
          <w:rFonts w:ascii="Calibri" w:hAnsi="Calibri" w:cs="Arial"/>
          <w:sz w:val="22"/>
          <w:szCs w:val="22"/>
        </w:rPr>
      </w:pPr>
    </w:p>
    <w:p w14:paraId="13BB5F2A" w14:textId="349D06E7" w:rsidR="00A025E3" w:rsidRDefault="00A025E3" w:rsidP="00772B72">
      <w:pPr>
        <w:textAlignment w:val="baseline"/>
        <w:rPr>
          <w:rFonts w:ascii="Calibri" w:hAnsi="Calibri" w:cs="Arial"/>
          <w:sz w:val="22"/>
          <w:szCs w:val="22"/>
        </w:rPr>
      </w:pPr>
      <w:r w:rsidRPr="00772B72">
        <w:rPr>
          <w:rFonts w:ascii="Calibri" w:hAnsi="Calibri" w:cs="Arial"/>
          <w:sz w:val="22"/>
          <w:szCs w:val="22"/>
        </w:rPr>
        <w:t>Appendix C: School X School Development Plan. Available on request (Due to anonymity) </w:t>
      </w:r>
    </w:p>
    <w:p w14:paraId="4F321083" w14:textId="77777777" w:rsidR="00A025E3" w:rsidRDefault="00A025E3" w:rsidP="00772B72">
      <w:pPr>
        <w:textAlignment w:val="baseline"/>
        <w:rPr>
          <w:rFonts w:ascii="Calibri" w:hAnsi="Calibri" w:cs="Arial"/>
          <w:sz w:val="22"/>
          <w:szCs w:val="22"/>
        </w:rPr>
      </w:pPr>
    </w:p>
    <w:p w14:paraId="61CE34E2" w14:textId="77777777" w:rsidR="00A025E3" w:rsidRDefault="00A025E3" w:rsidP="00772B72">
      <w:pPr>
        <w:textAlignment w:val="baseline"/>
        <w:rPr>
          <w:rFonts w:ascii="Calibri" w:hAnsi="Calibri" w:cs="Arial"/>
          <w:sz w:val="22"/>
          <w:szCs w:val="22"/>
        </w:rPr>
      </w:pPr>
    </w:p>
    <w:p w14:paraId="3ECFAADA" w14:textId="77777777" w:rsidR="00A025E3" w:rsidRDefault="00A025E3" w:rsidP="00772B72">
      <w:pPr>
        <w:textAlignment w:val="baseline"/>
        <w:rPr>
          <w:rFonts w:ascii="Calibri" w:hAnsi="Calibri" w:cs="Arial"/>
          <w:sz w:val="22"/>
          <w:szCs w:val="22"/>
        </w:rPr>
      </w:pPr>
    </w:p>
    <w:p w14:paraId="4EB04D9A" w14:textId="77777777" w:rsidR="00A025E3" w:rsidRPr="00772B72" w:rsidRDefault="00A025E3" w:rsidP="00772B72">
      <w:pPr>
        <w:textAlignment w:val="baseline"/>
        <w:rPr>
          <w:rFonts w:ascii="Arial" w:hAnsi="Arial" w:cs="Arial"/>
          <w:sz w:val="18"/>
          <w:szCs w:val="18"/>
        </w:rPr>
      </w:pPr>
    </w:p>
    <w:p w14:paraId="0F7330CB" w14:textId="77777777"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 </w:t>
      </w:r>
    </w:p>
    <w:p w14:paraId="5123A82C" w14:textId="77777777" w:rsidR="00772B72" w:rsidRDefault="00772B72" w:rsidP="00772B72">
      <w:pPr>
        <w:textAlignment w:val="baseline"/>
        <w:rPr>
          <w:rFonts w:ascii="Calibri" w:hAnsi="Calibri" w:cs="Arial"/>
          <w:sz w:val="22"/>
          <w:szCs w:val="22"/>
        </w:rPr>
      </w:pPr>
      <w:r w:rsidRPr="00772B72">
        <w:rPr>
          <w:rFonts w:ascii="Calibri" w:hAnsi="Calibri" w:cs="Arial"/>
          <w:b/>
          <w:bCs/>
          <w:sz w:val="22"/>
          <w:szCs w:val="22"/>
        </w:rPr>
        <w:t>References:</w:t>
      </w:r>
      <w:r w:rsidRPr="00772B72">
        <w:rPr>
          <w:rFonts w:ascii="Calibri" w:hAnsi="Calibri" w:cs="Arial"/>
          <w:sz w:val="22"/>
          <w:szCs w:val="22"/>
        </w:rPr>
        <w:t> </w:t>
      </w:r>
    </w:p>
    <w:p w14:paraId="213BD20B" w14:textId="77777777" w:rsidR="000D5CE6" w:rsidRPr="00772B72" w:rsidRDefault="000D5CE6" w:rsidP="00772B72">
      <w:pPr>
        <w:textAlignment w:val="baseline"/>
        <w:rPr>
          <w:rFonts w:ascii="Arial" w:hAnsi="Arial" w:cs="Arial"/>
          <w:sz w:val="18"/>
          <w:szCs w:val="18"/>
        </w:rPr>
      </w:pPr>
    </w:p>
    <w:p w14:paraId="5FF78450" w14:textId="77777777"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Altermatt</w:t>
      </w:r>
      <w:proofErr w:type="spellEnd"/>
      <w:r w:rsidRPr="00772B72">
        <w:rPr>
          <w:rFonts w:ascii="Calibri" w:hAnsi="Calibri" w:cs="Arial"/>
          <w:sz w:val="22"/>
          <w:szCs w:val="22"/>
        </w:rPr>
        <w:t>, E.R., </w:t>
      </w:r>
      <w:proofErr w:type="spellStart"/>
      <w:r w:rsidRPr="00772B72">
        <w:rPr>
          <w:rFonts w:ascii="Calibri" w:hAnsi="Calibri" w:cs="Arial"/>
          <w:sz w:val="22"/>
          <w:szCs w:val="22"/>
        </w:rPr>
        <w:t>Jovanovic</w:t>
      </w:r>
      <w:proofErr w:type="spellEnd"/>
      <w:r w:rsidRPr="00772B72">
        <w:rPr>
          <w:rFonts w:ascii="Calibri" w:hAnsi="Calibri" w:cs="Arial"/>
          <w:sz w:val="22"/>
          <w:szCs w:val="22"/>
        </w:rPr>
        <w:t>, J. and Perry, M., 1998. Bias or responsivity? Sex and achievement-level effects on teachers' classroom questioning practices. </w:t>
      </w:r>
      <w:r w:rsidRPr="00772B72">
        <w:rPr>
          <w:rFonts w:ascii="Calibri" w:hAnsi="Calibri" w:cs="Arial"/>
          <w:i/>
          <w:iCs/>
          <w:sz w:val="22"/>
          <w:szCs w:val="22"/>
        </w:rPr>
        <w:t>Journal of educational psychology</w:t>
      </w:r>
      <w:r w:rsidRPr="00772B72">
        <w:rPr>
          <w:rFonts w:ascii="Calibri" w:hAnsi="Calibri" w:cs="Arial"/>
          <w:sz w:val="22"/>
          <w:szCs w:val="22"/>
        </w:rPr>
        <w:t>, </w:t>
      </w:r>
      <w:r w:rsidRPr="00772B72">
        <w:rPr>
          <w:rFonts w:ascii="Calibri" w:hAnsi="Calibri" w:cs="Arial"/>
          <w:i/>
          <w:iCs/>
          <w:sz w:val="22"/>
          <w:szCs w:val="22"/>
        </w:rPr>
        <w:t>90</w:t>
      </w:r>
      <w:r w:rsidRPr="00772B72">
        <w:rPr>
          <w:rFonts w:ascii="Calibri" w:hAnsi="Calibri" w:cs="Arial"/>
          <w:sz w:val="22"/>
          <w:szCs w:val="22"/>
        </w:rPr>
        <w:t>(3). </w:t>
      </w:r>
    </w:p>
    <w:p w14:paraId="03D764BE" w14:textId="77777777" w:rsidR="000D5CE6" w:rsidRPr="00772B72" w:rsidRDefault="000D5CE6" w:rsidP="00772B72">
      <w:pPr>
        <w:textAlignment w:val="baseline"/>
        <w:rPr>
          <w:rFonts w:ascii="Arial" w:hAnsi="Arial" w:cs="Arial"/>
          <w:sz w:val="18"/>
          <w:szCs w:val="18"/>
        </w:rPr>
      </w:pPr>
    </w:p>
    <w:p w14:paraId="359BD338"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Angelo, T.A. and Cross, K.P., 1993. Minute paper. </w:t>
      </w:r>
      <w:r w:rsidRPr="00772B72">
        <w:rPr>
          <w:rFonts w:ascii="Calibri" w:hAnsi="Calibri" w:cs="Arial"/>
          <w:i/>
          <w:iCs/>
          <w:sz w:val="22"/>
          <w:szCs w:val="22"/>
        </w:rPr>
        <w:t>Classroom assessment techniques: A handbook for college teachers</w:t>
      </w:r>
      <w:r w:rsidRPr="00772B72">
        <w:rPr>
          <w:rFonts w:ascii="Calibri" w:hAnsi="Calibri" w:cs="Arial"/>
          <w:sz w:val="22"/>
          <w:szCs w:val="22"/>
        </w:rPr>
        <w:t>. </w:t>
      </w:r>
    </w:p>
    <w:p w14:paraId="0EF5B96E" w14:textId="77777777" w:rsidR="000D5CE6" w:rsidRPr="00772B72" w:rsidRDefault="000D5CE6" w:rsidP="00772B72">
      <w:pPr>
        <w:textAlignment w:val="baseline"/>
        <w:rPr>
          <w:rFonts w:ascii="Arial" w:hAnsi="Arial" w:cs="Arial"/>
          <w:sz w:val="18"/>
          <w:szCs w:val="18"/>
        </w:rPr>
      </w:pPr>
    </w:p>
    <w:p w14:paraId="3602E33C" w14:textId="77777777"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Arends</w:t>
      </w:r>
      <w:proofErr w:type="spellEnd"/>
      <w:r w:rsidRPr="00772B72">
        <w:rPr>
          <w:rFonts w:ascii="Calibri" w:hAnsi="Calibri" w:cs="Arial"/>
          <w:sz w:val="22"/>
          <w:szCs w:val="22"/>
        </w:rPr>
        <w:t>, J., 2014. The role of rationality in transformative education. </w:t>
      </w:r>
      <w:r w:rsidRPr="00772B72">
        <w:rPr>
          <w:rFonts w:ascii="Calibri" w:hAnsi="Calibri" w:cs="Arial"/>
          <w:i/>
          <w:iCs/>
          <w:sz w:val="22"/>
          <w:szCs w:val="22"/>
        </w:rPr>
        <w:t>Journal of Transformative Education</w:t>
      </w:r>
      <w:r w:rsidRPr="00772B72">
        <w:rPr>
          <w:rFonts w:ascii="Calibri" w:hAnsi="Calibri" w:cs="Arial"/>
          <w:sz w:val="22"/>
          <w:szCs w:val="22"/>
        </w:rPr>
        <w:t>, </w:t>
      </w:r>
      <w:r w:rsidRPr="00772B72">
        <w:rPr>
          <w:rFonts w:ascii="Calibri" w:hAnsi="Calibri" w:cs="Arial"/>
          <w:i/>
          <w:iCs/>
          <w:sz w:val="22"/>
          <w:szCs w:val="22"/>
        </w:rPr>
        <w:t>12</w:t>
      </w:r>
      <w:r w:rsidRPr="00772B72">
        <w:rPr>
          <w:rFonts w:ascii="Calibri" w:hAnsi="Calibri" w:cs="Arial"/>
          <w:sz w:val="22"/>
          <w:szCs w:val="22"/>
        </w:rPr>
        <w:t>(4). </w:t>
      </w:r>
    </w:p>
    <w:p w14:paraId="79406DD7" w14:textId="77777777" w:rsidR="000D5CE6" w:rsidRPr="00772B72" w:rsidRDefault="000D5CE6" w:rsidP="00772B72">
      <w:pPr>
        <w:textAlignment w:val="baseline"/>
        <w:rPr>
          <w:rFonts w:ascii="Arial" w:hAnsi="Arial" w:cs="Arial"/>
          <w:sz w:val="18"/>
          <w:szCs w:val="18"/>
        </w:rPr>
      </w:pPr>
    </w:p>
    <w:p w14:paraId="27D4511C"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Barker, K.N., 1980. Data collection techniques: observation. </w:t>
      </w:r>
      <w:r w:rsidRPr="00772B72">
        <w:rPr>
          <w:rFonts w:ascii="Calibri" w:hAnsi="Calibri" w:cs="Arial"/>
          <w:i/>
          <w:iCs/>
          <w:sz w:val="22"/>
          <w:szCs w:val="22"/>
        </w:rPr>
        <w:t>American Journal of Health-System Pharmacy</w:t>
      </w:r>
      <w:r w:rsidRPr="00772B72">
        <w:rPr>
          <w:rFonts w:ascii="Calibri" w:hAnsi="Calibri" w:cs="Arial"/>
          <w:sz w:val="22"/>
          <w:szCs w:val="22"/>
        </w:rPr>
        <w:t>, </w:t>
      </w:r>
      <w:r w:rsidRPr="00772B72">
        <w:rPr>
          <w:rFonts w:ascii="Calibri" w:hAnsi="Calibri" w:cs="Arial"/>
          <w:i/>
          <w:iCs/>
          <w:sz w:val="22"/>
          <w:szCs w:val="22"/>
        </w:rPr>
        <w:t>37</w:t>
      </w:r>
      <w:r w:rsidRPr="00772B72">
        <w:rPr>
          <w:rFonts w:ascii="Calibri" w:hAnsi="Calibri" w:cs="Arial"/>
          <w:sz w:val="22"/>
          <w:szCs w:val="22"/>
        </w:rPr>
        <w:t>(9). </w:t>
      </w:r>
    </w:p>
    <w:p w14:paraId="37C2C060" w14:textId="77777777" w:rsidR="000D5CE6" w:rsidRPr="00772B72" w:rsidRDefault="000D5CE6" w:rsidP="00772B72">
      <w:pPr>
        <w:textAlignment w:val="baseline"/>
        <w:rPr>
          <w:rFonts w:ascii="Arial" w:hAnsi="Arial" w:cs="Arial"/>
          <w:sz w:val="18"/>
          <w:szCs w:val="18"/>
        </w:rPr>
      </w:pPr>
    </w:p>
    <w:p w14:paraId="1738709F"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Bartlett, J., 2015. </w:t>
      </w:r>
      <w:r w:rsidRPr="00772B72">
        <w:rPr>
          <w:rFonts w:ascii="Calibri" w:hAnsi="Calibri" w:cs="Arial"/>
          <w:i/>
          <w:iCs/>
          <w:sz w:val="22"/>
          <w:szCs w:val="22"/>
        </w:rPr>
        <w:t>Outstanding assessment for learning in the classroom</w:t>
      </w:r>
      <w:r w:rsidRPr="00772B72">
        <w:rPr>
          <w:rFonts w:ascii="Calibri" w:hAnsi="Calibri" w:cs="Arial"/>
          <w:sz w:val="22"/>
          <w:szCs w:val="22"/>
        </w:rPr>
        <w:t>. Routledge. </w:t>
      </w:r>
    </w:p>
    <w:p w14:paraId="455AF2AC" w14:textId="77777777" w:rsidR="000D5CE6" w:rsidRPr="00772B72" w:rsidRDefault="000D5CE6" w:rsidP="00772B72">
      <w:pPr>
        <w:textAlignment w:val="baseline"/>
        <w:rPr>
          <w:rFonts w:ascii="Arial" w:hAnsi="Arial" w:cs="Arial"/>
          <w:sz w:val="18"/>
          <w:szCs w:val="18"/>
        </w:rPr>
      </w:pPr>
    </w:p>
    <w:p w14:paraId="6B45483E"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Beauchamp, G. and Parkinson, J., 2008. Pupils’ attitudes towards school science as they transfer from an ICT-rich primary school to a secondary school with fewer ICT resources: Does ICT </w:t>
      </w:r>
      <w:proofErr w:type="gramStart"/>
      <w:r w:rsidRPr="00772B72">
        <w:rPr>
          <w:rFonts w:ascii="Calibri" w:hAnsi="Calibri" w:cs="Arial"/>
          <w:sz w:val="22"/>
          <w:szCs w:val="22"/>
        </w:rPr>
        <w:t>matter?.</w:t>
      </w:r>
      <w:proofErr w:type="gramEnd"/>
      <w:r w:rsidRPr="00772B72">
        <w:rPr>
          <w:rFonts w:ascii="Calibri" w:hAnsi="Calibri" w:cs="Arial"/>
          <w:sz w:val="22"/>
          <w:szCs w:val="22"/>
        </w:rPr>
        <w:t> </w:t>
      </w:r>
      <w:r w:rsidRPr="00772B72">
        <w:rPr>
          <w:rFonts w:ascii="Calibri" w:hAnsi="Calibri" w:cs="Arial"/>
          <w:i/>
          <w:iCs/>
          <w:sz w:val="22"/>
          <w:szCs w:val="22"/>
        </w:rPr>
        <w:t>Education and Information Technologies</w:t>
      </w:r>
      <w:r w:rsidRPr="00772B72">
        <w:rPr>
          <w:rFonts w:ascii="Calibri" w:hAnsi="Calibri" w:cs="Arial"/>
          <w:sz w:val="22"/>
          <w:szCs w:val="22"/>
        </w:rPr>
        <w:t>, </w:t>
      </w:r>
      <w:r w:rsidRPr="00772B72">
        <w:rPr>
          <w:rFonts w:ascii="Calibri" w:hAnsi="Calibri" w:cs="Arial"/>
          <w:i/>
          <w:iCs/>
          <w:sz w:val="22"/>
          <w:szCs w:val="22"/>
        </w:rPr>
        <w:t>13</w:t>
      </w:r>
      <w:r w:rsidRPr="00772B72">
        <w:rPr>
          <w:rFonts w:ascii="Calibri" w:hAnsi="Calibri" w:cs="Arial"/>
          <w:sz w:val="22"/>
          <w:szCs w:val="22"/>
        </w:rPr>
        <w:t>(2). </w:t>
      </w:r>
    </w:p>
    <w:p w14:paraId="4D1C9B7B" w14:textId="77777777" w:rsidR="000D5CE6" w:rsidRPr="00772B72" w:rsidRDefault="000D5CE6" w:rsidP="00772B72">
      <w:pPr>
        <w:textAlignment w:val="baseline"/>
        <w:rPr>
          <w:rFonts w:ascii="Arial" w:hAnsi="Arial" w:cs="Arial"/>
          <w:sz w:val="18"/>
          <w:szCs w:val="18"/>
        </w:rPr>
      </w:pPr>
    </w:p>
    <w:p w14:paraId="5BF17379"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Bentham, S. and Hutchins, R., 2012. </w:t>
      </w:r>
      <w:r w:rsidRPr="00772B72">
        <w:rPr>
          <w:rFonts w:ascii="Calibri" w:hAnsi="Calibri" w:cs="Arial"/>
          <w:i/>
          <w:iCs/>
          <w:sz w:val="22"/>
          <w:szCs w:val="22"/>
        </w:rPr>
        <w:t>Improving pupil motivation together: Teachers and teaching assistants working collaboratively</w:t>
      </w:r>
      <w:r w:rsidRPr="00772B72">
        <w:rPr>
          <w:rFonts w:ascii="Calibri" w:hAnsi="Calibri" w:cs="Arial"/>
          <w:sz w:val="22"/>
          <w:szCs w:val="22"/>
        </w:rPr>
        <w:t>. Routledge. </w:t>
      </w:r>
    </w:p>
    <w:p w14:paraId="5D85A635" w14:textId="77777777" w:rsidR="000D5CE6" w:rsidRPr="00772B72" w:rsidRDefault="000D5CE6" w:rsidP="00772B72">
      <w:pPr>
        <w:textAlignment w:val="baseline"/>
        <w:rPr>
          <w:rFonts w:ascii="Arial" w:hAnsi="Arial" w:cs="Arial"/>
          <w:sz w:val="18"/>
          <w:szCs w:val="18"/>
        </w:rPr>
      </w:pPr>
    </w:p>
    <w:p w14:paraId="58E7DA06" w14:textId="3A094909" w:rsidR="00772B72" w:rsidRDefault="00772B72" w:rsidP="00772B72">
      <w:pPr>
        <w:textAlignment w:val="baseline"/>
        <w:rPr>
          <w:rFonts w:ascii="Calibri" w:hAnsi="Calibri" w:cs="Arial"/>
          <w:sz w:val="22"/>
          <w:szCs w:val="22"/>
        </w:rPr>
      </w:pPr>
      <w:r w:rsidRPr="00772B72">
        <w:rPr>
          <w:rFonts w:ascii="Calibri" w:hAnsi="Calibri" w:cs="Arial"/>
          <w:sz w:val="22"/>
          <w:szCs w:val="22"/>
        </w:rPr>
        <w:t>Berry, R. (2008). Assessment for learning. Hong Kong: Hong Kong University Press</w:t>
      </w:r>
      <w:r w:rsidR="000D5CE6">
        <w:rPr>
          <w:rFonts w:ascii="Calibri" w:hAnsi="Calibri" w:cs="Arial"/>
          <w:sz w:val="22"/>
          <w:szCs w:val="22"/>
        </w:rPr>
        <w:t>.</w:t>
      </w:r>
    </w:p>
    <w:p w14:paraId="7D7985A7" w14:textId="77777777" w:rsidR="000D5CE6" w:rsidRPr="00772B72" w:rsidRDefault="000D5CE6" w:rsidP="00772B72">
      <w:pPr>
        <w:textAlignment w:val="baseline"/>
        <w:rPr>
          <w:rFonts w:ascii="Arial" w:hAnsi="Arial" w:cs="Arial"/>
          <w:sz w:val="18"/>
          <w:szCs w:val="18"/>
        </w:rPr>
      </w:pPr>
    </w:p>
    <w:p w14:paraId="51A3F5B0"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Black, P. and </w:t>
      </w:r>
      <w:proofErr w:type="spellStart"/>
      <w:r w:rsidRPr="00772B72">
        <w:rPr>
          <w:rFonts w:ascii="Calibri" w:hAnsi="Calibri" w:cs="Arial"/>
          <w:sz w:val="22"/>
          <w:szCs w:val="22"/>
        </w:rPr>
        <w:t>Wiliam</w:t>
      </w:r>
      <w:proofErr w:type="spellEnd"/>
      <w:r w:rsidRPr="00772B72">
        <w:rPr>
          <w:rFonts w:ascii="Calibri" w:hAnsi="Calibri" w:cs="Arial"/>
          <w:sz w:val="22"/>
          <w:szCs w:val="22"/>
        </w:rPr>
        <w:t>, D., 1998. Assessment and classroom learning. </w:t>
      </w:r>
      <w:r w:rsidRPr="00772B72">
        <w:rPr>
          <w:rFonts w:ascii="Calibri" w:hAnsi="Calibri" w:cs="Arial"/>
          <w:i/>
          <w:iCs/>
          <w:sz w:val="22"/>
          <w:szCs w:val="22"/>
        </w:rPr>
        <w:t>Assessment in Education: principles, policy &amp; practice</w:t>
      </w:r>
      <w:r w:rsidRPr="00772B72">
        <w:rPr>
          <w:rFonts w:ascii="Calibri" w:hAnsi="Calibri" w:cs="Arial"/>
          <w:sz w:val="22"/>
          <w:szCs w:val="22"/>
        </w:rPr>
        <w:t>, </w:t>
      </w:r>
      <w:r w:rsidRPr="00772B72">
        <w:rPr>
          <w:rFonts w:ascii="Calibri" w:hAnsi="Calibri" w:cs="Arial"/>
          <w:i/>
          <w:iCs/>
          <w:sz w:val="22"/>
          <w:szCs w:val="22"/>
        </w:rPr>
        <w:t>5</w:t>
      </w:r>
      <w:r w:rsidRPr="00772B72">
        <w:rPr>
          <w:rFonts w:ascii="Calibri" w:hAnsi="Calibri" w:cs="Arial"/>
          <w:sz w:val="22"/>
          <w:szCs w:val="22"/>
        </w:rPr>
        <w:t>(1). </w:t>
      </w:r>
    </w:p>
    <w:p w14:paraId="1143B15E" w14:textId="77777777" w:rsidR="000D5CE6" w:rsidRPr="00772B72" w:rsidRDefault="000D5CE6" w:rsidP="00772B72">
      <w:pPr>
        <w:textAlignment w:val="baseline"/>
        <w:rPr>
          <w:rFonts w:ascii="Arial" w:hAnsi="Arial" w:cs="Arial"/>
          <w:sz w:val="18"/>
          <w:szCs w:val="18"/>
        </w:rPr>
      </w:pPr>
    </w:p>
    <w:p w14:paraId="1A155527"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lastRenderedPageBreak/>
        <w:t>Black, P. and </w:t>
      </w:r>
      <w:proofErr w:type="spellStart"/>
      <w:r w:rsidRPr="00772B72">
        <w:rPr>
          <w:rFonts w:ascii="Calibri" w:hAnsi="Calibri" w:cs="Arial"/>
          <w:sz w:val="22"/>
          <w:szCs w:val="22"/>
        </w:rPr>
        <w:t>Wiliam</w:t>
      </w:r>
      <w:proofErr w:type="spellEnd"/>
      <w:r w:rsidRPr="00772B72">
        <w:rPr>
          <w:rFonts w:ascii="Calibri" w:hAnsi="Calibri" w:cs="Arial"/>
          <w:sz w:val="22"/>
          <w:szCs w:val="22"/>
        </w:rPr>
        <w:t>, D., 2005. </w:t>
      </w:r>
      <w:r w:rsidRPr="00772B72">
        <w:rPr>
          <w:rFonts w:ascii="Calibri" w:hAnsi="Calibri" w:cs="Arial"/>
          <w:i/>
          <w:iCs/>
          <w:sz w:val="22"/>
          <w:szCs w:val="22"/>
        </w:rPr>
        <w:t>Inside the black box: Raising standards through classroom assessment</w:t>
      </w:r>
      <w:r w:rsidRPr="00772B72">
        <w:rPr>
          <w:rFonts w:ascii="Calibri" w:hAnsi="Calibri" w:cs="Arial"/>
          <w:sz w:val="22"/>
          <w:szCs w:val="22"/>
        </w:rPr>
        <w:t>. Granada Learning. </w:t>
      </w:r>
    </w:p>
    <w:p w14:paraId="6CF8277B" w14:textId="77777777" w:rsidR="000D5CE6" w:rsidRPr="00772B72" w:rsidRDefault="000D5CE6" w:rsidP="00772B72">
      <w:pPr>
        <w:textAlignment w:val="baseline"/>
        <w:rPr>
          <w:rFonts w:ascii="Arial" w:hAnsi="Arial" w:cs="Arial"/>
          <w:sz w:val="18"/>
          <w:szCs w:val="18"/>
        </w:rPr>
      </w:pPr>
    </w:p>
    <w:p w14:paraId="3F708871"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Black, P. and </w:t>
      </w:r>
      <w:proofErr w:type="spellStart"/>
      <w:r w:rsidRPr="00772B72">
        <w:rPr>
          <w:rFonts w:ascii="Calibri" w:hAnsi="Calibri" w:cs="Arial"/>
          <w:sz w:val="22"/>
          <w:szCs w:val="22"/>
        </w:rPr>
        <w:t>Wiliam</w:t>
      </w:r>
      <w:proofErr w:type="spellEnd"/>
      <w:r w:rsidRPr="00772B72">
        <w:rPr>
          <w:rFonts w:ascii="Calibri" w:hAnsi="Calibri" w:cs="Arial"/>
          <w:sz w:val="22"/>
          <w:szCs w:val="22"/>
        </w:rPr>
        <w:t>, D., 2009. Developing the theory of formative assessment. </w:t>
      </w:r>
      <w:r w:rsidRPr="00772B72">
        <w:rPr>
          <w:rFonts w:ascii="Calibri" w:hAnsi="Calibri" w:cs="Arial"/>
          <w:i/>
          <w:iCs/>
          <w:sz w:val="22"/>
          <w:szCs w:val="22"/>
        </w:rPr>
        <w:t>Educational Assessment, Evaluation and Accountability (formerly: Journal of Personnel Evaluation in Education)</w:t>
      </w:r>
      <w:r w:rsidRPr="00772B72">
        <w:rPr>
          <w:rFonts w:ascii="Calibri" w:hAnsi="Calibri" w:cs="Arial"/>
          <w:sz w:val="22"/>
          <w:szCs w:val="22"/>
        </w:rPr>
        <w:t>, </w:t>
      </w:r>
      <w:r w:rsidRPr="00772B72">
        <w:rPr>
          <w:rFonts w:ascii="Calibri" w:hAnsi="Calibri" w:cs="Arial"/>
          <w:i/>
          <w:iCs/>
          <w:sz w:val="22"/>
          <w:szCs w:val="22"/>
        </w:rPr>
        <w:t>21</w:t>
      </w:r>
      <w:r w:rsidRPr="00772B72">
        <w:rPr>
          <w:rFonts w:ascii="Calibri" w:hAnsi="Calibri" w:cs="Arial"/>
          <w:sz w:val="22"/>
          <w:szCs w:val="22"/>
        </w:rPr>
        <w:t>(1). </w:t>
      </w:r>
    </w:p>
    <w:p w14:paraId="070F8CB4" w14:textId="77777777" w:rsidR="000D5CE6" w:rsidRPr="00772B72" w:rsidRDefault="000D5CE6" w:rsidP="00772B72">
      <w:pPr>
        <w:textAlignment w:val="baseline"/>
        <w:rPr>
          <w:rFonts w:ascii="Arial" w:hAnsi="Arial" w:cs="Arial"/>
          <w:sz w:val="18"/>
          <w:szCs w:val="18"/>
        </w:rPr>
      </w:pPr>
    </w:p>
    <w:p w14:paraId="5B2F37A2" w14:textId="78C46673" w:rsidR="00772B72" w:rsidRDefault="00772B72" w:rsidP="00772B72">
      <w:pPr>
        <w:textAlignment w:val="baseline"/>
        <w:rPr>
          <w:rFonts w:ascii="Calibri" w:hAnsi="Calibri" w:cs="Arial"/>
          <w:sz w:val="22"/>
          <w:szCs w:val="22"/>
        </w:rPr>
      </w:pPr>
      <w:r w:rsidRPr="00772B72">
        <w:rPr>
          <w:rFonts w:ascii="Calibri" w:hAnsi="Calibri" w:cs="Arial"/>
          <w:sz w:val="22"/>
          <w:szCs w:val="22"/>
        </w:rPr>
        <w:t>Black, P., Harrison, C., Lee, C., Marshall, B., &amp; </w:t>
      </w:r>
      <w:proofErr w:type="spellStart"/>
      <w:r w:rsidRPr="00772B72">
        <w:rPr>
          <w:rFonts w:ascii="Calibri" w:hAnsi="Calibri" w:cs="Arial"/>
          <w:sz w:val="22"/>
          <w:szCs w:val="22"/>
        </w:rPr>
        <w:t>Wiliam</w:t>
      </w:r>
      <w:proofErr w:type="spellEnd"/>
      <w:r w:rsidR="000D5CE6">
        <w:rPr>
          <w:rFonts w:ascii="Calibri" w:hAnsi="Calibri" w:cs="Arial"/>
          <w:sz w:val="22"/>
          <w:szCs w:val="22"/>
        </w:rPr>
        <w:t>, D. 2003</w:t>
      </w:r>
      <w:r w:rsidRPr="00772B72">
        <w:rPr>
          <w:rFonts w:ascii="Calibri" w:hAnsi="Calibri" w:cs="Arial"/>
          <w:sz w:val="22"/>
          <w:szCs w:val="22"/>
        </w:rPr>
        <w:t>. Assessment for learning: Putting it into practice. Maidenhead, UK: Open University Press. </w:t>
      </w:r>
    </w:p>
    <w:p w14:paraId="7A9581F8" w14:textId="77777777" w:rsidR="000D5CE6" w:rsidRPr="00772B72" w:rsidRDefault="000D5CE6" w:rsidP="00772B72">
      <w:pPr>
        <w:textAlignment w:val="baseline"/>
        <w:rPr>
          <w:rFonts w:ascii="Arial" w:hAnsi="Arial" w:cs="Arial"/>
          <w:sz w:val="18"/>
          <w:szCs w:val="18"/>
        </w:rPr>
      </w:pPr>
    </w:p>
    <w:p w14:paraId="3D7620DC" w14:textId="0185CAB5" w:rsidR="00772B72" w:rsidRDefault="00772B72" w:rsidP="00772B72">
      <w:pPr>
        <w:textAlignment w:val="baseline"/>
        <w:rPr>
          <w:rFonts w:ascii="Calibri" w:hAnsi="Calibri" w:cs="Arial"/>
          <w:sz w:val="22"/>
          <w:szCs w:val="22"/>
        </w:rPr>
      </w:pPr>
      <w:r w:rsidRPr="00772B72">
        <w:rPr>
          <w:rFonts w:ascii="Calibri" w:hAnsi="Calibri" w:cs="Arial"/>
          <w:color w:val="222222"/>
          <w:sz w:val="22"/>
          <w:szCs w:val="22"/>
        </w:rPr>
        <w:t>Bloom, B.S., </w:t>
      </w:r>
      <w:proofErr w:type="spellStart"/>
      <w:r w:rsidRPr="00772B72">
        <w:rPr>
          <w:rFonts w:ascii="Calibri" w:hAnsi="Calibri" w:cs="Arial"/>
          <w:color w:val="222222"/>
          <w:sz w:val="22"/>
          <w:szCs w:val="22"/>
        </w:rPr>
        <w:t>Engelhart</w:t>
      </w:r>
      <w:proofErr w:type="spellEnd"/>
      <w:r w:rsidRPr="00772B72">
        <w:rPr>
          <w:rFonts w:ascii="Calibri" w:hAnsi="Calibri" w:cs="Arial"/>
          <w:color w:val="222222"/>
          <w:sz w:val="22"/>
          <w:szCs w:val="22"/>
        </w:rPr>
        <w:t>, M.D., </w:t>
      </w:r>
      <w:proofErr w:type="spellStart"/>
      <w:r w:rsidRPr="00772B72">
        <w:rPr>
          <w:rFonts w:ascii="Calibri" w:hAnsi="Calibri" w:cs="Arial"/>
          <w:color w:val="222222"/>
          <w:sz w:val="22"/>
          <w:szCs w:val="22"/>
        </w:rPr>
        <w:t>Furst</w:t>
      </w:r>
      <w:proofErr w:type="spellEnd"/>
      <w:r w:rsidRPr="00772B72">
        <w:rPr>
          <w:rFonts w:ascii="Calibri" w:hAnsi="Calibri" w:cs="Arial"/>
          <w:color w:val="222222"/>
          <w:sz w:val="22"/>
          <w:szCs w:val="22"/>
        </w:rPr>
        <w:t>, E.J., H</w:t>
      </w:r>
      <w:r w:rsidR="000D5CE6">
        <w:rPr>
          <w:rFonts w:ascii="Calibri" w:hAnsi="Calibri" w:cs="Arial"/>
          <w:color w:val="222222"/>
          <w:sz w:val="22"/>
          <w:szCs w:val="22"/>
        </w:rPr>
        <w:t>ill, W.H. and </w:t>
      </w:r>
      <w:proofErr w:type="spellStart"/>
      <w:r w:rsidR="000D5CE6">
        <w:rPr>
          <w:rFonts w:ascii="Calibri" w:hAnsi="Calibri" w:cs="Arial"/>
          <w:color w:val="222222"/>
          <w:sz w:val="22"/>
          <w:szCs w:val="22"/>
        </w:rPr>
        <w:t>Krathwohl</w:t>
      </w:r>
      <w:proofErr w:type="spellEnd"/>
      <w:r w:rsidR="000D5CE6">
        <w:rPr>
          <w:rFonts w:ascii="Calibri" w:hAnsi="Calibri" w:cs="Arial"/>
          <w:color w:val="222222"/>
          <w:sz w:val="22"/>
          <w:szCs w:val="22"/>
        </w:rPr>
        <w:t>, D.R., 1956</w:t>
      </w:r>
      <w:r w:rsidRPr="00772B72">
        <w:rPr>
          <w:rFonts w:ascii="Calibri" w:hAnsi="Calibri" w:cs="Arial"/>
          <w:color w:val="222222"/>
          <w:sz w:val="22"/>
          <w:szCs w:val="22"/>
        </w:rPr>
        <w:t>. </w:t>
      </w:r>
      <w:r w:rsidRPr="00772B72">
        <w:rPr>
          <w:rFonts w:ascii="Calibri" w:hAnsi="Calibri" w:cs="Arial"/>
          <w:i/>
          <w:iCs/>
          <w:color w:val="222222"/>
          <w:sz w:val="22"/>
          <w:szCs w:val="22"/>
        </w:rPr>
        <w:t>Taxonomy of educational objectives, handbook I: The cognitive domain</w:t>
      </w:r>
      <w:r w:rsidRPr="00772B72">
        <w:rPr>
          <w:rFonts w:ascii="Calibri" w:hAnsi="Calibri" w:cs="Arial"/>
          <w:color w:val="222222"/>
          <w:sz w:val="22"/>
          <w:szCs w:val="22"/>
        </w:rPr>
        <w:t>. New York: David McKay Co Inc</w:t>
      </w:r>
      <w:r w:rsidRPr="00772B72">
        <w:rPr>
          <w:rFonts w:ascii="Calibri" w:hAnsi="Calibri" w:cs="Arial"/>
          <w:sz w:val="22"/>
          <w:szCs w:val="22"/>
        </w:rPr>
        <w:t>.  </w:t>
      </w:r>
    </w:p>
    <w:p w14:paraId="54A80A38" w14:textId="77777777" w:rsidR="000D5CE6" w:rsidRPr="00772B72" w:rsidRDefault="000D5CE6" w:rsidP="00772B72">
      <w:pPr>
        <w:textAlignment w:val="baseline"/>
        <w:rPr>
          <w:rFonts w:ascii="Arial" w:hAnsi="Arial" w:cs="Arial"/>
          <w:sz w:val="18"/>
          <w:szCs w:val="18"/>
        </w:rPr>
      </w:pPr>
    </w:p>
    <w:p w14:paraId="77D77E0C" w14:textId="77777777"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Boud</w:t>
      </w:r>
      <w:proofErr w:type="spellEnd"/>
      <w:r w:rsidRPr="00772B72">
        <w:rPr>
          <w:rFonts w:ascii="Calibri" w:hAnsi="Calibri" w:cs="Arial"/>
          <w:sz w:val="22"/>
          <w:szCs w:val="22"/>
        </w:rPr>
        <w:t>, D. and </w:t>
      </w:r>
      <w:proofErr w:type="spellStart"/>
      <w:r w:rsidRPr="00772B72">
        <w:rPr>
          <w:rFonts w:ascii="Calibri" w:hAnsi="Calibri" w:cs="Arial"/>
          <w:sz w:val="22"/>
          <w:szCs w:val="22"/>
        </w:rPr>
        <w:t>Falchikov</w:t>
      </w:r>
      <w:proofErr w:type="spellEnd"/>
      <w:r w:rsidRPr="00772B72">
        <w:rPr>
          <w:rFonts w:ascii="Calibri" w:hAnsi="Calibri" w:cs="Arial"/>
          <w:sz w:val="22"/>
          <w:szCs w:val="22"/>
        </w:rPr>
        <w:t>, N. eds., 2007. </w:t>
      </w:r>
      <w:r w:rsidRPr="00772B72">
        <w:rPr>
          <w:rFonts w:ascii="Calibri" w:hAnsi="Calibri" w:cs="Arial"/>
          <w:i/>
          <w:iCs/>
          <w:sz w:val="22"/>
          <w:szCs w:val="22"/>
        </w:rPr>
        <w:t>Rethinking assessment in higher education: Learning for the longer term</w:t>
      </w:r>
      <w:r w:rsidRPr="00772B72">
        <w:rPr>
          <w:rFonts w:ascii="Calibri" w:hAnsi="Calibri" w:cs="Arial"/>
          <w:sz w:val="22"/>
          <w:szCs w:val="22"/>
        </w:rPr>
        <w:t>. Routledge. </w:t>
      </w:r>
    </w:p>
    <w:p w14:paraId="4D9CDB63" w14:textId="77777777" w:rsidR="000D5CE6" w:rsidRPr="00772B72" w:rsidRDefault="000D5CE6" w:rsidP="00772B72">
      <w:pPr>
        <w:textAlignment w:val="baseline"/>
        <w:rPr>
          <w:rFonts w:ascii="Arial" w:hAnsi="Arial" w:cs="Arial"/>
          <w:sz w:val="18"/>
          <w:szCs w:val="18"/>
        </w:rPr>
      </w:pPr>
    </w:p>
    <w:p w14:paraId="210B824E" w14:textId="77777777"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Broadfoot</w:t>
      </w:r>
      <w:proofErr w:type="spellEnd"/>
      <w:r w:rsidRPr="00772B72">
        <w:rPr>
          <w:rFonts w:ascii="Calibri" w:hAnsi="Calibri" w:cs="Arial"/>
          <w:sz w:val="22"/>
          <w:szCs w:val="22"/>
        </w:rPr>
        <w:t>, P.M., Daugherty, R., Gardner, J., </w:t>
      </w:r>
      <w:proofErr w:type="spellStart"/>
      <w:r w:rsidRPr="00772B72">
        <w:rPr>
          <w:rFonts w:ascii="Calibri" w:hAnsi="Calibri" w:cs="Arial"/>
          <w:sz w:val="22"/>
          <w:szCs w:val="22"/>
        </w:rPr>
        <w:t>Harlen</w:t>
      </w:r>
      <w:proofErr w:type="spellEnd"/>
      <w:r w:rsidRPr="00772B72">
        <w:rPr>
          <w:rFonts w:ascii="Calibri" w:hAnsi="Calibri" w:cs="Arial"/>
          <w:sz w:val="22"/>
          <w:szCs w:val="22"/>
        </w:rPr>
        <w:t>, W., James, M. and Stobart, G., 2002. Assessment for learning: 10 principles. </w:t>
      </w:r>
      <w:r w:rsidRPr="00772B72">
        <w:rPr>
          <w:rFonts w:ascii="Calibri" w:hAnsi="Calibri" w:cs="Arial"/>
          <w:i/>
          <w:iCs/>
          <w:sz w:val="22"/>
          <w:szCs w:val="22"/>
        </w:rPr>
        <w:t>Cambridge, UK: University of Cambridge School of Education</w:t>
      </w:r>
      <w:r w:rsidRPr="00772B72">
        <w:rPr>
          <w:rFonts w:ascii="Calibri" w:hAnsi="Calibri" w:cs="Arial"/>
          <w:sz w:val="22"/>
          <w:szCs w:val="22"/>
        </w:rPr>
        <w:t>. </w:t>
      </w:r>
    </w:p>
    <w:p w14:paraId="04BE35AF" w14:textId="77777777" w:rsidR="000D5CE6" w:rsidRPr="00772B72" w:rsidRDefault="000D5CE6" w:rsidP="00772B72">
      <w:pPr>
        <w:textAlignment w:val="baseline"/>
        <w:rPr>
          <w:rFonts w:ascii="Arial" w:hAnsi="Arial" w:cs="Arial"/>
          <w:sz w:val="18"/>
          <w:szCs w:val="18"/>
        </w:rPr>
      </w:pPr>
    </w:p>
    <w:p w14:paraId="5192AC32" w14:textId="24FF72A3" w:rsidR="00772B72" w:rsidRDefault="000D5CE6" w:rsidP="00772B72">
      <w:pPr>
        <w:textAlignment w:val="baseline"/>
        <w:rPr>
          <w:rFonts w:ascii="Calibri" w:hAnsi="Calibri" w:cs="Arial"/>
          <w:sz w:val="22"/>
          <w:szCs w:val="22"/>
        </w:rPr>
      </w:pPr>
      <w:r>
        <w:rPr>
          <w:rFonts w:ascii="Calibri" w:hAnsi="Calibri" w:cs="Arial"/>
          <w:sz w:val="22"/>
          <w:szCs w:val="22"/>
        </w:rPr>
        <w:t>Brown, S., 2005.</w:t>
      </w:r>
      <w:r w:rsidR="00772B72" w:rsidRPr="00772B72">
        <w:rPr>
          <w:rFonts w:ascii="Calibri" w:hAnsi="Calibri" w:cs="Arial"/>
          <w:sz w:val="22"/>
          <w:szCs w:val="22"/>
        </w:rPr>
        <w:t xml:space="preserve"> Assessment for Learning. Learning and Teaching in Higher Education (1). </w:t>
      </w:r>
    </w:p>
    <w:p w14:paraId="76DD8AFD" w14:textId="77777777" w:rsidR="000D5CE6" w:rsidRPr="00772B72" w:rsidRDefault="000D5CE6" w:rsidP="00772B72">
      <w:pPr>
        <w:textAlignment w:val="baseline"/>
        <w:rPr>
          <w:rFonts w:ascii="Arial" w:hAnsi="Arial" w:cs="Arial"/>
          <w:sz w:val="18"/>
          <w:szCs w:val="18"/>
        </w:rPr>
      </w:pPr>
    </w:p>
    <w:p w14:paraId="02E4ED68"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Bryman, A. and Bell, E., 2011. Ethics in business research. </w:t>
      </w:r>
      <w:r w:rsidRPr="00772B72">
        <w:rPr>
          <w:rFonts w:ascii="Calibri" w:hAnsi="Calibri" w:cs="Arial"/>
          <w:i/>
          <w:iCs/>
          <w:sz w:val="22"/>
          <w:szCs w:val="22"/>
        </w:rPr>
        <w:t>Business Research Methods</w:t>
      </w:r>
      <w:r w:rsidRPr="00772B72">
        <w:rPr>
          <w:rFonts w:ascii="Calibri" w:hAnsi="Calibri" w:cs="Arial"/>
          <w:sz w:val="22"/>
          <w:szCs w:val="22"/>
        </w:rPr>
        <w:t>. </w:t>
      </w:r>
    </w:p>
    <w:p w14:paraId="2C29F975" w14:textId="77777777" w:rsidR="000D5CE6" w:rsidRPr="00772B72" w:rsidRDefault="000D5CE6" w:rsidP="00772B72">
      <w:pPr>
        <w:textAlignment w:val="baseline"/>
        <w:rPr>
          <w:rFonts w:ascii="Arial" w:hAnsi="Arial" w:cs="Arial"/>
          <w:sz w:val="18"/>
          <w:szCs w:val="18"/>
        </w:rPr>
      </w:pPr>
    </w:p>
    <w:p w14:paraId="23747032" w14:textId="77777777"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Chappuis</w:t>
      </w:r>
      <w:proofErr w:type="spellEnd"/>
      <w:r w:rsidRPr="00772B72">
        <w:rPr>
          <w:rFonts w:ascii="Calibri" w:hAnsi="Calibri" w:cs="Arial"/>
          <w:sz w:val="22"/>
          <w:szCs w:val="22"/>
        </w:rPr>
        <w:t>, S., 2004. Leading assessment for learning: Using classroom assessment in school improvement. </w:t>
      </w:r>
      <w:r w:rsidRPr="00772B72">
        <w:rPr>
          <w:rFonts w:ascii="Calibri" w:hAnsi="Calibri" w:cs="Arial"/>
          <w:i/>
          <w:iCs/>
          <w:sz w:val="22"/>
          <w:szCs w:val="22"/>
        </w:rPr>
        <w:t>INSIGHTWINTER 2004.</w:t>
      </w:r>
      <w:r w:rsidRPr="00772B72">
        <w:rPr>
          <w:rFonts w:ascii="Calibri" w:hAnsi="Calibri" w:cs="Arial"/>
          <w:sz w:val="22"/>
          <w:szCs w:val="22"/>
        </w:rPr>
        <w:t> </w:t>
      </w:r>
    </w:p>
    <w:p w14:paraId="6153C68F" w14:textId="77777777" w:rsidR="000D5CE6" w:rsidRPr="00772B72" w:rsidRDefault="000D5CE6" w:rsidP="00772B72">
      <w:pPr>
        <w:textAlignment w:val="baseline"/>
        <w:rPr>
          <w:rFonts w:ascii="Arial" w:hAnsi="Arial" w:cs="Arial"/>
          <w:sz w:val="18"/>
          <w:szCs w:val="18"/>
        </w:rPr>
      </w:pPr>
    </w:p>
    <w:p w14:paraId="4500F799"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Cohen, G.L. and Garcia, J., 2014. Educational theory, practice, and policy and the wisdom of social psychology. </w:t>
      </w:r>
      <w:r w:rsidRPr="00772B72">
        <w:rPr>
          <w:rFonts w:ascii="Calibri" w:hAnsi="Calibri" w:cs="Arial"/>
          <w:i/>
          <w:iCs/>
          <w:sz w:val="22"/>
          <w:szCs w:val="22"/>
        </w:rPr>
        <w:t>Policy Insights from the </w:t>
      </w:r>
      <w:proofErr w:type="spellStart"/>
      <w:r w:rsidRPr="00772B72">
        <w:rPr>
          <w:rFonts w:ascii="Calibri" w:hAnsi="Calibri" w:cs="Arial"/>
          <w:i/>
          <w:iCs/>
          <w:sz w:val="22"/>
          <w:szCs w:val="22"/>
        </w:rPr>
        <w:t>Behavioral</w:t>
      </w:r>
      <w:proofErr w:type="spellEnd"/>
      <w:r w:rsidRPr="00772B72">
        <w:rPr>
          <w:rFonts w:ascii="Calibri" w:hAnsi="Calibri" w:cs="Arial"/>
          <w:i/>
          <w:iCs/>
          <w:sz w:val="22"/>
          <w:szCs w:val="22"/>
        </w:rPr>
        <w:t> and Brain Sciences</w:t>
      </w:r>
      <w:r w:rsidRPr="00772B72">
        <w:rPr>
          <w:rFonts w:ascii="Calibri" w:hAnsi="Calibri" w:cs="Arial"/>
          <w:sz w:val="22"/>
          <w:szCs w:val="22"/>
        </w:rPr>
        <w:t>, </w:t>
      </w:r>
      <w:r w:rsidRPr="00772B72">
        <w:rPr>
          <w:rFonts w:ascii="Calibri" w:hAnsi="Calibri" w:cs="Arial"/>
          <w:i/>
          <w:iCs/>
          <w:sz w:val="22"/>
          <w:szCs w:val="22"/>
        </w:rPr>
        <w:t>1</w:t>
      </w:r>
      <w:r w:rsidRPr="00772B72">
        <w:rPr>
          <w:rFonts w:ascii="Calibri" w:hAnsi="Calibri" w:cs="Arial"/>
          <w:sz w:val="22"/>
          <w:szCs w:val="22"/>
        </w:rPr>
        <w:t>(1). </w:t>
      </w:r>
    </w:p>
    <w:p w14:paraId="65F5399C" w14:textId="77777777" w:rsidR="000D5CE6" w:rsidRPr="00772B72" w:rsidRDefault="000D5CE6" w:rsidP="00772B72">
      <w:pPr>
        <w:textAlignment w:val="baseline"/>
        <w:rPr>
          <w:rFonts w:ascii="Arial" w:hAnsi="Arial" w:cs="Arial"/>
          <w:sz w:val="18"/>
          <w:szCs w:val="18"/>
        </w:rPr>
      </w:pPr>
    </w:p>
    <w:p w14:paraId="5127735C"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Crooks, T.J., 1988. The impact of classroom evaluation practices on students. </w:t>
      </w:r>
      <w:r w:rsidRPr="00772B72">
        <w:rPr>
          <w:rFonts w:ascii="Calibri" w:hAnsi="Calibri" w:cs="Arial"/>
          <w:i/>
          <w:iCs/>
          <w:sz w:val="22"/>
          <w:szCs w:val="22"/>
        </w:rPr>
        <w:t>Review of educational research</w:t>
      </w:r>
      <w:r w:rsidRPr="00772B72">
        <w:rPr>
          <w:rFonts w:ascii="Calibri" w:hAnsi="Calibri" w:cs="Arial"/>
          <w:sz w:val="22"/>
          <w:szCs w:val="22"/>
        </w:rPr>
        <w:t>, </w:t>
      </w:r>
      <w:r w:rsidRPr="00772B72">
        <w:rPr>
          <w:rFonts w:ascii="Calibri" w:hAnsi="Calibri" w:cs="Arial"/>
          <w:i/>
          <w:iCs/>
          <w:sz w:val="22"/>
          <w:szCs w:val="22"/>
        </w:rPr>
        <w:t>58</w:t>
      </w:r>
      <w:r w:rsidRPr="00772B72">
        <w:rPr>
          <w:rFonts w:ascii="Calibri" w:hAnsi="Calibri" w:cs="Arial"/>
          <w:sz w:val="22"/>
          <w:szCs w:val="22"/>
        </w:rPr>
        <w:t>(4). </w:t>
      </w:r>
    </w:p>
    <w:p w14:paraId="0BAFF176" w14:textId="77777777" w:rsidR="000D5CE6" w:rsidRPr="00772B72" w:rsidRDefault="000D5CE6" w:rsidP="00772B72">
      <w:pPr>
        <w:textAlignment w:val="baseline"/>
        <w:rPr>
          <w:rFonts w:ascii="Arial" w:hAnsi="Arial" w:cs="Arial"/>
          <w:sz w:val="18"/>
          <w:szCs w:val="18"/>
        </w:rPr>
      </w:pPr>
    </w:p>
    <w:p w14:paraId="718174E6" w14:textId="77777777"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DeWalt</w:t>
      </w:r>
      <w:proofErr w:type="spellEnd"/>
      <w:r w:rsidRPr="00772B72">
        <w:rPr>
          <w:rFonts w:ascii="Calibri" w:hAnsi="Calibri" w:cs="Arial"/>
          <w:sz w:val="22"/>
          <w:szCs w:val="22"/>
        </w:rPr>
        <w:t>, K.M. and </w:t>
      </w:r>
      <w:proofErr w:type="spellStart"/>
      <w:r w:rsidRPr="00772B72">
        <w:rPr>
          <w:rFonts w:ascii="Calibri" w:hAnsi="Calibri" w:cs="Arial"/>
          <w:sz w:val="22"/>
          <w:szCs w:val="22"/>
        </w:rPr>
        <w:t>DeWalt</w:t>
      </w:r>
      <w:proofErr w:type="spellEnd"/>
      <w:r w:rsidRPr="00772B72">
        <w:rPr>
          <w:rFonts w:ascii="Calibri" w:hAnsi="Calibri" w:cs="Arial"/>
          <w:sz w:val="22"/>
          <w:szCs w:val="22"/>
        </w:rPr>
        <w:t>, B.R., 2011. </w:t>
      </w:r>
      <w:r w:rsidRPr="00772B72">
        <w:rPr>
          <w:rFonts w:ascii="Calibri" w:hAnsi="Calibri" w:cs="Arial"/>
          <w:i/>
          <w:iCs/>
          <w:sz w:val="22"/>
          <w:szCs w:val="22"/>
        </w:rPr>
        <w:t>Participant observation: A guide for fieldworkers</w:t>
      </w:r>
      <w:r w:rsidRPr="00772B72">
        <w:rPr>
          <w:rFonts w:ascii="Calibri" w:hAnsi="Calibri" w:cs="Arial"/>
          <w:sz w:val="22"/>
          <w:szCs w:val="22"/>
        </w:rPr>
        <w:t>. Rowman Altamira. </w:t>
      </w:r>
    </w:p>
    <w:p w14:paraId="77CF02E5" w14:textId="77777777" w:rsidR="000D5CE6" w:rsidRPr="00772B72" w:rsidRDefault="000D5CE6" w:rsidP="00772B72">
      <w:pPr>
        <w:textAlignment w:val="baseline"/>
        <w:rPr>
          <w:rFonts w:ascii="Arial" w:hAnsi="Arial" w:cs="Arial"/>
          <w:sz w:val="18"/>
          <w:szCs w:val="18"/>
        </w:rPr>
      </w:pPr>
    </w:p>
    <w:p w14:paraId="0E6E8BA7"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Dillon, J. and Maguire, M. eds., 2011. </w:t>
      </w:r>
      <w:r w:rsidRPr="00772B72">
        <w:rPr>
          <w:rFonts w:ascii="Calibri" w:hAnsi="Calibri" w:cs="Arial"/>
          <w:i/>
          <w:iCs/>
          <w:sz w:val="22"/>
          <w:szCs w:val="22"/>
        </w:rPr>
        <w:t>Becoming a teacher: Issues in secondary education</w:t>
      </w:r>
      <w:r w:rsidRPr="00772B72">
        <w:rPr>
          <w:rFonts w:ascii="Calibri" w:hAnsi="Calibri" w:cs="Arial"/>
          <w:sz w:val="22"/>
          <w:szCs w:val="22"/>
        </w:rPr>
        <w:t>. McGraw-Hill Education (UK). </w:t>
      </w:r>
    </w:p>
    <w:p w14:paraId="5BAF12E3" w14:textId="77777777" w:rsidR="000D5CE6" w:rsidRPr="00772B72" w:rsidRDefault="000D5CE6" w:rsidP="00772B72">
      <w:pPr>
        <w:textAlignment w:val="baseline"/>
        <w:rPr>
          <w:rFonts w:ascii="Arial" w:hAnsi="Arial" w:cs="Arial"/>
          <w:sz w:val="18"/>
          <w:szCs w:val="18"/>
        </w:rPr>
      </w:pPr>
    </w:p>
    <w:p w14:paraId="41F02EF4"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Dixie, G., 2011. </w:t>
      </w:r>
      <w:r w:rsidRPr="00772B72">
        <w:rPr>
          <w:rFonts w:ascii="Calibri" w:hAnsi="Calibri" w:cs="Arial"/>
          <w:i/>
          <w:iCs/>
          <w:sz w:val="22"/>
          <w:szCs w:val="22"/>
        </w:rPr>
        <w:t>The ultimate teaching manual: A route to success for beginning teachers</w:t>
      </w:r>
      <w:r w:rsidRPr="00772B72">
        <w:rPr>
          <w:rFonts w:ascii="Calibri" w:hAnsi="Calibri" w:cs="Arial"/>
          <w:sz w:val="22"/>
          <w:szCs w:val="22"/>
        </w:rPr>
        <w:t>. Bloomsbury Publishing. </w:t>
      </w:r>
    </w:p>
    <w:p w14:paraId="66746681" w14:textId="77777777" w:rsidR="000D5CE6" w:rsidRPr="00772B72" w:rsidRDefault="000D5CE6" w:rsidP="00772B72">
      <w:pPr>
        <w:textAlignment w:val="baseline"/>
        <w:rPr>
          <w:rFonts w:ascii="Arial" w:hAnsi="Arial" w:cs="Arial"/>
          <w:sz w:val="18"/>
          <w:szCs w:val="18"/>
        </w:rPr>
      </w:pPr>
    </w:p>
    <w:p w14:paraId="364623B4" w14:textId="77777777"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Dweck</w:t>
      </w:r>
      <w:proofErr w:type="spellEnd"/>
      <w:r w:rsidRPr="00772B72">
        <w:rPr>
          <w:rFonts w:ascii="Calibri" w:hAnsi="Calibri" w:cs="Arial"/>
          <w:sz w:val="22"/>
          <w:szCs w:val="22"/>
        </w:rPr>
        <w:t>, C.S., 1986. Motivational processes affecting learning. </w:t>
      </w:r>
      <w:r w:rsidRPr="00772B72">
        <w:rPr>
          <w:rFonts w:ascii="Calibri" w:hAnsi="Calibri" w:cs="Arial"/>
          <w:i/>
          <w:iCs/>
          <w:sz w:val="22"/>
          <w:szCs w:val="22"/>
        </w:rPr>
        <w:t>American psychologist</w:t>
      </w:r>
      <w:r w:rsidRPr="00772B72">
        <w:rPr>
          <w:rFonts w:ascii="Calibri" w:hAnsi="Calibri" w:cs="Arial"/>
          <w:sz w:val="22"/>
          <w:szCs w:val="22"/>
        </w:rPr>
        <w:t>, </w:t>
      </w:r>
      <w:r w:rsidRPr="00772B72">
        <w:rPr>
          <w:rFonts w:ascii="Calibri" w:hAnsi="Calibri" w:cs="Arial"/>
          <w:i/>
          <w:iCs/>
          <w:sz w:val="22"/>
          <w:szCs w:val="22"/>
        </w:rPr>
        <w:t>41</w:t>
      </w:r>
      <w:r w:rsidRPr="00772B72">
        <w:rPr>
          <w:rFonts w:ascii="Calibri" w:hAnsi="Calibri" w:cs="Arial"/>
          <w:sz w:val="22"/>
          <w:szCs w:val="22"/>
        </w:rPr>
        <w:t>(10). </w:t>
      </w:r>
    </w:p>
    <w:p w14:paraId="1A8D4D1D" w14:textId="77777777" w:rsidR="000D5CE6" w:rsidRPr="00772B72" w:rsidRDefault="000D5CE6" w:rsidP="00772B72">
      <w:pPr>
        <w:textAlignment w:val="baseline"/>
        <w:rPr>
          <w:rFonts w:ascii="Arial" w:hAnsi="Arial" w:cs="Arial"/>
          <w:sz w:val="18"/>
          <w:szCs w:val="18"/>
        </w:rPr>
      </w:pPr>
    </w:p>
    <w:p w14:paraId="3BD47ACC" w14:textId="1084944F" w:rsidR="00772B72" w:rsidRDefault="000D5CE6" w:rsidP="00772B72">
      <w:pPr>
        <w:textAlignment w:val="baseline"/>
        <w:rPr>
          <w:rFonts w:ascii="Calibri" w:hAnsi="Calibri" w:cs="Arial"/>
          <w:sz w:val="22"/>
          <w:szCs w:val="22"/>
        </w:rPr>
      </w:pPr>
      <w:r>
        <w:rPr>
          <w:rFonts w:ascii="Calibri" w:hAnsi="Calibri" w:cs="Arial"/>
          <w:sz w:val="22"/>
          <w:szCs w:val="22"/>
        </w:rPr>
        <w:t>Estyn. 2011.</w:t>
      </w:r>
      <w:r w:rsidR="00772B72" w:rsidRPr="00772B72">
        <w:rPr>
          <w:rFonts w:ascii="Calibri" w:hAnsi="Calibri" w:cs="Arial"/>
          <w:sz w:val="22"/>
          <w:szCs w:val="22"/>
        </w:rPr>
        <w:t xml:space="preserve"> A report on Placement School X. Cardiff: Estyn. [Online]. Available from: https://www.estyn.gov.wales/sites/default/files/documents/Inspection%20Report%20(</w:t>
      </w:r>
      <w:proofErr w:type="spellStart"/>
      <w:r w:rsidR="00772B72" w:rsidRPr="00772B72">
        <w:rPr>
          <w:rFonts w:ascii="Calibri" w:hAnsi="Calibri" w:cs="Arial"/>
          <w:sz w:val="22"/>
          <w:szCs w:val="22"/>
        </w:rPr>
        <w:t>Anonomysed</w:t>
      </w:r>
      <w:proofErr w:type="spellEnd"/>
      <w:r w:rsidR="00772B72" w:rsidRPr="00772B72">
        <w:rPr>
          <w:rFonts w:ascii="Calibri" w:hAnsi="Calibri" w:cs="Arial"/>
          <w:sz w:val="22"/>
          <w:szCs w:val="22"/>
        </w:rPr>
        <w:t>)%20school%20ENG%202011%20%28English%20only%29_0.pdf [URL. available on request] </w:t>
      </w:r>
    </w:p>
    <w:p w14:paraId="39D41ABE" w14:textId="77777777" w:rsidR="000D5CE6" w:rsidRPr="00772B72" w:rsidRDefault="000D5CE6" w:rsidP="00772B72">
      <w:pPr>
        <w:textAlignment w:val="baseline"/>
        <w:rPr>
          <w:rFonts w:ascii="Arial" w:hAnsi="Arial" w:cs="Arial"/>
          <w:sz w:val="18"/>
          <w:szCs w:val="18"/>
        </w:rPr>
      </w:pPr>
    </w:p>
    <w:p w14:paraId="6177A5BF" w14:textId="77777777"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Fenn</w:t>
      </w:r>
      <w:proofErr w:type="spellEnd"/>
      <w:r w:rsidRPr="00772B72">
        <w:rPr>
          <w:rFonts w:ascii="Calibri" w:hAnsi="Calibri" w:cs="Arial"/>
          <w:sz w:val="22"/>
          <w:szCs w:val="22"/>
        </w:rPr>
        <w:t>, J. and Richardson, N. eds., 2009. </w:t>
      </w:r>
      <w:r w:rsidRPr="00772B72">
        <w:rPr>
          <w:rFonts w:ascii="Calibri" w:hAnsi="Calibri" w:cs="Arial"/>
          <w:i/>
          <w:iCs/>
          <w:sz w:val="22"/>
          <w:szCs w:val="22"/>
        </w:rPr>
        <w:t>Newly Qualified Teachers and Other Entrants </w:t>
      </w:r>
      <w:proofErr w:type="gramStart"/>
      <w:r w:rsidRPr="00772B72">
        <w:rPr>
          <w:rFonts w:ascii="Calibri" w:hAnsi="Calibri" w:cs="Arial"/>
          <w:i/>
          <w:iCs/>
          <w:sz w:val="22"/>
          <w:szCs w:val="22"/>
        </w:rPr>
        <w:t>Into</w:t>
      </w:r>
      <w:proofErr w:type="gramEnd"/>
      <w:r w:rsidRPr="00772B72">
        <w:rPr>
          <w:rFonts w:ascii="Calibri" w:hAnsi="Calibri" w:cs="Arial"/>
          <w:i/>
          <w:iCs/>
          <w:sz w:val="22"/>
          <w:szCs w:val="22"/>
        </w:rPr>
        <w:t> Teaching: Essays in Leadership for Changing Times</w:t>
      </w:r>
      <w:r w:rsidRPr="00772B72">
        <w:rPr>
          <w:rFonts w:ascii="Calibri" w:hAnsi="Calibri" w:cs="Arial"/>
          <w:sz w:val="22"/>
          <w:szCs w:val="22"/>
        </w:rPr>
        <w:t>. John Catt Educational Ltd. </w:t>
      </w:r>
    </w:p>
    <w:p w14:paraId="493A5764" w14:textId="77777777" w:rsidR="000D5CE6" w:rsidRPr="00772B72" w:rsidRDefault="000D5CE6" w:rsidP="00772B72">
      <w:pPr>
        <w:textAlignment w:val="baseline"/>
        <w:rPr>
          <w:rFonts w:ascii="Arial" w:hAnsi="Arial" w:cs="Arial"/>
          <w:sz w:val="18"/>
          <w:szCs w:val="18"/>
        </w:rPr>
      </w:pPr>
    </w:p>
    <w:p w14:paraId="461E6EB9" w14:textId="77777777"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Fraenkel</w:t>
      </w:r>
      <w:proofErr w:type="spellEnd"/>
      <w:r w:rsidRPr="00772B72">
        <w:rPr>
          <w:rFonts w:ascii="Calibri" w:hAnsi="Calibri" w:cs="Arial"/>
          <w:sz w:val="22"/>
          <w:szCs w:val="22"/>
        </w:rPr>
        <w:t>, J.R., </w:t>
      </w:r>
      <w:proofErr w:type="spellStart"/>
      <w:r w:rsidRPr="00772B72">
        <w:rPr>
          <w:rFonts w:ascii="Calibri" w:hAnsi="Calibri" w:cs="Arial"/>
          <w:sz w:val="22"/>
          <w:szCs w:val="22"/>
        </w:rPr>
        <w:t>Wallen</w:t>
      </w:r>
      <w:proofErr w:type="spellEnd"/>
      <w:r w:rsidRPr="00772B72">
        <w:rPr>
          <w:rFonts w:ascii="Calibri" w:hAnsi="Calibri" w:cs="Arial"/>
          <w:sz w:val="22"/>
          <w:szCs w:val="22"/>
        </w:rPr>
        <w:t>, N.E. and Hyun, H.H., 1993. </w:t>
      </w:r>
      <w:r w:rsidRPr="00772B72">
        <w:rPr>
          <w:rFonts w:ascii="Calibri" w:hAnsi="Calibri" w:cs="Arial"/>
          <w:i/>
          <w:iCs/>
          <w:sz w:val="22"/>
          <w:szCs w:val="22"/>
        </w:rPr>
        <w:t>How to design and evaluate research in education</w:t>
      </w:r>
      <w:r w:rsidRPr="00772B72">
        <w:rPr>
          <w:rFonts w:ascii="Calibri" w:hAnsi="Calibri" w:cs="Arial"/>
          <w:sz w:val="22"/>
          <w:szCs w:val="22"/>
        </w:rPr>
        <w:t> (Vol. 7). New York: McGraw-Hill. </w:t>
      </w:r>
    </w:p>
    <w:p w14:paraId="5E37761C" w14:textId="77777777" w:rsidR="000D5CE6" w:rsidRPr="00772B72" w:rsidRDefault="000D5CE6" w:rsidP="00772B72">
      <w:pPr>
        <w:textAlignment w:val="baseline"/>
        <w:rPr>
          <w:rFonts w:ascii="Arial" w:hAnsi="Arial" w:cs="Arial"/>
          <w:sz w:val="18"/>
          <w:szCs w:val="18"/>
        </w:rPr>
      </w:pPr>
    </w:p>
    <w:p w14:paraId="188A7CFC" w14:textId="77777777"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Gadsby</w:t>
      </w:r>
      <w:proofErr w:type="spellEnd"/>
      <w:r w:rsidRPr="00772B72">
        <w:rPr>
          <w:rFonts w:ascii="Calibri" w:hAnsi="Calibri" w:cs="Arial"/>
          <w:sz w:val="22"/>
          <w:szCs w:val="22"/>
        </w:rPr>
        <w:t>, C., 2012. </w:t>
      </w:r>
      <w:r w:rsidRPr="00772B72">
        <w:rPr>
          <w:rFonts w:ascii="Calibri" w:hAnsi="Calibri" w:cs="Arial"/>
          <w:i/>
          <w:iCs/>
          <w:sz w:val="22"/>
          <w:szCs w:val="22"/>
        </w:rPr>
        <w:t>Perfect assessment for learning</w:t>
      </w:r>
      <w:r w:rsidRPr="00772B72">
        <w:rPr>
          <w:rFonts w:ascii="Calibri" w:hAnsi="Calibri" w:cs="Arial"/>
          <w:sz w:val="22"/>
          <w:szCs w:val="22"/>
        </w:rPr>
        <w:t>. Crown House Publishing. </w:t>
      </w:r>
    </w:p>
    <w:p w14:paraId="10BB07C3" w14:textId="77777777" w:rsidR="000D5CE6" w:rsidRPr="00772B72" w:rsidRDefault="000D5CE6" w:rsidP="00772B72">
      <w:pPr>
        <w:textAlignment w:val="baseline"/>
        <w:rPr>
          <w:rFonts w:ascii="Arial" w:hAnsi="Arial" w:cs="Arial"/>
          <w:sz w:val="18"/>
          <w:szCs w:val="18"/>
        </w:rPr>
      </w:pPr>
    </w:p>
    <w:p w14:paraId="13E997DB"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Gardner, J.N. and Gardner, J. eds., 2012. </w:t>
      </w:r>
      <w:r w:rsidRPr="00772B72">
        <w:rPr>
          <w:rFonts w:ascii="Calibri" w:hAnsi="Calibri" w:cs="Arial"/>
          <w:i/>
          <w:iCs/>
          <w:sz w:val="22"/>
          <w:szCs w:val="22"/>
        </w:rPr>
        <w:t>Assessment and learning</w:t>
      </w:r>
      <w:r w:rsidRPr="00772B72">
        <w:rPr>
          <w:rFonts w:ascii="Calibri" w:hAnsi="Calibri" w:cs="Arial"/>
          <w:sz w:val="22"/>
          <w:szCs w:val="22"/>
        </w:rPr>
        <w:t>. Sage. </w:t>
      </w:r>
    </w:p>
    <w:p w14:paraId="7225736B" w14:textId="77777777" w:rsidR="000D5CE6" w:rsidRPr="00772B72" w:rsidRDefault="000D5CE6" w:rsidP="00772B72">
      <w:pPr>
        <w:textAlignment w:val="baseline"/>
        <w:rPr>
          <w:rFonts w:ascii="Arial" w:hAnsi="Arial" w:cs="Arial"/>
          <w:sz w:val="18"/>
          <w:szCs w:val="18"/>
        </w:rPr>
      </w:pPr>
    </w:p>
    <w:p w14:paraId="03736AE7" w14:textId="77777777"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Gliner</w:t>
      </w:r>
      <w:proofErr w:type="spellEnd"/>
      <w:r w:rsidRPr="00772B72">
        <w:rPr>
          <w:rFonts w:ascii="Calibri" w:hAnsi="Calibri" w:cs="Arial"/>
          <w:sz w:val="22"/>
          <w:szCs w:val="22"/>
        </w:rPr>
        <w:t>, J.A., Morgan, G.A. and Leech, N.L., 2011. </w:t>
      </w:r>
      <w:r w:rsidRPr="00772B72">
        <w:rPr>
          <w:rFonts w:ascii="Calibri" w:hAnsi="Calibri" w:cs="Arial"/>
          <w:i/>
          <w:iCs/>
          <w:sz w:val="22"/>
          <w:szCs w:val="22"/>
        </w:rPr>
        <w:t>Research methods in applied settings: An integrated approach to design and analysis</w:t>
      </w:r>
      <w:r w:rsidRPr="00772B72">
        <w:rPr>
          <w:rFonts w:ascii="Calibri" w:hAnsi="Calibri" w:cs="Arial"/>
          <w:sz w:val="22"/>
          <w:szCs w:val="22"/>
        </w:rPr>
        <w:t>. Routledge. </w:t>
      </w:r>
    </w:p>
    <w:p w14:paraId="21C9B6D3" w14:textId="77777777" w:rsidR="000D5CE6" w:rsidRPr="00772B72" w:rsidRDefault="000D5CE6" w:rsidP="00772B72">
      <w:pPr>
        <w:textAlignment w:val="baseline"/>
        <w:rPr>
          <w:rFonts w:ascii="Arial" w:hAnsi="Arial" w:cs="Arial"/>
          <w:sz w:val="18"/>
          <w:szCs w:val="18"/>
        </w:rPr>
      </w:pPr>
    </w:p>
    <w:p w14:paraId="7DD8D830"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Hallinan, M.T., 1994. Tracking: From theory to practice. </w:t>
      </w:r>
      <w:r w:rsidRPr="00772B72">
        <w:rPr>
          <w:rFonts w:ascii="Calibri" w:hAnsi="Calibri" w:cs="Arial"/>
          <w:i/>
          <w:iCs/>
          <w:sz w:val="22"/>
          <w:szCs w:val="22"/>
        </w:rPr>
        <w:t>Sociology of Education</w:t>
      </w:r>
      <w:r w:rsidRPr="00772B72">
        <w:rPr>
          <w:rFonts w:ascii="Calibri" w:hAnsi="Calibri" w:cs="Arial"/>
          <w:sz w:val="22"/>
          <w:szCs w:val="22"/>
        </w:rPr>
        <w:t>, </w:t>
      </w:r>
      <w:r w:rsidRPr="00772B72">
        <w:rPr>
          <w:rFonts w:ascii="Calibri" w:hAnsi="Calibri" w:cs="Arial"/>
          <w:i/>
          <w:iCs/>
          <w:sz w:val="22"/>
          <w:szCs w:val="22"/>
        </w:rPr>
        <w:t>67</w:t>
      </w:r>
      <w:r w:rsidRPr="00772B72">
        <w:rPr>
          <w:rFonts w:ascii="Calibri" w:hAnsi="Calibri" w:cs="Arial"/>
          <w:sz w:val="22"/>
          <w:szCs w:val="22"/>
        </w:rPr>
        <w:t>(2). </w:t>
      </w:r>
    </w:p>
    <w:p w14:paraId="5277864E" w14:textId="77777777" w:rsidR="000D5CE6" w:rsidRPr="00772B72" w:rsidRDefault="000D5CE6" w:rsidP="00772B72">
      <w:pPr>
        <w:textAlignment w:val="baseline"/>
        <w:rPr>
          <w:rFonts w:ascii="Arial" w:hAnsi="Arial" w:cs="Arial"/>
          <w:sz w:val="18"/>
          <w:szCs w:val="18"/>
        </w:rPr>
      </w:pPr>
    </w:p>
    <w:p w14:paraId="02EA9317" w14:textId="77777777"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Harlen</w:t>
      </w:r>
      <w:proofErr w:type="spellEnd"/>
      <w:r w:rsidRPr="00772B72">
        <w:rPr>
          <w:rFonts w:ascii="Calibri" w:hAnsi="Calibri" w:cs="Arial"/>
          <w:sz w:val="22"/>
          <w:szCs w:val="22"/>
        </w:rPr>
        <w:t>, W., 2007. </w:t>
      </w:r>
      <w:r w:rsidRPr="00772B72">
        <w:rPr>
          <w:rFonts w:ascii="Calibri" w:hAnsi="Calibri" w:cs="Arial"/>
          <w:i/>
          <w:iCs/>
          <w:sz w:val="22"/>
          <w:szCs w:val="22"/>
        </w:rPr>
        <w:t>Assessment of learning</w:t>
      </w:r>
      <w:r w:rsidRPr="00772B72">
        <w:rPr>
          <w:rFonts w:ascii="Calibri" w:hAnsi="Calibri" w:cs="Arial"/>
          <w:sz w:val="22"/>
          <w:szCs w:val="22"/>
        </w:rPr>
        <w:t>. Sage. </w:t>
      </w:r>
    </w:p>
    <w:p w14:paraId="4E684D61" w14:textId="77777777" w:rsidR="000D5CE6" w:rsidRPr="00772B72" w:rsidRDefault="000D5CE6" w:rsidP="00772B72">
      <w:pPr>
        <w:textAlignment w:val="baseline"/>
        <w:rPr>
          <w:rFonts w:ascii="Arial" w:hAnsi="Arial" w:cs="Arial"/>
          <w:sz w:val="18"/>
          <w:szCs w:val="18"/>
        </w:rPr>
      </w:pPr>
    </w:p>
    <w:p w14:paraId="7C199153"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Hattie, J. and Timperley, H., 2007. The power of feedback. </w:t>
      </w:r>
      <w:r w:rsidRPr="00772B72">
        <w:rPr>
          <w:rFonts w:ascii="Calibri" w:hAnsi="Calibri" w:cs="Arial"/>
          <w:i/>
          <w:iCs/>
          <w:sz w:val="22"/>
          <w:szCs w:val="22"/>
        </w:rPr>
        <w:t>Review of educational research</w:t>
      </w:r>
      <w:r w:rsidRPr="00772B72">
        <w:rPr>
          <w:rFonts w:ascii="Calibri" w:hAnsi="Calibri" w:cs="Arial"/>
          <w:sz w:val="22"/>
          <w:szCs w:val="22"/>
        </w:rPr>
        <w:t>, </w:t>
      </w:r>
      <w:r w:rsidRPr="00772B72">
        <w:rPr>
          <w:rFonts w:ascii="Calibri" w:hAnsi="Calibri" w:cs="Arial"/>
          <w:i/>
          <w:iCs/>
          <w:sz w:val="22"/>
          <w:szCs w:val="22"/>
        </w:rPr>
        <w:t>77</w:t>
      </w:r>
      <w:r w:rsidRPr="00772B72">
        <w:rPr>
          <w:rFonts w:ascii="Calibri" w:hAnsi="Calibri" w:cs="Arial"/>
          <w:sz w:val="22"/>
          <w:szCs w:val="22"/>
        </w:rPr>
        <w:t>(1). </w:t>
      </w:r>
    </w:p>
    <w:p w14:paraId="126D636C" w14:textId="77777777" w:rsidR="000D5CE6" w:rsidRPr="00772B72" w:rsidRDefault="000D5CE6" w:rsidP="00772B72">
      <w:pPr>
        <w:textAlignment w:val="baseline"/>
        <w:rPr>
          <w:rFonts w:ascii="Arial" w:hAnsi="Arial" w:cs="Arial"/>
          <w:sz w:val="18"/>
          <w:szCs w:val="18"/>
        </w:rPr>
      </w:pPr>
    </w:p>
    <w:p w14:paraId="7BE9114A"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lastRenderedPageBreak/>
        <w:t>James, M. and Pedder, D., 2006. Beyond method: Assessment and learning practices and values. </w:t>
      </w:r>
      <w:r w:rsidRPr="00772B72">
        <w:rPr>
          <w:rFonts w:ascii="Calibri" w:hAnsi="Calibri" w:cs="Arial"/>
          <w:i/>
          <w:iCs/>
          <w:sz w:val="22"/>
          <w:szCs w:val="22"/>
        </w:rPr>
        <w:t>The Curriculum Journal</w:t>
      </w:r>
      <w:r w:rsidRPr="00772B72">
        <w:rPr>
          <w:rFonts w:ascii="Calibri" w:hAnsi="Calibri" w:cs="Arial"/>
          <w:sz w:val="22"/>
          <w:szCs w:val="22"/>
        </w:rPr>
        <w:t>, </w:t>
      </w:r>
      <w:r w:rsidRPr="00772B72">
        <w:rPr>
          <w:rFonts w:ascii="Calibri" w:hAnsi="Calibri" w:cs="Arial"/>
          <w:i/>
          <w:iCs/>
          <w:sz w:val="22"/>
          <w:szCs w:val="22"/>
        </w:rPr>
        <w:t>17</w:t>
      </w:r>
      <w:r w:rsidRPr="00772B72">
        <w:rPr>
          <w:rFonts w:ascii="Calibri" w:hAnsi="Calibri" w:cs="Arial"/>
          <w:sz w:val="22"/>
          <w:szCs w:val="22"/>
        </w:rPr>
        <w:t>(2). </w:t>
      </w:r>
    </w:p>
    <w:p w14:paraId="098BF044" w14:textId="77777777" w:rsidR="000D5CE6" w:rsidRPr="00772B72" w:rsidRDefault="000D5CE6" w:rsidP="00772B72">
      <w:pPr>
        <w:textAlignment w:val="baseline"/>
        <w:rPr>
          <w:rFonts w:ascii="Arial" w:hAnsi="Arial" w:cs="Arial"/>
          <w:sz w:val="18"/>
          <w:szCs w:val="18"/>
        </w:rPr>
      </w:pPr>
    </w:p>
    <w:p w14:paraId="374949A1" w14:textId="77777777"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Jick</w:t>
      </w:r>
      <w:proofErr w:type="spellEnd"/>
      <w:r w:rsidRPr="00772B72">
        <w:rPr>
          <w:rFonts w:ascii="Calibri" w:hAnsi="Calibri" w:cs="Arial"/>
          <w:sz w:val="22"/>
          <w:szCs w:val="22"/>
        </w:rPr>
        <w:t>, T.D., 1979. Mixing qualitative and quantitative methods: Triangulation in action. </w:t>
      </w:r>
      <w:r w:rsidRPr="00772B72">
        <w:rPr>
          <w:rFonts w:ascii="Calibri" w:hAnsi="Calibri" w:cs="Arial"/>
          <w:i/>
          <w:iCs/>
          <w:sz w:val="22"/>
          <w:szCs w:val="22"/>
        </w:rPr>
        <w:t>Administrative science quarterly</w:t>
      </w:r>
      <w:r w:rsidRPr="00772B72">
        <w:rPr>
          <w:rFonts w:ascii="Calibri" w:hAnsi="Calibri" w:cs="Arial"/>
          <w:sz w:val="22"/>
          <w:szCs w:val="22"/>
        </w:rPr>
        <w:t>, </w:t>
      </w:r>
      <w:r w:rsidRPr="00772B72">
        <w:rPr>
          <w:rFonts w:ascii="Calibri" w:hAnsi="Calibri" w:cs="Arial"/>
          <w:i/>
          <w:iCs/>
          <w:sz w:val="22"/>
          <w:szCs w:val="22"/>
        </w:rPr>
        <w:t>24</w:t>
      </w:r>
      <w:r w:rsidRPr="00772B72">
        <w:rPr>
          <w:rFonts w:ascii="Calibri" w:hAnsi="Calibri" w:cs="Arial"/>
          <w:sz w:val="22"/>
          <w:szCs w:val="22"/>
        </w:rPr>
        <w:t>(4). </w:t>
      </w:r>
    </w:p>
    <w:p w14:paraId="588D25DC" w14:textId="77777777" w:rsidR="000D5CE6" w:rsidRPr="00772B72" w:rsidRDefault="000D5CE6" w:rsidP="00772B72">
      <w:pPr>
        <w:textAlignment w:val="baseline"/>
        <w:rPr>
          <w:rFonts w:ascii="Arial" w:hAnsi="Arial" w:cs="Arial"/>
          <w:sz w:val="18"/>
          <w:szCs w:val="18"/>
        </w:rPr>
      </w:pPr>
    </w:p>
    <w:p w14:paraId="119A882C" w14:textId="77777777"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Jolliffe</w:t>
      </w:r>
      <w:proofErr w:type="spellEnd"/>
      <w:r w:rsidRPr="00772B72">
        <w:rPr>
          <w:rFonts w:ascii="Calibri" w:hAnsi="Calibri" w:cs="Arial"/>
          <w:sz w:val="22"/>
          <w:szCs w:val="22"/>
        </w:rPr>
        <w:t>, W., 2007. </w:t>
      </w:r>
      <w:r w:rsidRPr="00772B72">
        <w:rPr>
          <w:rFonts w:ascii="Calibri" w:hAnsi="Calibri" w:cs="Arial"/>
          <w:i/>
          <w:iCs/>
          <w:sz w:val="22"/>
          <w:szCs w:val="22"/>
        </w:rPr>
        <w:t>Cooperative learning in the classroom: Putting it into practice</w:t>
      </w:r>
      <w:r w:rsidRPr="00772B72">
        <w:rPr>
          <w:rFonts w:ascii="Calibri" w:hAnsi="Calibri" w:cs="Arial"/>
          <w:sz w:val="22"/>
          <w:szCs w:val="22"/>
        </w:rPr>
        <w:t>. Sage. </w:t>
      </w:r>
    </w:p>
    <w:p w14:paraId="39F25BDD" w14:textId="77777777" w:rsidR="000D5CE6" w:rsidRPr="00772B72" w:rsidRDefault="000D5CE6" w:rsidP="00772B72">
      <w:pPr>
        <w:textAlignment w:val="baseline"/>
        <w:rPr>
          <w:rFonts w:ascii="Arial" w:hAnsi="Arial" w:cs="Arial"/>
          <w:sz w:val="18"/>
          <w:szCs w:val="18"/>
        </w:rPr>
      </w:pPr>
    </w:p>
    <w:p w14:paraId="7066BBED"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Kerry, T., 2005. Towards a typology for conceptualizing the roles of teaching assistants. </w:t>
      </w:r>
      <w:r w:rsidRPr="00772B72">
        <w:rPr>
          <w:rFonts w:ascii="Calibri" w:hAnsi="Calibri" w:cs="Arial"/>
          <w:i/>
          <w:iCs/>
          <w:sz w:val="22"/>
          <w:szCs w:val="22"/>
        </w:rPr>
        <w:t>Educational Review</w:t>
      </w:r>
      <w:r w:rsidRPr="00772B72">
        <w:rPr>
          <w:rFonts w:ascii="Calibri" w:hAnsi="Calibri" w:cs="Arial"/>
          <w:sz w:val="22"/>
          <w:szCs w:val="22"/>
        </w:rPr>
        <w:t>, </w:t>
      </w:r>
      <w:r w:rsidRPr="00772B72">
        <w:rPr>
          <w:rFonts w:ascii="Calibri" w:hAnsi="Calibri" w:cs="Arial"/>
          <w:i/>
          <w:iCs/>
          <w:sz w:val="22"/>
          <w:szCs w:val="22"/>
        </w:rPr>
        <w:t>57</w:t>
      </w:r>
      <w:r w:rsidRPr="00772B72">
        <w:rPr>
          <w:rFonts w:ascii="Calibri" w:hAnsi="Calibri" w:cs="Arial"/>
          <w:sz w:val="22"/>
          <w:szCs w:val="22"/>
        </w:rPr>
        <w:t>(3). </w:t>
      </w:r>
    </w:p>
    <w:p w14:paraId="21BAF931" w14:textId="77777777" w:rsidR="000D5CE6" w:rsidRPr="00772B72" w:rsidRDefault="000D5CE6" w:rsidP="00772B72">
      <w:pPr>
        <w:textAlignment w:val="baseline"/>
        <w:rPr>
          <w:rFonts w:ascii="Arial" w:hAnsi="Arial" w:cs="Arial"/>
          <w:sz w:val="18"/>
          <w:szCs w:val="18"/>
        </w:rPr>
      </w:pPr>
    </w:p>
    <w:p w14:paraId="304458ED" w14:textId="77777777"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Klem</w:t>
      </w:r>
      <w:proofErr w:type="spellEnd"/>
      <w:r w:rsidRPr="00772B72">
        <w:rPr>
          <w:rFonts w:ascii="Calibri" w:hAnsi="Calibri" w:cs="Arial"/>
          <w:sz w:val="22"/>
          <w:szCs w:val="22"/>
        </w:rPr>
        <w:t>, A.M. and Connell, J.P., 2004. Relationships matter: Linking teacher support to student engagement and achievement. </w:t>
      </w:r>
      <w:r w:rsidRPr="00772B72">
        <w:rPr>
          <w:rFonts w:ascii="Calibri" w:hAnsi="Calibri" w:cs="Arial"/>
          <w:i/>
          <w:iCs/>
          <w:sz w:val="22"/>
          <w:szCs w:val="22"/>
        </w:rPr>
        <w:t>Journal of school health</w:t>
      </w:r>
      <w:r w:rsidRPr="00772B72">
        <w:rPr>
          <w:rFonts w:ascii="Calibri" w:hAnsi="Calibri" w:cs="Arial"/>
          <w:sz w:val="22"/>
          <w:szCs w:val="22"/>
        </w:rPr>
        <w:t>, </w:t>
      </w:r>
      <w:r w:rsidRPr="00772B72">
        <w:rPr>
          <w:rFonts w:ascii="Calibri" w:hAnsi="Calibri" w:cs="Arial"/>
          <w:i/>
          <w:iCs/>
          <w:sz w:val="22"/>
          <w:szCs w:val="22"/>
        </w:rPr>
        <w:t>74</w:t>
      </w:r>
      <w:r w:rsidRPr="00772B72">
        <w:rPr>
          <w:rFonts w:ascii="Calibri" w:hAnsi="Calibri" w:cs="Arial"/>
          <w:sz w:val="22"/>
          <w:szCs w:val="22"/>
        </w:rPr>
        <w:t>(7). </w:t>
      </w:r>
    </w:p>
    <w:p w14:paraId="1CF6805B" w14:textId="77777777" w:rsidR="000D5CE6" w:rsidRPr="00772B72" w:rsidRDefault="000D5CE6" w:rsidP="00772B72">
      <w:pPr>
        <w:textAlignment w:val="baseline"/>
        <w:rPr>
          <w:rFonts w:ascii="Arial" w:hAnsi="Arial" w:cs="Arial"/>
          <w:sz w:val="18"/>
          <w:szCs w:val="18"/>
        </w:rPr>
      </w:pPr>
    </w:p>
    <w:p w14:paraId="4914503E" w14:textId="336D1DA5" w:rsidR="00772B72" w:rsidRDefault="00772B72" w:rsidP="00772B72">
      <w:pPr>
        <w:textAlignment w:val="baseline"/>
        <w:rPr>
          <w:rFonts w:ascii="Calibri" w:hAnsi="Calibri" w:cs="Arial"/>
          <w:sz w:val="22"/>
          <w:szCs w:val="22"/>
        </w:rPr>
      </w:pPr>
      <w:r w:rsidRPr="00772B72">
        <w:rPr>
          <w:rFonts w:ascii="Calibri" w:hAnsi="Calibri" w:cs="Arial"/>
          <w:sz w:val="22"/>
          <w:szCs w:val="22"/>
        </w:rPr>
        <w:t>Leahy, S., Lyon, C., Thompson, M., &amp; </w:t>
      </w:r>
      <w:proofErr w:type="spellStart"/>
      <w:r w:rsidRPr="00772B72">
        <w:rPr>
          <w:rFonts w:ascii="Calibri" w:hAnsi="Calibri" w:cs="Arial"/>
          <w:sz w:val="22"/>
          <w:szCs w:val="22"/>
        </w:rPr>
        <w:t>Wiliam</w:t>
      </w:r>
      <w:proofErr w:type="spellEnd"/>
      <w:r w:rsidR="000D5CE6">
        <w:rPr>
          <w:rFonts w:ascii="Calibri" w:hAnsi="Calibri" w:cs="Arial"/>
          <w:sz w:val="22"/>
          <w:szCs w:val="22"/>
        </w:rPr>
        <w:t>, D. 2005</w:t>
      </w:r>
      <w:r w:rsidRPr="00772B72">
        <w:rPr>
          <w:rFonts w:ascii="Calibri" w:hAnsi="Calibri" w:cs="Arial"/>
          <w:sz w:val="22"/>
          <w:szCs w:val="22"/>
        </w:rPr>
        <w:t>. Classroom assessment minute by minute, day by day. </w:t>
      </w:r>
      <w:r w:rsidRPr="00772B72">
        <w:rPr>
          <w:rFonts w:ascii="Calibri" w:hAnsi="Calibri" w:cs="Arial"/>
          <w:i/>
          <w:iCs/>
          <w:sz w:val="22"/>
          <w:szCs w:val="22"/>
        </w:rPr>
        <w:t>Educational Leadership, 63</w:t>
      </w:r>
      <w:r w:rsidRPr="00772B72">
        <w:rPr>
          <w:rFonts w:ascii="Calibri" w:hAnsi="Calibri" w:cs="Arial"/>
          <w:sz w:val="22"/>
          <w:szCs w:val="22"/>
        </w:rPr>
        <w:t>(3).  </w:t>
      </w:r>
    </w:p>
    <w:p w14:paraId="37A6D556" w14:textId="77777777" w:rsidR="000D5CE6" w:rsidRPr="00772B72" w:rsidRDefault="000D5CE6" w:rsidP="00772B72">
      <w:pPr>
        <w:textAlignment w:val="baseline"/>
        <w:rPr>
          <w:rFonts w:ascii="Arial" w:hAnsi="Arial" w:cs="Arial"/>
          <w:sz w:val="18"/>
          <w:szCs w:val="18"/>
        </w:rPr>
      </w:pPr>
    </w:p>
    <w:p w14:paraId="2B5733B1" w14:textId="77777777"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Luxford</w:t>
      </w:r>
      <w:proofErr w:type="spellEnd"/>
      <w:r w:rsidRPr="00772B72">
        <w:rPr>
          <w:rFonts w:ascii="Calibri" w:hAnsi="Calibri" w:cs="Arial"/>
          <w:sz w:val="22"/>
          <w:szCs w:val="22"/>
        </w:rPr>
        <w:t>, H. and Smart, L., 2013. </w:t>
      </w:r>
      <w:r w:rsidRPr="00772B72">
        <w:rPr>
          <w:rFonts w:ascii="Calibri" w:hAnsi="Calibri" w:cs="Arial"/>
          <w:i/>
          <w:iCs/>
          <w:sz w:val="22"/>
          <w:szCs w:val="22"/>
        </w:rPr>
        <w:t>Learning through talk: developing learning dialogues in the primary classroom</w:t>
      </w:r>
      <w:r w:rsidRPr="00772B72">
        <w:rPr>
          <w:rFonts w:ascii="Calibri" w:hAnsi="Calibri" w:cs="Arial"/>
          <w:sz w:val="22"/>
          <w:szCs w:val="22"/>
        </w:rPr>
        <w:t>. Routledge. </w:t>
      </w:r>
    </w:p>
    <w:p w14:paraId="7C16FF55" w14:textId="77777777" w:rsidR="000D5CE6" w:rsidRPr="00772B72" w:rsidRDefault="000D5CE6" w:rsidP="00772B72">
      <w:pPr>
        <w:textAlignment w:val="baseline"/>
        <w:rPr>
          <w:rFonts w:ascii="Arial" w:hAnsi="Arial" w:cs="Arial"/>
          <w:sz w:val="18"/>
          <w:szCs w:val="18"/>
        </w:rPr>
      </w:pPr>
    </w:p>
    <w:p w14:paraId="4B66C69F" w14:textId="77777777"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Malderez</w:t>
      </w:r>
      <w:proofErr w:type="spellEnd"/>
      <w:r w:rsidRPr="00772B72">
        <w:rPr>
          <w:rFonts w:ascii="Calibri" w:hAnsi="Calibri" w:cs="Arial"/>
          <w:sz w:val="22"/>
          <w:szCs w:val="22"/>
        </w:rPr>
        <w:t>, A., 2003. Observation. </w:t>
      </w:r>
      <w:r w:rsidRPr="00772B72">
        <w:rPr>
          <w:rFonts w:ascii="Calibri" w:hAnsi="Calibri" w:cs="Arial"/>
          <w:i/>
          <w:iCs/>
          <w:sz w:val="22"/>
          <w:szCs w:val="22"/>
        </w:rPr>
        <w:t>ELT Journal</w:t>
      </w:r>
      <w:r w:rsidRPr="00772B72">
        <w:rPr>
          <w:rFonts w:ascii="Calibri" w:hAnsi="Calibri" w:cs="Arial"/>
          <w:sz w:val="22"/>
          <w:szCs w:val="22"/>
        </w:rPr>
        <w:t>, </w:t>
      </w:r>
      <w:r w:rsidRPr="00772B72">
        <w:rPr>
          <w:rFonts w:ascii="Calibri" w:hAnsi="Calibri" w:cs="Arial"/>
          <w:i/>
          <w:iCs/>
          <w:sz w:val="22"/>
          <w:szCs w:val="22"/>
        </w:rPr>
        <w:t>57</w:t>
      </w:r>
      <w:r w:rsidRPr="00772B72">
        <w:rPr>
          <w:rFonts w:ascii="Calibri" w:hAnsi="Calibri" w:cs="Arial"/>
          <w:sz w:val="22"/>
          <w:szCs w:val="22"/>
        </w:rPr>
        <w:t>(2). </w:t>
      </w:r>
    </w:p>
    <w:p w14:paraId="194E4928" w14:textId="77777777" w:rsidR="000D5CE6" w:rsidRPr="00772B72" w:rsidRDefault="000D5CE6" w:rsidP="00772B72">
      <w:pPr>
        <w:textAlignment w:val="baseline"/>
        <w:rPr>
          <w:rFonts w:ascii="Arial" w:hAnsi="Arial" w:cs="Arial"/>
          <w:sz w:val="18"/>
          <w:szCs w:val="18"/>
        </w:rPr>
      </w:pPr>
    </w:p>
    <w:p w14:paraId="40DE99E1"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Mitchell, M.L. and Jolley, J.M., 2012. </w:t>
      </w:r>
      <w:r w:rsidRPr="00772B72">
        <w:rPr>
          <w:rFonts w:ascii="Calibri" w:hAnsi="Calibri" w:cs="Arial"/>
          <w:i/>
          <w:iCs/>
          <w:sz w:val="22"/>
          <w:szCs w:val="22"/>
        </w:rPr>
        <w:t>Research design explained</w:t>
      </w:r>
      <w:r w:rsidRPr="00772B72">
        <w:rPr>
          <w:rFonts w:ascii="Calibri" w:hAnsi="Calibri" w:cs="Arial"/>
          <w:sz w:val="22"/>
          <w:szCs w:val="22"/>
        </w:rPr>
        <w:t>. Cengage Learning. </w:t>
      </w:r>
    </w:p>
    <w:p w14:paraId="6B593EF2" w14:textId="77777777" w:rsidR="000D5CE6" w:rsidRPr="00772B72" w:rsidRDefault="000D5CE6" w:rsidP="00772B72">
      <w:pPr>
        <w:textAlignment w:val="baseline"/>
        <w:rPr>
          <w:rFonts w:ascii="Arial" w:hAnsi="Arial" w:cs="Arial"/>
          <w:sz w:val="18"/>
          <w:szCs w:val="18"/>
        </w:rPr>
      </w:pPr>
    </w:p>
    <w:p w14:paraId="36C21798"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Newbury, D., 2010. Research training in the creative arts and design. </w:t>
      </w:r>
      <w:r w:rsidRPr="00772B72">
        <w:rPr>
          <w:rFonts w:ascii="Calibri" w:hAnsi="Calibri" w:cs="Arial"/>
          <w:i/>
          <w:iCs/>
          <w:sz w:val="22"/>
          <w:szCs w:val="22"/>
        </w:rPr>
        <w:t>The research companion to research in the arts</w:t>
      </w:r>
      <w:r w:rsidRPr="00772B72">
        <w:rPr>
          <w:rFonts w:ascii="Calibri" w:hAnsi="Calibri" w:cs="Arial"/>
          <w:sz w:val="22"/>
          <w:szCs w:val="22"/>
        </w:rPr>
        <w:t>. </w:t>
      </w:r>
    </w:p>
    <w:p w14:paraId="59D0CBB0" w14:textId="77777777" w:rsidR="000D5CE6" w:rsidRPr="00772B72" w:rsidRDefault="000D5CE6" w:rsidP="00772B72">
      <w:pPr>
        <w:textAlignment w:val="baseline"/>
        <w:rPr>
          <w:rFonts w:ascii="Arial" w:hAnsi="Arial" w:cs="Arial"/>
          <w:sz w:val="18"/>
          <w:szCs w:val="18"/>
        </w:rPr>
      </w:pPr>
    </w:p>
    <w:p w14:paraId="4F0FE74D"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Patton, M.Q., 1990. </w:t>
      </w:r>
      <w:r w:rsidRPr="00772B72">
        <w:rPr>
          <w:rFonts w:ascii="Calibri" w:hAnsi="Calibri" w:cs="Arial"/>
          <w:i/>
          <w:iCs/>
          <w:sz w:val="22"/>
          <w:szCs w:val="22"/>
        </w:rPr>
        <w:t>Qualitative evaluation and research methods</w:t>
      </w:r>
      <w:r w:rsidRPr="00772B72">
        <w:rPr>
          <w:rFonts w:ascii="Calibri" w:hAnsi="Calibri" w:cs="Arial"/>
          <w:sz w:val="22"/>
          <w:szCs w:val="22"/>
        </w:rPr>
        <w:t>. SAGE Publications, </w:t>
      </w:r>
      <w:proofErr w:type="spellStart"/>
      <w:r w:rsidRPr="00772B72">
        <w:rPr>
          <w:rFonts w:ascii="Calibri" w:hAnsi="Calibri" w:cs="Arial"/>
          <w:sz w:val="22"/>
          <w:szCs w:val="22"/>
        </w:rPr>
        <w:t>inc.</w:t>
      </w:r>
      <w:proofErr w:type="spellEnd"/>
      <w:r w:rsidRPr="00772B72">
        <w:rPr>
          <w:rFonts w:ascii="Calibri" w:hAnsi="Calibri" w:cs="Arial"/>
          <w:sz w:val="22"/>
          <w:szCs w:val="22"/>
        </w:rPr>
        <w:t> </w:t>
      </w:r>
    </w:p>
    <w:p w14:paraId="3A230FDB" w14:textId="77777777" w:rsidR="000D5CE6" w:rsidRPr="00772B72" w:rsidRDefault="000D5CE6" w:rsidP="00772B72">
      <w:pPr>
        <w:textAlignment w:val="baseline"/>
        <w:rPr>
          <w:rFonts w:ascii="Arial" w:hAnsi="Arial" w:cs="Arial"/>
          <w:sz w:val="18"/>
          <w:szCs w:val="18"/>
        </w:rPr>
      </w:pPr>
    </w:p>
    <w:p w14:paraId="302960F2"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Paul, J.L. ed., 2005. </w:t>
      </w:r>
      <w:r w:rsidRPr="00772B72">
        <w:rPr>
          <w:rFonts w:ascii="Calibri" w:hAnsi="Calibri" w:cs="Arial"/>
          <w:i/>
          <w:iCs/>
          <w:sz w:val="22"/>
          <w:szCs w:val="22"/>
        </w:rPr>
        <w:t>Introduction to the philosophies of research and criticism in education and the social sciences</w:t>
      </w:r>
      <w:r w:rsidRPr="00772B72">
        <w:rPr>
          <w:rFonts w:ascii="Calibri" w:hAnsi="Calibri" w:cs="Arial"/>
          <w:sz w:val="22"/>
          <w:szCs w:val="22"/>
        </w:rPr>
        <w:t>. Prentice Hall. </w:t>
      </w:r>
    </w:p>
    <w:p w14:paraId="6E241421" w14:textId="77777777" w:rsidR="000D5CE6" w:rsidRPr="00772B72" w:rsidRDefault="000D5CE6" w:rsidP="00772B72">
      <w:pPr>
        <w:textAlignment w:val="baseline"/>
        <w:rPr>
          <w:rFonts w:ascii="Arial" w:hAnsi="Arial" w:cs="Arial"/>
          <w:sz w:val="18"/>
          <w:szCs w:val="18"/>
        </w:rPr>
      </w:pPr>
    </w:p>
    <w:p w14:paraId="3E78F3F0"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Punch, K.F. and </w:t>
      </w:r>
      <w:proofErr w:type="spellStart"/>
      <w:r w:rsidRPr="00772B72">
        <w:rPr>
          <w:rFonts w:ascii="Calibri" w:hAnsi="Calibri" w:cs="Arial"/>
          <w:sz w:val="22"/>
          <w:szCs w:val="22"/>
        </w:rPr>
        <w:t>Oancea</w:t>
      </w:r>
      <w:proofErr w:type="spellEnd"/>
      <w:r w:rsidRPr="00772B72">
        <w:rPr>
          <w:rFonts w:ascii="Calibri" w:hAnsi="Calibri" w:cs="Arial"/>
          <w:sz w:val="22"/>
          <w:szCs w:val="22"/>
        </w:rPr>
        <w:t>, A., 2014. </w:t>
      </w:r>
      <w:r w:rsidRPr="00772B72">
        <w:rPr>
          <w:rFonts w:ascii="Calibri" w:hAnsi="Calibri" w:cs="Arial"/>
          <w:i/>
          <w:iCs/>
          <w:sz w:val="22"/>
          <w:szCs w:val="22"/>
        </w:rPr>
        <w:t>Introduction to research methods in education</w:t>
      </w:r>
      <w:r w:rsidRPr="00772B72">
        <w:rPr>
          <w:rFonts w:ascii="Calibri" w:hAnsi="Calibri" w:cs="Arial"/>
          <w:sz w:val="22"/>
          <w:szCs w:val="22"/>
        </w:rPr>
        <w:t>. Sage. </w:t>
      </w:r>
    </w:p>
    <w:p w14:paraId="79253271" w14:textId="77777777" w:rsidR="000D5CE6" w:rsidRPr="00772B72" w:rsidRDefault="000D5CE6" w:rsidP="00772B72">
      <w:pPr>
        <w:textAlignment w:val="baseline"/>
        <w:rPr>
          <w:rFonts w:ascii="Arial" w:hAnsi="Arial" w:cs="Arial"/>
          <w:sz w:val="18"/>
          <w:szCs w:val="18"/>
        </w:rPr>
      </w:pPr>
    </w:p>
    <w:p w14:paraId="413317BA" w14:textId="60361FE8" w:rsidR="00772B72" w:rsidRPr="00772B72" w:rsidRDefault="00772B72" w:rsidP="00772B72">
      <w:pPr>
        <w:shd w:val="clear" w:color="auto" w:fill="FFFFFF"/>
        <w:textAlignment w:val="baseline"/>
        <w:rPr>
          <w:rFonts w:ascii="Arial" w:hAnsi="Arial" w:cs="Arial"/>
          <w:b/>
          <w:bCs/>
          <w:color w:val="365F91"/>
          <w:sz w:val="18"/>
          <w:szCs w:val="18"/>
        </w:rPr>
      </w:pPr>
      <w:r w:rsidRPr="00772B72">
        <w:rPr>
          <w:rFonts w:ascii="Calibri" w:hAnsi="Calibri" w:cs="Arial"/>
          <w:sz w:val="22"/>
          <w:szCs w:val="22"/>
        </w:rPr>
        <w:t>Redfield,</w:t>
      </w:r>
      <w:r w:rsidR="000D5CE6">
        <w:rPr>
          <w:rFonts w:ascii="Calibri" w:hAnsi="Calibri" w:cs="Arial"/>
          <w:sz w:val="22"/>
          <w:szCs w:val="22"/>
        </w:rPr>
        <w:t xml:space="preserve"> </w:t>
      </w:r>
      <w:r w:rsidRPr="00772B72">
        <w:rPr>
          <w:rFonts w:ascii="Calibri" w:hAnsi="Calibri" w:cs="Arial"/>
          <w:sz w:val="22"/>
          <w:szCs w:val="22"/>
        </w:rPr>
        <w:t>D &amp; Rousseau, E.W., (1981). A Meta-Analysis of Experimental Research on Teacher Questioning Behaviour.</w:t>
      </w:r>
      <w:r w:rsidRPr="00772B72">
        <w:rPr>
          <w:rFonts w:ascii="Calibri" w:hAnsi="Calibri" w:cs="Arial"/>
          <w:b/>
          <w:bCs/>
          <w:color w:val="365F91"/>
          <w:sz w:val="22"/>
          <w:szCs w:val="22"/>
        </w:rPr>
        <w:t> </w:t>
      </w:r>
    </w:p>
    <w:p w14:paraId="602216BB" w14:textId="77777777"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 </w:t>
      </w:r>
    </w:p>
    <w:p w14:paraId="16CEEDCF" w14:textId="77777777"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Sandelowski</w:t>
      </w:r>
      <w:proofErr w:type="spellEnd"/>
      <w:r w:rsidRPr="00772B72">
        <w:rPr>
          <w:rFonts w:ascii="Calibri" w:hAnsi="Calibri" w:cs="Arial"/>
          <w:sz w:val="22"/>
          <w:szCs w:val="22"/>
        </w:rPr>
        <w:t>, M., 2000. Combining qualitative and quantitative sampling, data collection, and analysis techniques in mixed‐method studies. </w:t>
      </w:r>
      <w:r w:rsidRPr="00772B72">
        <w:rPr>
          <w:rFonts w:ascii="Calibri" w:hAnsi="Calibri" w:cs="Arial"/>
          <w:i/>
          <w:iCs/>
          <w:sz w:val="22"/>
          <w:szCs w:val="22"/>
        </w:rPr>
        <w:t>Research in nursing &amp; health</w:t>
      </w:r>
      <w:r w:rsidRPr="00772B72">
        <w:rPr>
          <w:rFonts w:ascii="Calibri" w:hAnsi="Calibri" w:cs="Arial"/>
          <w:sz w:val="22"/>
          <w:szCs w:val="22"/>
        </w:rPr>
        <w:t>, </w:t>
      </w:r>
      <w:r w:rsidRPr="00772B72">
        <w:rPr>
          <w:rFonts w:ascii="Calibri" w:hAnsi="Calibri" w:cs="Arial"/>
          <w:i/>
          <w:iCs/>
          <w:sz w:val="22"/>
          <w:szCs w:val="22"/>
        </w:rPr>
        <w:t>23</w:t>
      </w:r>
      <w:r w:rsidRPr="00772B72">
        <w:rPr>
          <w:rFonts w:ascii="Calibri" w:hAnsi="Calibri" w:cs="Arial"/>
          <w:sz w:val="22"/>
          <w:szCs w:val="22"/>
        </w:rPr>
        <w:t>(3). </w:t>
      </w:r>
    </w:p>
    <w:p w14:paraId="230D0E04" w14:textId="77777777" w:rsidR="000D5CE6" w:rsidRPr="00772B72" w:rsidRDefault="000D5CE6" w:rsidP="00772B72">
      <w:pPr>
        <w:textAlignment w:val="baseline"/>
        <w:rPr>
          <w:rFonts w:ascii="Arial" w:hAnsi="Arial" w:cs="Arial"/>
          <w:sz w:val="18"/>
          <w:szCs w:val="18"/>
        </w:rPr>
      </w:pPr>
    </w:p>
    <w:p w14:paraId="1B85EAEE"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Schein, E.H., 1996. Kurt Lewin's change theory in the field and in the classroom: Notes toward a model of managed learning. </w:t>
      </w:r>
      <w:r w:rsidRPr="00772B72">
        <w:rPr>
          <w:rFonts w:ascii="Calibri" w:hAnsi="Calibri" w:cs="Arial"/>
          <w:i/>
          <w:iCs/>
          <w:sz w:val="22"/>
          <w:szCs w:val="22"/>
        </w:rPr>
        <w:t>Systems practice</w:t>
      </w:r>
      <w:r w:rsidRPr="00772B72">
        <w:rPr>
          <w:rFonts w:ascii="Calibri" w:hAnsi="Calibri" w:cs="Arial"/>
          <w:sz w:val="22"/>
          <w:szCs w:val="22"/>
        </w:rPr>
        <w:t>, </w:t>
      </w:r>
      <w:r w:rsidRPr="00772B72">
        <w:rPr>
          <w:rFonts w:ascii="Calibri" w:hAnsi="Calibri" w:cs="Arial"/>
          <w:i/>
          <w:iCs/>
          <w:sz w:val="22"/>
          <w:szCs w:val="22"/>
        </w:rPr>
        <w:t>9</w:t>
      </w:r>
      <w:r w:rsidRPr="00772B72">
        <w:rPr>
          <w:rFonts w:ascii="Calibri" w:hAnsi="Calibri" w:cs="Arial"/>
          <w:sz w:val="22"/>
          <w:szCs w:val="22"/>
        </w:rPr>
        <w:t>(1). </w:t>
      </w:r>
    </w:p>
    <w:p w14:paraId="46DF77C2" w14:textId="77777777" w:rsidR="000D5CE6" w:rsidRPr="00772B72" w:rsidRDefault="000D5CE6" w:rsidP="00772B72">
      <w:pPr>
        <w:textAlignment w:val="baseline"/>
        <w:rPr>
          <w:rFonts w:ascii="Arial" w:hAnsi="Arial" w:cs="Arial"/>
          <w:sz w:val="18"/>
          <w:szCs w:val="18"/>
        </w:rPr>
      </w:pPr>
    </w:p>
    <w:p w14:paraId="7B925FEF"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Shepard, L.A., 2000. The role of assessment in a learning culture. </w:t>
      </w:r>
      <w:r w:rsidRPr="00772B72">
        <w:rPr>
          <w:rFonts w:ascii="Calibri" w:hAnsi="Calibri" w:cs="Arial"/>
          <w:i/>
          <w:iCs/>
          <w:sz w:val="22"/>
          <w:szCs w:val="22"/>
        </w:rPr>
        <w:t>Educational researcher</w:t>
      </w:r>
      <w:r w:rsidRPr="00772B72">
        <w:rPr>
          <w:rFonts w:ascii="Calibri" w:hAnsi="Calibri" w:cs="Arial"/>
          <w:sz w:val="22"/>
          <w:szCs w:val="22"/>
        </w:rPr>
        <w:t>, </w:t>
      </w:r>
      <w:r w:rsidRPr="00772B72">
        <w:rPr>
          <w:rFonts w:ascii="Calibri" w:hAnsi="Calibri" w:cs="Arial"/>
          <w:i/>
          <w:iCs/>
          <w:sz w:val="22"/>
          <w:szCs w:val="22"/>
        </w:rPr>
        <w:t>29</w:t>
      </w:r>
      <w:r w:rsidRPr="00772B72">
        <w:rPr>
          <w:rFonts w:ascii="Calibri" w:hAnsi="Calibri" w:cs="Arial"/>
          <w:sz w:val="22"/>
          <w:szCs w:val="22"/>
        </w:rPr>
        <w:t>(7). </w:t>
      </w:r>
    </w:p>
    <w:p w14:paraId="0602322F" w14:textId="77777777" w:rsidR="000D5CE6" w:rsidRPr="00772B72" w:rsidRDefault="000D5CE6" w:rsidP="00772B72">
      <w:pPr>
        <w:textAlignment w:val="baseline"/>
        <w:rPr>
          <w:rFonts w:ascii="Arial" w:hAnsi="Arial" w:cs="Arial"/>
          <w:sz w:val="18"/>
          <w:szCs w:val="18"/>
        </w:rPr>
      </w:pPr>
    </w:p>
    <w:p w14:paraId="39774BDC"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Smith, H.J., Higgins, S., Wall, K. and Miller, J., 2005. Interactive whiteboards: boon or bandwagon? A critical review of the literature. </w:t>
      </w:r>
      <w:r w:rsidRPr="00772B72">
        <w:rPr>
          <w:rFonts w:ascii="Calibri" w:hAnsi="Calibri" w:cs="Arial"/>
          <w:i/>
          <w:iCs/>
          <w:sz w:val="22"/>
          <w:szCs w:val="22"/>
        </w:rPr>
        <w:t>Journal of Computer Assisted Learning</w:t>
      </w:r>
      <w:r w:rsidRPr="00772B72">
        <w:rPr>
          <w:rFonts w:ascii="Calibri" w:hAnsi="Calibri" w:cs="Arial"/>
          <w:sz w:val="22"/>
          <w:szCs w:val="22"/>
        </w:rPr>
        <w:t>, </w:t>
      </w:r>
      <w:r w:rsidRPr="00772B72">
        <w:rPr>
          <w:rFonts w:ascii="Calibri" w:hAnsi="Calibri" w:cs="Arial"/>
          <w:i/>
          <w:iCs/>
          <w:sz w:val="22"/>
          <w:szCs w:val="22"/>
        </w:rPr>
        <w:t>21</w:t>
      </w:r>
      <w:r w:rsidRPr="00772B72">
        <w:rPr>
          <w:rFonts w:ascii="Calibri" w:hAnsi="Calibri" w:cs="Arial"/>
          <w:sz w:val="22"/>
          <w:szCs w:val="22"/>
        </w:rPr>
        <w:t>(2). </w:t>
      </w:r>
    </w:p>
    <w:p w14:paraId="1D4BED59" w14:textId="77777777" w:rsidR="000D5CE6" w:rsidRPr="00772B72" w:rsidRDefault="000D5CE6" w:rsidP="00772B72">
      <w:pPr>
        <w:textAlignment w:val="baseline"/>
        <w:rPr>
          <w:rFonts w:ascii="Arial" w:hAnsi="Arial" w:cs="Arial"/>
          <w:sz w:val="18"/>
          <w:szCs w:val="18"/>
        </w:rPr>
      </w:pPr>
    </w:p>
    <w:p w14:paraId="30A61076" w14:textId="4D58FF0D" w:rsidR="00772B72" w:rsidRPr="00772B72" w:rsidRDefault="000D5CE6" w:rsidP="00772B72">
      <w:pPr>
        <w:textAlignment w:val="baseline"/>
        <w:rPr>
          <w:rFonts w:ascii="Arial" w:hAnsi="Arial" w:cs="Arial"/>
          <w:sz w:val="18"/>
          <w:szCs w:val="18"/>
        </w:rPr>
      </w:pPr>
      <w:r>
        <w:rPr>
          <w:rFonts w:ascii="Calibri" w:hAnsi="Calibri" w:cs="Arial"/>
          <w:color w:val="000000"/>
          <w:sz w:val="22"/>
          <w:szCs w:val="22"/>
          <w:shd w:val="clear" w:color="auto" w:fill="FFFFFF"/>
        </w:rPr>
        <w:t>Stahl, R. J., 1990</w:t>
      </w:r>
      <w:r w:rsidR="00772B72" w:rsidRPr="00772B72">
        <w:rPr>
          <w:rFonts w:ascii="Calibri" w:hAnsi="Calibri" w:cs="Arial"/>
          <w:color w:val="000000"/>
          <w:sz w:val="22"/>
          <w:szCs w:val="22"/>
          <w:shd w:val="clear" w:color="auto" w:fill="FFFFFF"/>
        </w:rPr>
        <w:t>. Using “think time” behaviours to promote </w:t>
      </w:r>
      <w:r w:rsidRPr="00772B72">
        <w:rPr>
          <w:rFonts w:ascii="Calibri" w:hAnsi="Calibri" w:cs="Arial"/>
          <w:color w:val="000000"/>
          <w:sz w:val="22"/>
          <w:szCs w:val="22"/>
          <w:shd w:val="clear" w:color="auto" w:fill="FFFFFF"/>
        </w:rPr>
        <w:t>students’</w:t>
      </w:r>
      <w:r w:rsidR="00772B72" w:rsidRPr="00772B72">
        <w:rPr>
          <w:rFonts w:ascii="Calibri" w:hAnsi="Calibri" w:cs="Arial"/>
          <w:color w:val="000000"/>
          <w:sz w:val="22"/>
          <w:szCs w:val="22"/>
          <w:shd w:val="clear" w:color="auto" w:fill="FFFFFF"/>
        </w:rPr>
        <w:t> information processing, learning, and on-task participation, an instructional module. </w:t>
      </w:r>
      <w:proofErr w:type="spellStart"/>
      <w:r w:rsidR="00772B72" w:rsidRPr="00772B72">
        <w:rPr>
          <w:rFonts w:ascii="Calibri" w:hAnsi="Calibri" w:cs="Arial"/>
          <w:color w:val="000000"/>
          <w:sz w:val="22"/>
          <w:szCs w:val="22"/>
          <w:shd w:val="clear" w:color="auto" w:fill="FFFFFF"/>
        </w:rPr>
        <w:t>Tmpe</w:t>
      </w:r>
      <w:proofErr w:type="spellEnd"/>
      <w:r w:rsidR="00772B72" w:rsidRPr="00772B72">
        <w:rPr>
          <w:rFonts w:ascii="Calibri" w:hAnsi="Calibri" w:cs="Arial"/>
          <w:color w:val="000000"/>
          <w:sz w:val="22"/>
          <w:szCs w:val="22"/>
          <w:shd w:val="clear" w:color="auto" w:fill="FFFFFF"/>
        </w:rPr>
        <w:t>, AZ: Arizona State </w:t>
      </w:r>
      <w:proofErr w:type="spellStart"/>
      <w:r w:rsidR="00772B72" w:rsidRPr="00772B72">
        <w:rPr>
          <w:rFonts w:ascii="Calibri" w:hAnsi="Calibri" w:cs="Arial"/>
          <w:color w:val="000000"/>
          <w:sz w:val="22"/>
          <w:szCs w:val="22"/>
          <w:shd w:val="clear" w:color="auto" w:fill="FFFFFF"/>
        </w:rPr>
        <w:t>Univeristy</w:t>
      </w:r>
      <w:proofErr w:type="spellEnd"/>
      <w:r w:rsidR="00772B72" w:rsidRPr="00772B72">
        <w:rPr>
          <w:rFonts w:ascii="Arial" w:hAnsi="Arial" w:cs="Arial"/>
          <w:color w:val="000000"/>
          <w:sz w:val="22"/>
          <w:szCs w:val="22"/>
          <w:shd w:val="clear" w:color="auto" w:fill="FFFFFF"/>
        </w:rPr>
        <w:t>.</w:t>
      </w:r>
      <w:r w:rsidR="00772B72" w:rsidRPr="00772B72">
        <w:rPr>
          <w:rFonts w:ascii="Arial" w:hAnsi="Arial" w:cs="Arial"/>
          <w:sz w:val="22"/>
          <w:szCs w:val="22"/>
        </w:rPr>
        <w:t> </w:t>
      </w:r>
    </w:p>
    <w:p w14:paraId="6DD25B07" w14:textId="77777777"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 </w:t>
      </w:r>
    </w:p>
    <w:p w14:paraId="39FB056B" w14:textId="77777777"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Stiggins</w:t>
      </w:r>
      <w:proofErr w:type="spellEnd"/>
      <w:r w:rsidRPr="00772B72">
        <w:rPr>
          <w:rFonts w:ascii="Calibri" w:hAnsi="Calibri" w:cs="Arial"/>
          <w:sz w:val="22"/>
          <w:szCs w:val="22"/>
        </w:rPr>
        <w:t>, R.J., 2002. Assessment crisis: The absence of assessment for learning. </w:t>
      </w:r>
      <w:r w:rsidRPr="00772B72">
        <w:rPr>
          <w:rFonts w:ascii="Calibri" w:hAnsi="Calibri" w:cs="Arial"/>
          <w:i/>
          <w:iCs/>
          <w:sz w:val="22"/>
          <w:szCs w:val="22"/>
        </w:rPr>
        <w:t>Phi Delta </w:t>
      </w:r>
      <w:proofErr w:type="spellStart"/>
      <w:r w:rsidRPr="00772B72">
        <w:rPr>
          <w:rFonts w:ascii="Calibri" w:hAnsi="Calibri" w:cs="Arial"/>
          <w:i/>
          <w:iCs/>
          <w:sz w:val="22"/>
          <w:szCs w:val="22"/>
        </w:rPr>
        <w:t>Kappan</w:t>
      </w:r>
      <w:proofErr w:type="spellEnd"/>
      <w:r w:rsidRPr="00772B72">
        <w:rPr>
          <w:rFonts w:ascii="Calibri" w:hAnsi="Calibri" w:cs="Arial"/>
          <w:sz w:val="22"/>
          <w:szCs w:val="22"/>
        </w:rPr>
        <w:t>, </w:t>
      </w:r>
      <w:r w:rsidRPr="00772B72">
        <w:rPr>
          <w:rFonts w:ascii="Calibri" w:hAnsi="Calibri" w:cs="Arial"/>
          <w:i/>
          <w:iCs/>
          <w:sz w:val="22"/>
          <w:szCs w:val="22"/>
        </w:rPr>
        <w:t>83</w:t>
      </w:r>
      <w:r w:rsidRPr="00772B72">
        <w:rPr>
          <w:rFonts w:ascii="Calibri" w:hAnsi="Calibri" w:cs="Arial"/>
          <w:sz w:val="22"/>
          <w:szCs w:val="22"/>
        </w:rPr>
        <w:t>(10). </w:t>
      </w:r>
    </w:p>
    <w:p w14:paraId="6A3D7029" w14:textId="77777777" w:rsidR="000D5CE6" w:rsidRPr="00772B72" w:rsidRDefault="000D5CE6" w:rsidP="00772B72">
      <w:pPr>
        <w:textAlignment w:val="baseline"/>
        <w:rPr>
          <w:rFonts w:ascii="Arial" w:hAnsi="Arial" w:cs="Arial"/>
          <w:sz w:val="18"/>
          <w:szCs w:val="18"/>
        </w:rPr>
      </w:pPr>
    </w:p>
    <w:p w14:paraId="6E0BA6AC"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Stobart, G., 2006. Influencing classroom assessment. </w:t>
      </w:r>
    </w:p>
    <w:p w14:paraId="5204B7F3" w14:textId="77777777" w:rsidR="000D5CE6" w:rsidRPr="00772B72" w:rsidRDefault="000D5CE6" w:rsidP="00772B72">
      <w:pPr>
        <w:textAlignment w:val="baseline"/>
        <w:rPr>
          <w:rFonts w:ascii="Arial" w:hAnsi="Arial" w:cs="Arial"/>
          <w:sz w:val="18"/>
          <w:szCs w:val="18"/>
        </w:rPr>
      </w:pPr>
    </w:p>
    <w:p w14:paraId="5005F54B"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Tomlinson, C.A. and Moon, T.R., 2013. </w:t>
      </w:r>
      <w:r w:rsidRPr="00772B72">
        <w:rPr>
          <w:rFonts w:ascii="Calibri" w:hAnsi="Calibri" w:cs="Arial"/>
          <w:i/>
          <w:iCs/>
          <w:sz w:val="22"/>
          <w:szCs w:val="22"/>
        </w:rPr>
        <w:t>Assessment and student success in a differentiated classroom</w:t>
      </w:r>
      <w:r w:rsidRPr="00772B72">
        <w:rPr>
          <w:rFonts w:ascii="Calibri" w:hAnsi="Calibri" w:cs="Arial"/>
          <w:sz w:val="22"/>
          <w:szCs w:val="22"/>
        </w:rPr>
        <w:t>. ASCD. </w:t>
      </w:r>
    </w:p>
    <w:p w14:paraId="1A11C410" w14:textId="77777777" w:rsidR="000D5CE6" w:rsidRPr="00772B72" w:rsidRDefault="000D5CE6" w:rsidP="00772B72">
      <w:pPr>
        <w:textAlignment w:val="baseline"/>
        <w:rPr>
          <w:rFonts w:ascii="Arial" w:hAnsi="Arial" w:cs="Arial"/>
          <w:sz w:val="18"/>
          <w:szCs w:val="18"/>
        </w:rPr>
      </w:pPr>
    </w:p>
    <w:p w14:paraId="0FA00BCD" w14:textId="04EDEE8C" w:rsidR="00772B72" w:rsidRDefault="000D5CE6" w:rsidP="00772B72">
      <w:pPr>
        <w:textAlignment w:val="baseline"/>
        <w:rPr>
          <w:rFonts w:ascii="Calibri" w:hAnsi="Calibri" w:cs="Arial"/>
          <w:sz w:val="22"/>
          <w:szCs w:val="22"/>
        </w:rPr>
      </w:pPr>
      <w:r>
        <w:rPr>
          <w:rFonts w:ascii="Calibri" w:hAnsi="Calibri" w:cs="Arial"/>
          <w:sz w:val="22"/>
          <w:szCs w:val="22"/>
        </w:rPr>
        <w:t>Welsh Government. 2018</w:t>
      </w:r>
      <w:r w:rsidR="00772B72" w:rsidRPr="00772B72">
        <w:rPr>
          <w:rFonts w:ascii="Calibri" w:hAnsi="Calibri" w:cs="Arial"/>
          <w:sz w:val="22"/>
          <w:szCs w:val="22"/>
        </w:rPr>
        <w:t>. </w:t>
      </w:r>
      <w:r w:rsidR="00772B72" w:rsidRPr="00772B72">
        <w:rPr>
          <w:rFonts w:ascii="Calibri" w:hAnsi="Calibri" w:cs="Arial"/>
          <w:i/>
          <w:iCs/>
          <w:sz w:val="22"/>
          <w:szCs w:val="22"/>
        </w:rPr>
        <w:t>My Local school</w:t>
      </w:r>
      <w:r w:rsidR="00772B72" w:rsidRPr="00772B72">
        <w:rPr>
          <w:rFonts w:ascii="Calibri" w:hAnsi="Calibri" w:cs="Arial"/>
          <w:sz w:val="22"/>
          <w:szCs w:val="22"/>
        </w:rPr>
        <w:t>. [Online]. Available from: http://mylocalschool.wales.gov.uk/School/6704032?lang=en [Accessed 23 Feb. 2018] </w:t>
      </w:r>
    </w:p>
    <w:p w14:paraId="36E52BAE" w14:textId="77777777" w:rsidR="000D5CE6" w:rsidRPr="00772B72" w:rsidRDefault="000D5CE6" w:rsidP="00772B72">
      <w:pPr>
        <w:textAlignment w:val="baseline"/>
        <w:rPr>
          <w:rFonts w:ascii="Arial" w:hAnsi="Arial" w:cs="Arial"/>
          <w:sz w:val="18"/>
          <w:szCs w:val="18"/>
        </w:rPr>
      </w:pPr>
    </w:p>
    <w:p w14:paraId="09F16AE1" w14:textId="3DF2E4ED"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Wiliam</w:t>
      </w:r>
      <w:proofErr w:type="spellEnd"/>
      <w:r w:rsidR="000D5CE6">
        <w:rPr>
          <w:rFonts w:ascii="Calibri" w:hAnsi="Calibri" w:cs="Arial"/>
          <w:sz w:val="22"/>
          <w:szCs w:val="22"/>
        </w:rPr>
        <w:t>, D. 2008</w:t>
      </w:r>
      <w:r w:rsidRPr="00772B72">
        <w:rPr>
          <w:rFonts w:ascii="Calibri" w:hAnsi="Calibri" w:cs="Arial"/>
          <w:sz w:val="22"/>
          <w:szCs w:val="22"/>
        </w:rPr>
        <w:t>. Quality in assessment. In S. </w:t>
      </w:r>
      <w:proofErr w:type="spellStart"/>
      <w:r w:rsidRPr="00772B72">
        <w:rPr>
          <w:rFonts w:ascii="Calibri" w:hAnsi="Calibri" w:cs="Arial"/>
          <w:sz w:val="22"/>
          <w:szCs w:val="22"/>
        </w:rPr>
        <w:t>Swaffield</w:t>
      </w:r>
      <w:proofErr w:type="spellEnd"/>
      <w:r w:rsidRPr="00772B72">
        <w:rPr>
          <w:rFonts w:ascii="Calibri" w:hAnsi="Calibri" w:cs="Arial"/>
          <w:sz w:val="22"/>
          <w:szCs w:val="22"/>
        </w:rPr>
        <w:t> (Ed.), </w:t>
      </w:r>
      <w:r w:rsidRPr="00772B72">
        <w:rPr>
          <w:rFonts w:ascii="Calibri" w:hAnsi="Calibri" w:cs="Arial"/>
          <w:i/>
          <w:iCs/>
          <w:sz w:val="22"/>
          <w:szCs w:val="22"/>
        </w:rPr>
        <w:t>Unlocking Assessment: Understanding for reflection and application</w:t>
      </w:r>
      <w:r w:rsidRPr="00772B72">
        <w:rPr>
          <w:rFonts w:ascii="Calibri" w:hAnsi="Calibri" w:cs="Arial"/>
          <w:sz w:val="22"/>
          <w:szCs w:val="22"/>
        </w:rPr>
        <w:t>. New York, NY: Routledge</w:t>
      </w:r>
      <w:r w:rsidR="000D5CE6">
        <w:rPr>
          <w:rFonts w:ascii="Calibri" w:hAnsi="Calibri" w:cs="Arial"/>
          <w:sz w:val="22"/>
          <w:szCs w:val="22"/>
        </w:rPr>
        <w:t>.</w:t>
      </w:r>
    </w:p>
    <w:p w14:paraId="3C5903C8" w14:textId="77777777" w:rsidR="000D5CE6" w:rsidRPr="00772B72" w:rsidRDefault="000D5CE6" w:rsidP="00772B72">
      <w:pPr>
        <w:textAlignment w:val="baseline"/>
        <w:rPr>
          <w:rFonts w:ascii="Arial" w:hAnsi="Arial" w:cs="Arial"/>
          <w:sz w:val="18"/>
          <w:szCs w:val="18"/>
        </w:rPr>
      </w:pPr>
    </w:p>
    <w:p w14:paraId="0D9DDE15" w14:textId="71837558"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Wiliam</w:t>
      </w:r>
      <w:proofErr w:type="spellEnd"/>
      <w:r w:rsidR="000D5CE6">
        <w:rPr>
          <w:rFonts w:ascii="Calibri" w:hAnsi="Calibri" w:cs="Arial"/>
          <w:sz w:val="22"/>
          <w:szCs w:val="22"/>
        </w:rPr>
        <w:t>, D.</w:t>
      </w:r>
      <w:r w:rsidRPr="00772B72">
        <w:rPr>
          <w:rFonts w:ascii="Calibri" w:hAnsi="Calibri" w:cs="Arial"/>
          <w:sz w:val="22"/>
          <w:szCs w:val="22"/>
        </w:rPr>
        <w:t xml:space="preserve"> 2013. Assessment: The bridge between teaching and learning. </w:t>
      </w:r>
      <w:r w:rsidRPr="00772B72">
        <w:rPr>
          <w:rFonts w:ascii="Calibri" w:hAnsi="Calibri" w:cs="Arial"/>
          <w:i/>
          <w:iCs/>
          <w:sz w:val="22"/>
          <w:szCs w:val="22"/>
        </w:rPr>
        <w:t>Voices from the Middle</w:t>
      </w:r>
      <w:r w:rsidRPr="00772B72">
        <w:rPr>
          <w:rFonts w:ascii="Calibri" w:hAnsi="Calibri" w:cs="Arial"/>
          <w:sz w:val="22"/>
          <w:szCs w:val="22"/>
        </w:rPr>
        <w:t>, </w:t>
      </w:r>
      <w:r w:rsidRPr="00772B72">
        <w:rPr>
          <w:rFonts w:ascii="Calibri" w:hAnsi="Calibri" w:cs="Arial"/>
          <w:i/>
          <w:iCs/>
          <w:sz w:val="22"/>
          <w:szCs w:val="22"/>
        </w:rPr>
        <w:t>21</w:t>
      </w:r>
      <w:r w:rsidRPr="00772B72">
        <w:rPr>
          <w:rFonts w:ascii="Calibri" w:hAnsi="Calibri" w:cs="Arial"/>
          <w:sz w:val="22"/>
          <w:szCs w:val="22"/>
        </w:rPr>
        <w:t>(2). </w:t>
      </w:r>
    </w:p>
    <w:p w14:paraId="2A4526B3" w14:textId="77777777" w:rsidR="000D5CE6" w:rsidRPr="00772B72" w:rsidRDefault="000D5CE6" w:rsidP="00772B72">
      <w:pPr>
        <w:textAlignment w:val="baseline"/>
        <w:rPr>
          <w:rFonts w:ascii="Arial" w:hAnsi="Arial" w:cs="Arial"/>
          <w:sz w:val="18"/>
          <w:szCs w:val="18"/>
        </w:rPr>
      </w:pPr>
    </w:p>
    <w:p w14:paraId="7C5D82C6" w14:textId="18F4B56E" w:rsidR="00772B72" w:rsidRDefault="00772B72" w:rsidP="00772B72">
      <w:pPr>
        <w:textAlignment w:val="baseline"/>
        <w:rPr>
          <w:rFonts w:ascii="Calibri" w:hAnsi="Calibri" w:cs="Arial"/>
          <w:sz w:val="22"/>
          <w:szCs w:val="22"/>
        </w:rPr>
      </w:pPr>
      <w:proofErr w:type="spellStart"/>
      <w:r w:rsidRPr="00772B72">
        <w:rPr>
          <w:rFonts w:ascii="Calibri" w:hAnsi="Calibri" w:cs="Arial"/>
          <w:sz w:val="22"/>
          <w:szCs w:val="22"/>
        </w:rPr>
        <w:t>Wiliam</w:t>
      </w:r>
      <w:proofErr w:type="spellEnd"/>
      <w:r w:rsidR="000D5CE6">
        <w:rPr>
          <w:rFonts w:ascii="Calibri" w:hAnsi="Calibri" w:cs="Arial"/>
          <w:sz w:val="22"/>
          <w:szCs w:val="22"/>
        </w:rPr>
        <w:t>, D. 2014</w:t>
      </w:r>
      <w:r w:rsidRPr="00772B72">
        <w:rPr>
          <w:rFonts w:ascii="Calibri" w:hAnsi="Calibri" w:cs="Arial"/>
          <w:sz w:val="22"/>
          <w:szCs w:val="22"/>
        </w:rPr>
        <w:t>. The right questions, the right way. </w:t>
      </w:r>
      <w:r w:rsidRPr="00772B72">
        <w:rPr>
          <w:rFonts w:ascii="Calibri" w:hAnsi="Calibri" w:cs="Arial"/>
          <w:i/>
          <w:iCs/>
          <w:sz w:val="22"/>
          <w:szCs w:val="22"/>
        </w:rPr>
        <w:t>Educational Leadership</w:t>
      </w:r>
      <w:r w:rsidRPr="00772B72">
        <w:rPr>
          <w:rFonts w:ascii="Calibri" w:hAnsi="Calibri" w:cs="Arial"/>
          <w:sz w:val="22"/>
          <w:szCs w:val="22"/>
        </w:rPr>
        <w:t>,</w:t>
      </w:r>
      <w:r w:rsidRPr="00772B72">
        <w:rPr>
          <w:rFonts w:ascii="Calibri" w:hAnsi="Calibri" w:cs="Arial"/>
          <w:i/>
          <w:iCs/>
          <w:sz w:val="22"/>
          <w:szCs w:val="22"/>
        </w:rPr>
        <w:t> 71</w:t>
      </w:r>
      <w:r w:rsidRPr="00772B72">
        <w:rPr>
          <w:rFonts w:ascii="Calibri" w:hAnsi="Calibri" w:cs="Arial"/>
          <w:sz w:val="22"/>
          <w:szCs w:val="22"/>
        </w:rPr>
        <w:t>(6). </w:t>
      </w:r>
    </w:p>
    <w:p w14:paraId="39EA6942" w14:textId="77777777" w:rsidR="000D5CE6" w:rsidRPr="00772B72" w:rsidRDefault="000D5CE6" w:rsidP="00772B72">
      <w:pPr>
        <w:textAlignment w:val="baseline"/>
        <w:rPr>
          <w:rFonts w:ascii="Arial" w:hAnsi="Arial" w:cs="Arial"/>
          <w:sz w:val="18"/>
          <w:szCs w:val="18"/>
        </w:rPr>
      </w:pPr>
    </w:p>
    <w:p w14:paraId="2A6EDA25"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Young, E., 2005. Assessment for Learning: Embedding and extending. </w:t>
      </w:r>
      <w:r w:rsidRPr="00772B72">
        <w:rPr>
          <w:rFonts w:ascii="Calibri" w:hAnsi="Calibri" w:cs="Arial"/>
          <w:i/>
          <w:iCs/>
          <w:sz w:val="22"/>
          <w:szCs w:val="22"/>
        </w:rPr>
        <w:t xml:space="preserve">Retrieved </w:t>
      </w:r>
      <w:proofErr w:type="gramStart"/>
      <w:r w:rsidRPr="00772B72">
        <w:rPr>
          <w:rFonts w:ascii="Calibri" w:hAnsi="Calibri" w:cs="Arial"/>
          <w:i/>
          <w:iCs/>
          <w:sz w:val="22"/>
          <w:szCs w:val="22"/>
        </w:rPr>
        <w:t>May</w:t>
      </w:r>
      <w:r w:rsidRPr="00772B72">
        <w:rPr>
          <w:rFonts w:ascii="Calibri" w:hAnsi="Calibri" w:cs="Arial"/>
          <w:sz w:val="22"/>
          <w:szCs w:val="22"/>
        </w:rPr>
        <w:t>,</w:t>
      </w:r>
      <w:proofErr w:type="gramEnd"/>
      <w:r w:rsidRPr="00772B72">
        <w:rPr>
          <w:rFonts w:ascii="Calibri" w:hAnsi="Calibri" w:cs="Arial"/>
          <w:sz w:val="22"/>
          <w:szCs w:val="22"/>
        </w:rPr>
        <w:t> </w:t>
      </w:r>
      <w:r w:rsidRPr="00772B72">
        <w:rPr>
          <w:rFonts w:ascii="Calibri" w:hAnsi="Calibri" w:cs="Arial"/>
          <w:i/>
          <w:iCs/>
          <w:sz w:val="22"/>
          <w:szCs w:val="22"/>
        </w:rPr>
        <w:t>20</w:t>
      </w:r>
      <w:r w:rsidRPr="00772B72">
        <w:rPr>
          <w:rFonts w:ascii="Calibri" w:hAnsi="Calibri" w:cs="Arial"/>
          <w:sz w:val="22"/>
          <w:szCs w:val="22"/>
        </w:rPr>
        <w:t>. </w:t>
      </w:r>
    </w:p>
    <w:p w14:paraId="5B3995E5" w14:textId="77777777" w:rsidR="000D5CE6" w:rsidRPr="00772B72" w:rsidRDefault="000D5CE6" w:rsidP="00772B72">
      <w:pPr>
        <w:textAlignment w:val="baseline"/>
        <w:rPr>
          <w:rFonts w:ascii="Arial" w:hAnsi="Arial" w:cs="Arial"/>
          <w:sz w:val="18"/>
          <w:szCs w:val="18"/>
        </w:rPr>
      </w:pPr>
    </w:p>
    <w:p w14:paraId="79B38CCA" w14:textId="77777777" w:rsidR="00772B72" w:rsidRDefault="00772B72" w:rsidP="00772B72">
      <w:pPr>
        <w:textAlignment w:val="baseline"/>
        <w:rPr>
          <w:rFonts w:ascii="Calibri" w:hAnsi="Calibri" w:cs="Arial"/>
          <w:sz w:val="22"/>
          <w:szCs w:val="22"/>
        </w:rPr>
      </w:pPr>
      <w:r w:rsidRPr="00772B72">
        <w:rPr>
          <w:rFonts w:ascii="Calibri" w:hAnsi="Calibri" w:cs="Arial"/>
          <w:sz w:val="22"/>
          <w:szCs w:val="22"/>
        </w:rPr>
        <w:t>Zohar, A. and Dori, Y.J., 2003. Higher order thinking skills and low-achieving students: Are they mutually </w:t>
      </w:r>
      <w:proofErr w:type="gramStart"/>
      <w:r w:rsidRPr="00772B72">
        <w:rPr>
          <w:rFonts w:ascii="Calibri" w:hAnsi="Calibri" w:cs="Arial"/>
          <w:sz w:val="22"/>
          <w:szCs w:val="22"/>
        </w:rPr>
        <w:t>exclusive?.</w:t>
      </w:r>
      <w:proofErr w:type="gramEnd"/>
      <w:r w:rsidRPr="00772B72">
        <w:rPr>
          <w:rFonts w:ascii="Calibri" w:hAnsi="Calibri" w:cs="Arial"/>
          <w:sz w:val="22"/>
          <w:szCs w:val="22"/>
        </w:rPr>
        <w:t> </w:t>
      </w:r>
      <w:r w:rsidRPr="00772B72">
        <w:rPr>
          <w:rFonts w:ascii="Calibri" w:hAnsi="Calibri" w:cs="Arial"/>
          <w:i/>
          <w:iCs/>
          <w:sz w:val="22"/>
          <w:szCs w:val="22"/>
        </w:rPr>
        <w:t>The journal of the learning sciences</w:t>
      </w:r>
      <w:r w:rsidRPr="00772B72">
        <w:rPr>
          <w:rFonts w:ascii="Calibri" w:hAnsi="Calibri" w:cs="Arial"/>
          <w:sz w:val="22"/>
          <w:szCs w:val="22"/>
        </w:rPr>
        <w:t>, </w:t>
      </w:r>
      <w:r w:rsidRPr="00772B72">
        <w:rPr>
          <w:rFonts w:ascii="Calibri" w:hAnsi="Calibri" w:cs="Arial"/>
          <w:i/>
          <w:iCs/>
          <w:sz w:val="22"/>
          <w:szCs w:val="22"/>
        </w:rPr>
        <w:t>12</w:t>
      </w:r>
      <w:r w:rsidRPr="00772B72">
        <w:rPr>
          <w:rFonts w:ascii="Calibri" w:hAnsi="Calibri" w:cs="Arial"/>
          <w:sz w:val="22"/>
          <w:szCs w:val="22"/>
        </w:rPr>
        <w:t>(2). </w:t>
      </w:r>
    </w:p>
    <w:p w14:paraId="4B3865CE" w14:textId="77777777" w:rsidR="000D5CE6" w:rsidRPr="00772B72" w:rsidRDefault="000D5CE6" w:rsidP="00772B72">
      <w:pPr>
        <w:textAlignment w:val="baseline"/>
        <w:rPr>
          <w:rFonts w:ascii="Arial" w:hAnsi="Arial" w:cs="Arial"/>
          <w:sz w:val="18"/>
          <w:szCs w:val="18"/>
        </w:rPr>
      </w:pPr>
    </w:p>
    <w:p w14:paraId="782D08EE" w14:textId="77777777" w:rsidR="00772B72" w:rsidRPr="00772B72" w:rsidRDefault="00772B72" w:rsidP="00772B72">
      <w:pPr>
        <w:textAlignment w:val="baseline"/>
        <w:rPr>
          <w:rFonts w:ascii="Arial" w:hAnsi="Arial" w:cs="Arial"/>
          <w:sz w:val="18"/>
          <w:szCs w:val="18"/>
        </w:rPr>
      </w:pPr>
      <w:r w:rsidRPr="00772B72">
        <w:rPr>
          <w:rFonts w:ascii="Calibri" w:hAnsi="Calibri" w:cs="Arial"/>
          <w:sz w:val="22"/>
          <w:szCs w:val="22"/>
        </w:rPr>
        <w:t>Zohar, A., </w:t>
      </w:r>
      <w:proofErr w:type="spellStart"/>
      <w:r w:rsidRPr="00772B72">
        <w:rPr>
          <w:rFonts w:ascii="Calibri" w:hAnsi="Calibri" w:cs="Arial"/>
          <w:sz w:val="22"/>
          <w:szCs w:val="22"/>
        </w:rPr>
        <w:t>Degani</w:t>
      </w:r>
      <w:proofErr w:type="spellEnd"/>
      <w:r w:rsidRPr="00772B72">
        <w:rPr>
          <w:rFonts w:ascii="Calibri" w:hAnsi="Calibri" w:cs="Arial"/>
          <w:sz w:val="22"/>
          <w:szCs w:val="22"/>
        </w:rPr>
        <w:t>, A. and </w:t>
      </w:r>
      <w:proofErr w:type="spellStart"/>
      <w:r w:rsidRPr="00772B72">
        <w:rPr>
          <w:rFonts w:ascii="Calibri" w:hAnsi="Calibri" w:cs="Arial"/>
          <w:sz w:val="22"/>
          <w:szCs w:val="22"/>
        </w:rPr>
        <w:t>Vaaknin</w:t>
      </w:r>
      <w:proofErr w:type="spellEnd"/>
      <w:r w:rsidRPr="00772B72">
        <w:rPr>
          <w:rFonts w:ascii="Calibri" w:hAnsi="Calibri" w:cs="Arial"/>
          <w:sz w:val="22"/>
          <w:szCs w:val="22"/>
        </w:rPr>
        <w:t>, E., 2001. Teachers’ beliefs about low-achieving students and higher order thinking. </w:t>
      </w:r>
      <w:r w:rsidRPr="00772B72">
        <w:rPr>
          <w:rFonts w:ascii="Calibri" w:hAnsi="Calibri" w:cs="Arial"/>
          <w:i/>
          <w:iCs/>
          <w:sz w:val="22"/>
          <w:szCs w:val="22"/>
        </w:rPr>
        <w:t>Teaching and Teacher Education</w:t>
      </w:r>
      <w:r w:rsidRPr="00772B72">
        <w:rPr>
          <w:rFonts w:ascii="Calibri" w:hAnsi="Calibri" w:cs="Arial"/>
          <w:sz w:val="22"/>
          <w:szCs w:val="22"/>
        </w:rPr>
        <w:t>, </w:t>
      </w:r>
      <w:r w:rsidRPr="00772B72">
        <w:rPr>
          <w:rFonts w:ascii="Calibri" w:hAnsi="Calibri" w:cs="Arial"/>
          <w:i/>
          <w:iCs/>
          <w:sz w:val="22"/>
          <w:szCs w:val="22"/>
        </w:rPr>
        <w:t>17</w:t>
      </w:r>
      <w:r w:rsidRPr="00772B72">
        <w:rPr>
          <w:rFonts w:ascii="Calibri" w:hAnsi="Calibri" w:cs="Arial"/>
          <w:sz w:val="22"/>
          <w:szCs w:val="22"/>
        </w:rPr>
        <w:t>(4). </w:t>
      </w:r>
    </w:p>
    <w:p w14:paraId="3E9EB375" w14:textId="77777777" w:rsidR="005F2609" w:rsidRDefault="005F2609" w:rsidP="00DB116D">
      <w:pPr>
        <w:rPr>
          <w:rFonts w:ascii="Calibri" w:hAnsi="Calibri" w:cs="Calibri"/>
          <w:b/>
        </w:rPr>
      </w:pPr>
    </w:p>
    <w:sectPr w:rsidR="005F2609" w:rsidSect="008A2003">
      <w:footerReference w:type="default" r:id="rId13"/>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52A5A9" w14:textId="77777777" w:rsidR="004E5B2D" w:rsidRDefault="004E5B2D">
      <w:r>
        <w:separator/>
      </w:r>
    </w:p>
  </w:endnote>
  <w:endnote w:type="continuationSeparator" w:id="0">
    <w:p w14:paraId="0A53D59A" w14:textId="77777777" w:rsidR="004E5B2D" w:rsidRDefault="004E5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00500000000000000"/>
    <w:charset w:val="00"/>
    <w:family w:val="roman"/>
    <w:pitch w:val="variable"/>
    <w:sig w:usb0="00000003" w:usb1="00000000" w:usb2="00000000" w:usb3="00000000" w:csb0="00000001" w:csb1="00000000"/>
  </w:font>
  <w:font w:name="ＭＳ ゴシック">
    <w:charset w:val="80"/>
    <w:family w:val="swiss"/>
    <w:pitch w:val="fixed"/>
    <w:sig w:usb0="E00002FF" w:usb1="6AC7FDFB" w:usb2="08000012" w:usb3="00000000" w:csb0="0002009F" w:csb1="00000000"/>
  </w:font>
  <w:font w:name="ＭＳ 明朝">
    <w:charset w:val="80"/>
    <w:family w:val="roma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090455"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71AC44" w14:textId="77777777" w:rsidR="004E5B2D" w:rsidRDefault="004E5B2D">
      <w:r>
        <w:separator/>
      </w:r>
    </w:p>
  </w:footnote>
  <w:footnote w:type="continuationSeparator" w:id="0">
    <w:p w14:paraId="4BC01C21" w14:textId="77777777" w:rsidR="004E5B2D" w:rsidRDefault="004E5B2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9F474DC"/>
    <w:multiLevelType w:val="hybridMultilevel"/>
    <w:tmpl w:val="E580E51A"/>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C545DC"/>
    <w:multiLevelType w:val="hybridMultilevel"/>
    <w:tmpl w:val="9B68739C"/>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2D136DB0"/>
    <w:multiLevelType w:val="hybridMultilevel"/>
    <w:tmpl w:val="98BE3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EEE2B78"/>
    <w:multiLevelType w:val="hybridMultilevel"/>
    <w:tmpl w:val="9AFC3802"/>
    <w:lvl w:ilvl="0" w:tplc="C834F166">
      <w:start w:val="1"/>
      <w:numFmt w:val="decimal"/>
      <w:lvlText w:val="%1."/>
      <w:lvlJc w:val="left"/>
      <w:pPr>
        <w:ind w:left="108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D3F513B"/>
    <w:multiLevelType w:val="hybridMultilevel"/>
    <w:tmpl w:val="483ED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0B64344"/>
    <w:multiLevelType w:val="hybridMultilevel"/>
    <w:tmpl w:val="5DD64F06"/>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B4A5414"/>
    <w:multiLevelType w:val="hybridMultilevel"/>
    <w:tmpl w:val="9C0C27EA"/>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7E990A48"/>
    <w:multiLevelType w:val="hybridMultilevel"/>
    <w:tmpl w:val="383CA6A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2"/>
  </w:num>
  <w:num w:numId="2">
    <w:abstractNumId w:val="13"/>
  </w:num>
  <w:num w:numId="3">
    <w:abstractNumId w:val="22"/>
  </w:num>
  <w:num w:numId="4">
    <w:abstractNumId w:val="17"/>
  </w:num>
  <w:num w:numId="5">
    <w:abstractNumId w:val="11"/>
  </w:num>
  <w:num w:numId="6">
    <w:abstractNumId w:val="21"/>
  </w:num>
  <w:num w:numId="7">
    <w:abstractNumId w:val="3"/>
  </w:num>
  <w:num w:numId="8">
    <w:abstractNumId w:val="19"/>
  </w:num>
  <w:num w:numId="9">
    <w:abstractNumId w:val="14"/>
  </w:num>
  <w:num w:numId="10">
    <w:abstractNumId w:val="5"/>
  </w:num>
  <w:num w:numId="11">
    <w:abstractNumId w:val="6"/>
  </w:num>
  <w:num w:numId="12">
    <w:abstractNumId w:val="12"/>
  </w:num>
  <w:num w:numId="13">
    <w:abstractNumId w:val="18"/>
  </w:num>
  <w:num w:numId="14">
    <w:abstractNumId w:val="4"/>
  </w:num>
  <w:num w:numId="15">
    <w:abstractNumId w:val="0"/>
  </w:num>
  <w:num w:numId="16">
    <w:abstractNumId w:val="8"/>
  </w:num>
  <w:num w:numId="17">
    <w:abstractNumId w:val="15"/>
  </w:num>
  <w:num w:numId="18">
    <w:abstractNumId w:val="16"/>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23"/>
  </w:num>
  <w:num w:numId="22">
    <w:abstractNumId w:val="7"/>
  </w:num>
  <w:num w:numId="23">
    <w:abstractNumId w:val="1"/>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LcwMjAyMjW0NDU3MzNU0lEKTi0uzszPAykwqgUATn91HywAAAA="/>
  </w:docVars>
  <w:rsids>
    <w:rsidRoot w:val="00FB4521"/>
    <w:rsid w:val="00011666"/>
    <w:rsid w:val="000138ED"/>
    <w:rsid w:val="00026B02"/>
    <w:rsid w:val="000822E5"/>
    <w:rsid w:val="000971FC"/>
    <w:rsid w:val="000A2A3A"/>
    <w:rsid w:val="000A492A"/>
    <w:rsid w:val="000D2F80"/>
    <w:rsid w:val="000D5CE6"/>
    <w:rsid w:val="000E413A"/>
    <w:rsid w:val="000F5AA3"/>
    <w:rsid w:val="00100396"/>
    <w:rsid w:val="00100B5C"/>
    <w:rsid w:val="00105A08"/>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1294"/>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2C04"/>
    <w:rsid w:val="003A3CE5"/>
    <w:rsid w:val="003B366F"/>
    <w:rsid w:val="003B3F9D"/>
    <w:rsid w:val="003B6C95"/>
    <w:rsid w:val="003E5751"/>
    <w:rsid w:val="004046A9"/>
    <w:rsid w:val="00404C50"/>
    <w:rsid w:val="00423934"/>
    <w:rsid w:val="004250A7"/>
    <w:rsid w:val="00426244"/>
    <w:rsid w:val="00470A38"/>
    <w:rsid w:val="004874DE"/>
    <w:rsid w:val="004B5334"/>
    <w:rsid w:val="004B5C19"/>
    <w:rsid w:val="004B6C14"/>
    <w:rsid w:val="004D63D9"/>
    <w:rsid w:val="004E5B2D"/>
    <w:rsid w:val="0050249F"/>
    <w:rsid w:val="00524566"/>
    <w:rsid w:val="00530BEF"/>
    <w:rsid w:val="005617CF"/>
    <w:rsid w:val="00561F00"/>
    <w:rsid w:val="00562C4E"/>
    <w:rsid w:val="00562DEC"/>
    <w:rsid w:val="00576AB4"/>
    <w:rsid w:val="00577917"/>
    <w:rsid w:val="00587213"/>
    <w:rsid w:val="00590667"/>
    <w:rsid w:val="005969E2"/>
    <w:rsid w:val="005A1689"/>
    <w:rsid w:val="005B61CD"/>
    <w:rsid w:val="005D1D58"/>
    <w:rsid w:val="005D29F9"/>
    <w:rsid w:val="005D432C"/>
    <w:rsid w:val="005E285E"/>
    <w:rsid w:val="005E72F8"/>
    <w:rsid w:val="005F0579"/>
    <w:rsid w:val="005F2609"/>
    <w:rsid w:val="005F6180"/>
    <w:rsid w:val="006062A3"/>
    <w:rsid w:val="00610E08"/>
    <w:rsid w:val="006140BF"/>
    <w:rsid w:val="006161BE"/>
    <w:rsid w:val="00620787"/>
    <w:rsid w:val="00632434"/>
    <w:rsid w:val="0063478F"/>
    <w:rsid w:val="00641090"/>
    <w:rsid w:val="00644256"/>
    <w:rsid w:val="00661D6F"/>
    <w:rsid w:val="006628E9"/>
    <w:rsid w:val="0066725E"/>
    <w:rsid w:val="006716C7"/>
    <w:rsid w:val="00681208"/>
    <w:rsid w:val="00681FA9"/>
    <w:rsid w:val="00691EA9"/>
    <w:rsid w:val="006934D4"/>
    <w:rsid w:val="006A6DC3"/>
    <w:rsid w:val="006D49ED"/>
    <w:rsid w:val="006D55CE"/>
    <w:rsid w:val="006D637A"/>
    <w:rsid w:val="006E65FF"/>
    <w:rsid w:val="006F45BF"/>
    <w:rsid w:val="006F60E0"/>
    <w:rsid w:val="00702F71"/>
    <w:rsid w:val="007366DF"/>
    <w:rsid w:val="007423C5"/>
    <w:rsid w:val="00757839"/>
    <w:rsid w:val="00770C81"/>
    <w:rsid w:val="00772B72"/>
    <w:rsid w:val="007866E5"/>
    <w:rsid w:val="00791024"/>
    <w:rsid w:val="00793F0A"/>
    <w:rsid w:val="007A2657"/>
    <w:rsid w:val="007C2438"/>
    <w:rsid w:val="007C682C"/>
    <w:rsid w:val="007D2385"/>
    <w:rsid w:val="007F214F"/>
    <w:rsid w:val="00800069"/>
    <w:rsid w:val="008310A0"/>
    <w:rsid w:val="00835D29"/>
    <w:rsid w:val="00842E7F"/>
    <w:rsid w:val="00852933"/>
    <w:rsid w:val="008566E5"/>
    <w:rsid w:val="008566FE"/>
    <w:rsid w:val="00865B46"/>
    <w:rsid w:val="0088296F"/>
    <w:rsid w:val="00896134"/>
    <w:rsid w:val="008A2003"/>
    <w:rsid w:val="008A62BC"/>
    <w:rsid w:val="008B43E7"/>
    <w:rsid w:val="008C1855"/>
    <w:rsid w:val="008D763F"/>
    <w:rsid w:val="008F036F"/>
    <w:rsid w:val="008F1156"/>
    <w:rsid w:val="008F78C2"/>
    <w:rsid w:val="00904568"/>
    <w:rsid w:val="00911394"/>
    <w:rsid w:val="00923EF2"/>
    <w:rsid w:val="00926D25"/>
    <w:rsid w:val="00926E9D"/>
    <w:rsid w:val="00932C6E"/>
    <w:rsid w:val="00933F10"/>
    <w:rsid w:val="009433C5"/>
    <w:rsid w:val="00965881"/>
    <w:rsid w:val="009871FF"/>
    <w:rsid w:val="00990799"/>
    <w:rsid w:val="009A0631"/>
    <w:rsid w:val="009D3EA4"/>
    <w:rsid w:val="009D649C"/>
    <w:rsid w:val="009E4BC1"/>
    <w:rsid w:val="009F5CB2"/>
    <w:rsid w:val="00A025E3"/>
    <w:rsid w:val="00A03BB8"/>
    <w:rsid w:val="00A16174"/>
    <w:rsid w:val="00A3505D"/>
    <w:rsid w:val="00A4036F"/>
    <w:rsid w:val="00A4641C"/>
    <w:rsid w:val="00A52FDE"/>
    <w:rsid w:val="00A55876"/>
    <w:rsid w:val="00A62BD8"/>
    <w:rsid w:val="00A67FB1"/>
    <w:rsid w:val="00AB6FE7"/>
    <w:rsid w:val="00AB7AD7"/>
    <w:rsid w:val="00AD2430"/>
    <w:rsid w:val="00AE41A6"/>
    <w:rsid w:val="00AF0E34"/>
    <w:rsid w:val="00AF271D"/>
    <w:rsid w:val="00AF56C2"/>
    <w:rsid w:val="00B004E6"/>
    <w:rsid w:val="00B01A8F"/>
    <w:rsid w:val="00B0744D"/>
    <w:rsid w:val="00B53B62"/>
    <w:rsid w:val="00B64082"/>
    <w:rsid w:val="00B72325"/>
    <w:rsid w:val="00B81AD3"/>
    <w:rsid w:val="00B829D8"/>
    <w:rsid w:val="00B84B5B"/>
    <w:rsid w:val="00B86446"/>
    <w:rsid w:val="00BA1176"/>
    <w:rsid w:val="00BA6B2C"/>
    <w:rsid w:val="00BC0EEA"/>
    <w:rsid w:val="00BE0B01"/>
    <w:rsid w:val="00BE34DB"/>
    <w:rsid w:val="00BE79C7"/>
    <w:rsid w:val="00BF3CB5"/>
    <w:rsid w:val="00BF4918"/>
    <w:rsid w:val="00C10E35"/>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71AE"/>
    <w:rsid w:val="00DA36EE"/>
    <w:rsid w:val="00DB116D"/>
    <w:rsid w:val="00DD17CC"/>
    <w:rsid w:val="00DE217A"/>
    <w:rsid w:val="00DF321B"/>
    <w:rsid w:val="00E230E0"/>
    <w:rsid w:val="00E3293C"/>
    <w:rsid w:val="00E51AAC"/>
    <w:rsid w:val="00E66CC0"/>
    <w:rsid w:val="00E728A9"/>
    <w:rsid w:val="00E807D9"/>
    <w:rsid w:val="00EA0F4E"/>
    <w:rsid w:val="00EA295B"/>
    <w:rsid w:val="00EA6801"/>
    <w:rsid w:val="00EB4F96"/>
    <w:rsid w:val="00ED7072"/>
    <w:rsid w:val="00EE3132"/>
    <w:rsid w:val="00EE3D9D"/>
    <w:rsid w:val="00EE6F25"/>
    <w:rsid w:val="00EF62B0"/>
    <w:rsid w:val="00F02126"/>
    <w:rsid w:val="00F03D85"/>
    <w:rsid w:val="00F07C8C"/>
    <w:rsid w:val="00F16D03"/>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52293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D971AE"/>
    <w:rPr>
      <w:sz w:val="16"/>
      <w:szCs w:val="16"/>
    </w:rPr>
  </w:style>
  <w:style w:type="paragraph" w:styleId="CommentText">
    <w:name w:val="annotation text"/>
    <w:basedOn w:val="Normal"/>
    <w:link w:val="CommentTextChar"/>
    <w:semiHidden/>
    <w:unhideWhenUsed/>
    <w:rsid w:val="00D971AE"/>
  </w:style>
  <w:style w:type="character" w:customStyle="1" w:styleId="CommentTextChar">
    <w:name w:val="Comment Text Char"/>
    <w:basedOn w:val="DefaultParagraphFont"/>
    <w:link w:val="CommentText"/>
    <w:semiHidden/>
    <w:rsid w:val="00D971AE"/>
    <w:rPr>
      <w:lang w:eastAsia="en-GB"/>
    </w:rPr>
  </w:style>
  <w:style w:type="paragraph" w:styleId="CommentSubject">
    <w:name w:val="annotation subject"/>
    <w:basedOn w:val="CommentText"/>
    <w:next w:val="CommentText"/>
    <w:link w:val="CommentSubjectChar"/>
    <w:semiHidden/>
    <w:unhideWhenUsed/>
    <w:rsid w:val="00D971AE"/>
    <w:rPr>
      <w:b/>
      <w:bCs/>
    </w:rPr>
  </w:style>
  <w:style w:type="character" w:customStyle="1" w:styleId="CommentSubjectChar">
    <w:name w:val="Comment Subject Char"/>
    <w:basedOn w:val="CommentTextChar"/>
    <w:link w:val="CommentSubject"/>
    <w:semiHidden/>
    <w:rsid w:val="00D971AE"/>
    <w:rPr>
      <w:b/>
      <w:bCs/>
      <w:lang w:eastAsia="en-GB"/>
    </w:rPr>
  </w:style>
  <w:style w:type="paragraph" w:customStyle="1" w:styleId="Default">
    <w:name w:val="Default"/>
    <w:rsid w:val="00B01A8F"/>
    <w:pPr>
      <w:autoSpaceDE w:val="0"/>
      <w:autoSpaceDN w:val="0"/>
      <w:adjustRightInd w:val="0"/>
    </w:pPr>
    <w:rPr>
      <w:rFonts w:ascii="Arial" w:eastAsia="Calibri" w:hAnsi="Arial" w:cs="Arial"/>
      <w:color w:val="000000"/>
      <w:sz w:val="24"/>
      <w:szCs w:val="24"/>
    </w:rPr>
  </w:style>
  <w:style w:type="paragraph" w:customStyle="1" w:styleId="paragraph">
    <w:name w:val="paragraph"/>
    <w:basedOn w:val="Normal"/>
    <w:rsid w:val="00772B72"/>
    <w:pPr>
      <w:spacing w:before="100" w:beforeAutospacing="1" w:after="100" w:afterAutospacing="1"/>
    </w:pPr>
    <w:rPr>
      <w:sz w:val="24"/>
      <w:szCs w:val="24"/>
    </w:rPr>
  </w:style>
  <w:style w:type="character" w:customStyle="1" w:styleId="textrun">
    <w:name w:val="textrun"/>
    <w:basedOn w:val="DefaultParagraphFont"/>
    <w:rsid w:val="00772B72"/>
  </w:style>
  <w:style w:type="character" w:customStyle="1" w:styleId="normaltextrun">
    <w:name w:val="normaltextrun"/>
    <w:basedOn w:val="DefaultParagraphFont"/>
    <w:rsid w:val="00772B72"/>
  </w:style>
  <w:style w:type="character" w:customStyle="1" w:styleId="eop">
    <w:name w:val="eop"/>
    <w:basedOn w:val="DefaultParagraphFont"/>
    <w:rsid w:val="00772B72"/>
  </w:style>
  <w:style w:type="character" w:customStyle="1" w:styleId="spellingerror">
    <w:name w:val="spellingerror"/>
    <w:basedOn w:val="DefaultParagraphFont"/>
    <w:rsid w:val="00772B72"/>
  </w:style>
  <w:style w:type="character" w:customStyle="1" w:styleId="contextualspellingandgrammarerror">
    <w:name w:val="contextualspellingandgrammarerror"/>
    <w:basedOn w:val="DefaultParagraphFont"/>
    <w:rsid w:val="00772B72"/>
  </w:style>
  <w:style w:type="character" w:customStyle="1" w:styleId="wacimagecontainer">
    <w:name w:val="wacimagecontainer"/>
    <w:basedOn w:val="DefaultParagraphFont"/>
    <w:rsid w:val="00772B72"/>
  </w:style>
  <w:style w:type="character" w:customStyle="1" w:styleId="wacalttextdescribedby">
    <w:name w:val="wacalttextdescribedby"/>
    <w:basedOn w:val="DefaultParagraphFont"/>
    <w:rsid w:val="00772B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308454">
      <w:bodyDiv w:val="1"/>
      <w:marLeft w:val="0"/>
      <w:marRight w:val="0"/>
      <w:marTop w:val="0"/>
      <w:marBottom w:val="0"/>
      <w:divBdr>
        <w:top w:val="none" w:sz="0" w:space="0" w:color="auto"/>
        <w:left w:val="none" w:sz="0" w:space="0" w:color="auto"/>
        <w:bottom w:val="none" w:sz="0" w:space="0" w:color="auto"/>
        <w:right w:val="none" w:sz="0" w:space="0" w:color="auto"/>
      </w:divBdr>
    </w:div>
    <w:div w:id="12721207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135864">
      <w:bodyDiv w:val="1"/>
      <w:marLeft w:val="0"/>
      <w:marRight w:val="0"/>
      <w:marTop w:val="0"/>
      <w:marBottom w:val="0"/>
      <w:divBdr>
        <w:top w:val="none" w:sz="0" w:space="0" w:color="auto"/>
        <w:left w:val="none" w:sz="0" w:space="0" w:color="auto"/>
        <w:bottom w:val="none" w:sz="0" w:space="0" w:color="auto"/>
        <w:right w:val="none" w:sz="0" w:space="0" w:color="auto"/>
      </w:divBdr>
      <w:divsChild>
        <w:div w:id="798113462">
          <w:marLeft w:val="0"/>
          <w:marRight w:val="0"/>
          <w:marTop w:val="0"/>
          <w:marBottom w:val="0"/>
          <w:divBdr>
            <w:top w:val="none" w:sz="0" w:space="0" w:color="auto"/>
            <w:left w:val="none" w:sz="0" w:space="0" w:color="auto"/>
            <w:bottom w:val="none" w:sz="0" w:space="0" w:color="auto"/>
            <w:right w:val="none" w:sz="0" w:space="0" w:color="auto"/>
          </w:divBdr>
        </w:div>
        <w:div w:id="2045330428">
          <w:marLeft w:val="0"/>
          <w:marRight w:val="0"/>
          <w:marTop w:val="0"/>
          <w:marBottom w:val="0"/>
          <w:divBdr>
            <w:top w:val="none" w:sz="0" w:space="0" w:color="auto"/>
            <w:left w:val="none" w:sz="0" w:space="0" w:color="auto"/>
            <w:bottom w:val="none" w:sz="0" w:space="0" w:color="auto"/>
            <w:right w:val="none" w:sz="0" w:space="0" w:color="auto"/>
          </w:divBdr>
        </w:div>
        <w:div w:id="1134062953">
          <w:marLeft w:val="0"/>
          <w:marRight w:val="0"/>
          <w:marTop w:val="0"/>
          <w:marBottom w:val="0"/>
          <w:divBdr>
            <w:top w:val="none" w:sz="0" w:space="0" w:color="auto"/>
            <w:left w:val="none" w:sz="0" w:space="0" w:color="auto"/>
            <w:bottom w:val="none" w:sz="0" w:space="0" w:color="auto"/>
            <w:right w:val="none" w:sz="0" w:space="0" w:color="auto"/>
          </w:divBdr>
        </w:div>
        <w:div w:id="1898859122">
          <w:marLeft w:val="0"/>
          <w:marRight w:val="0"/>
          <w:marTop w:val="0"/>
          <w:marBottom w:val="0"/>
          <w:divBdr>
            <w:top w:val="none" w:sz="0" w:space="0" w:color="auto"/>
            <w:left w:val="none" w:sz="0" w:space="0" w:color="auto"/>
            <w:bottom w:val="none" w:sz="0" w:space="0" w:color="auto"/>
            <w:right w:val="none" w:sz="0" w:space="0" w:color="auto"/>
          </w:divBdr>
        </w:div>
        <w:div w:id="76289361">
          <w:marLeft w:val="0"/>
          <w:marRight w:val="0"/>
          <w:marTop w:val="0"/>
          <w:marBottom w:val="0"/>
          <w:divBdr>
            <w:top w:val="none" w:sz="0" w:space="0" w:color="auto"/>
            <w:left w:val="none" w:sz="0" w:space="0" w:color="auto"/>
            <w:bottom w:val="none" w:sz="0" w:space="0" w:color="auto"/>
            <w:right w:val="none" w:sz="0" w:space="0" w:color="auto"/>
          </w:divBdr>
        </w:div>
        <w:div w:id="1325739365">
          <w:marLeft w:val="0"/>
          <w:marRight w:val="0"/>
          <w:marTop w:val="0"/>
          <w:marBottom w:val="0"/>
          <w:divBdr>
            <w:top w:val="none" w:sz="0" w:space="0" w:color="auto"/>
            <w:left w:val="none" w:sz="0" w:space="0" w:color="auto"/>
            <w:bottom w:val="none" w:sz="0" w:space="0" w:color="auto"/>
            <w:right w:val="none" w:sz="0" w:space="0" w:color="auto"/>
          </w:divBdr>
        </w:div>
        <w:div w:id="582761426">
          <w:marLeft w:val="0"/>
          <w:marRight w:val="0"/>
          <w:marTop w:val="0"/>
          <w:marBottom w:val="0"/>
          <w:divBdr>
            <w:top w:val="none" w:sz="0" w:space="0" w:color="auto"/>
            <w:left w:val="none" w:sz="0" w:space="0" w:color="auto"/>
            <w:bottom w:val="none" w:sz="0" w:space="0" w:color="auto"/>
            <w:right w:val="none" w:sz="0" w:space="0" w:color="auto"/>
          </w:divBdr>
        </w:div>
        <w:div w:id="2100563503">
          <w:marLeft w:val="0"/>
          <w:marRight w:val="0"/>
          <w:marTop w:val="0"/>
          <w:marBottom w:val="0"/>
          <w:divBdr>
            <w:top w:val="none" w:sz="0" w:space="0" w:color="auto"/>
            <w:left w:val="none" w:sz="0" w:space="0" w:color="auto"/>
            <w:bottom w:val="none" w:sz="0" w:space="0" w:color="auto"/>
            <w:right w:val="none" w:sz="0" w:space="0" w:color="auto"/>
          </w:divBdr>
        </w:div>
        <w:div w:id="655718398">
          <w:marLeft w:val="0"/>
          <w:marRight w:val="0"/>
          <w:marTop w:val="0"/>
          <w:marBottom w:val="0"/>
          <w:divBdr>
            <w:top w:val="none" w:sz="0" w:space="0" w:color="auto"/>
            <w:left w:val="none" w:sz="0" w:space="0" w:color="auto"/>
            <w:bottom w:val="none" w:sz="0" w:space="0" w:color="auto"/>
            <w:right w:val="none" w:sz="0" w:space="0" w:color="auto"/>
          </w:divBdr>
        </w:div>
        <w:div w:id="2035615798">
          <w:marLeft w:val="0"/>
          <w:marRight w:val="0"/>
          <w:marTop w:val="0"/>
          <w:marBottom w:val="0"/>
          <w:divBdr>
            <w:top w:val="none" w:sz="0" w:space="0" w:color="auto"/>
            <w:left w:val="none" w:sz="0" w:space="0" w:color="auto"/>
            <w:bottom w:val="none" w:sz="0" w:space="0" w:color="auto"/>
            <w:right w:val="none" w:sz="0" w:space="0" w:color="auto"/>
          </w:divBdr>
        </w:div>
        <w:div w:id="127477615">
          <w:marLeft w:val="0"/>
          <w:marRight w:val="0"/>
          <w:marTop w:val="0"/>
          <w:marBottom w:val="0"/>
          <w:divBdr>
            <w:top w:val="none" w:sz="0" w:space="0" w:color="auto"/>
            <w:left w:val="none" w:sz="0" w:space="0" w:color="auto"/>
            <w:bottom w:val="none" w:sz="0" w:space="0" w:color="auto"/>
            <w:right w:val="none" w:sz="0" w:space="0" w:color="auto"/>
          </w:divBdr>
        </w:div>
        <w:div w:id="1932002395">
          <w:marLeft w:val="0"/>
          <w:marRight w:val="0"/>
          <w:marTop w:val="0"/>
          <w:marBottom w:val="0"/>
          <w:divBdr>
            <w:top w:val="none" w:sz="0" w:space="0" w:color="auto"/>
            <w:left w:val="none" w:sz="0" w:space="0" w:color="auto"/>
            <w:bottom w:val="none" w:sz="0" w:space="0" w:color="auto"/>
            <w:right w:val="none" w:sz="0" w:space="0" w:color="auto"/>
          </w:divBdr>
        </w:div>
        <w:div w:id="362098956">
          <w:marLeft w:val="0"/>
          <w:marRight w:val="0"/>
          <w:marTop w:val="0"/>
          <w:marBottom w:val="0"/>
          <w:divBdr>
            <w:top w:val="none" w:sz="0" w:space="0" w:color="auto"/>
            <w:left w:val="none" w:sz="0" w:space="0" w:color="auto"/>
            <w:bottom w:val="none" w:sz="0" w:space="0" w:color="auto"/>
            <w:right w:val="none" w:sz="0" w:space="0" w:color="auto"/>
          </w:divBdr>
        </w:div>
        <w:div w:id="607664005">
          <w:marLeft w:val="0"/>
          <w:marRight w:val="0"/>
          <w:marTop w:val="0"/>
          <w:marBottom w:val="0"/>
          <w:divBdr>
            <w:top w:val="none" w:sz="0" w:space="0" w:color="auto"/>
            <w:left w:val="none" w:sz="0" w:space="0" w:color="auto"/>
            <w:bottom w:val="none" w:sz="0" w:space="0" w:color="auto"/>
            <w:right w:val="none" w:sz="0" w:space="0" w:color="auto"/>
          </w:divBdr>
        </w:div>
        <w:div w:id="1891304808">
          <w:marLeft w:val="0"/>
          <w:marRight w:val="0"/>
          <w:marTop w:val="0"/>
          <w:marBottom w:val="0"/>
          <w:divBdr>
            <w:top w:val="none" w:sz="0" w:space="0" w:color="auto"/>
            <w:left w:val="none" w:sz="0" w:space="0" w:color="auto"/>
            <w:bottom w:val="none" w:sz="0" w:space="0" w:color="auto"/>
            <w:right w:val="none" w:sz="0" w:space="0" w:color="auto"/>
          </w:divBdr>
        </w:div>
        <w:div w:id="2070572190">
          <w:marLeft w:val="0"/>
          <w:marRight w:val="0"/>
          <w:marTop w:val="0"/>
          <w:marBottom w:val="0"/>
          <w:divBdr>
            <w:top w:val="none" w:sz="0" w:space="0" w:color="auto"/>
            <w:left w:val="none" w:sz="0" w:space="0" w:color="auto"/>
            <w:bottom w:val="none" w:sz="0" w:space="0" w:color="auto"/>
            <w:right w:val="none" w:sz="0" w:space="0" w:color="auto"/>
          </w:divBdr>
        </w:div>
        <w:div w:id="101144650">
          <w:marLeft w:val="0"/>
          <w:marRight w:val="0"/>
          <w:marTop w:val="0"/>
          <w:marBottom w:val="0"/>
          <w:divBdr>
            <w:top w:val="none" w:sz="0" w:space="0" w:color="auto"/>
            <w:left w:val="none" w:sz="0" w:space="0" w:color="auto"/>
            <w:bottom w:val="none" w:sz="0" w:space="0" w:color="auto"/>
            <w:right w:val="none" w:sz="0" w:space="0" w:color="auto"/>
          </w:divBdr>
        </w:div>
        <w:div w:id="825630777">
          <w:marLeft w:val="0"/>
          <w:marRight w:val="0"/>
          <w:marTop w:val="0"/>
          <w:marBottom w:val="0"/>
          <w:divBdr>
            <w:top w:val="none" w:sz="0" w:space="0" w:color="auto"/>
            <w:left w:val="none" w:sz="0" w:space="0" w:color="auto"/>
            <w:bottom w:val="none" w:sz="0" w:space="0" w:color="auto"/>
            <w:right w:val="none" w:sz="0" w:space="0" w:color="auto"/>
          </w:divBdr>
        </w:div>
        <w:div w:id="1005550555">
          <w:marLeft w:val="0"/>
          <w:marRight w:val="0"/>
          <w:marTop w:val="0"/>
          <w:marBottom w:val="0"/>
          <w:divBdr>
            <w:top w:val="none" w:sz="0" w:space="0" w:color="auto"/>
            <w:left w:val="none" w:sz="0" w:space="0" w:color="auto"/>
            <w:bottom w:val="none" w:sz="0" w:space="0" w:color="auto"/>
            <w:right w:val="none" w:sz="0" w:space="0" w:color="auto"/>
          </w:divBdr>
        </w:div>
        <w:div w:id="1030951799">
          <w:marLeft w:val="0"/>
          <w:marRight w:val="0"/>
          <w:marTop w:val="0"/>
          <w:marBottom w:val="0"/>
          <w:divBdr>
            <w:top w:val="none" w:sz="0" w:space="0" w:color="auto"/>
            <w:left w:val="none" w:sz="0" w:space="0" w:color="auto"/>
            <w:bottom w:val="none" w:sz="0" w:space="0" w:color="auto"/>
            <w:right w:val="none" w:sz="0" w:space="0" w:color="auto"/>
          </w:divBdr>
        </w:div>
        <w:div w:id="1501314087">
          <w:marLeft w:val="0"/>
          <w:marRight w:val="0"/>
          <w:marTop w:val="0"/>
          <w:marBottom w:val="0"/>
          <w:divBdr>
            <w:top w:val="none" w:sz="0" w:space="0" w:color="auto"/>
            <w:left w:val="none" w:sz="0" w:space="0" w:color="auto"/>
            <w:bottom w:val="none" w:sz="0" w:space="0" w:color="auto"/>
            <w:right w:val="none" w:sz="0" w:space="0" w:color="auto"/>
          </w:divBdr>
        </w:div>
        <w:div w:id="931625123">
          <w:marLeft w:val="0"/>
          <w:marRight w:val="0"/>
          <w:marTop w:val="0"/>
          <w:marBottom w:val="0"/>
          <w:divBdr>
            <w:top w:val="none" w:sz="0" w:space="0" w:color="auto"/>
            <w:left w:val="none" w:sz="0" w:space="0" w:color="auto"/>
            <w:bottom w:val="none" w:sz="0" w:space="0" w:color="auto"/>
            <w:right w:val="none" w:sz="0" w:space="0" w:color="auto"/>
          </w:divBdr>
        </w:div>
        <w:div w:id="665865583">
          <w:marLeft w:val="0"/>
          <w:marRight w:val="0"/>
          <w:marTop w:val="0"/>
          <w:marBottom w:val="0"/>
          <w:divBdr>
            <w:top w:val="none" w:sz="0" w:space="0" w:color="auto"/>
            <w:left w:val="none" w:sz="0" w:space="0" w:color="auto"/>
            <w:bottom w:val="none" w:sz="0" w:space="0" w:color="auto"/>
            <w:right w:val="none" w:sz="0" w:space="0" w:color="auto"/>
          </w:divBdr>
        </w:div>
        <w:div w:id="958994167">
          <w:marLeft w:val="0"/>
          <w:marRight w:val="0"/>
          <w:marTop w:val="0"/>
          <w:marBottom w:val="0"/>
          <w:divBdr>
            <w:top w:val="none" w:sz="0" w:space="0" w:color="auto"/>
            <w:left w:val="none" w:sz="0" w:space="0" w:color="auto"/>
            <w:bottom w:val="none" w:sz="0" w:space="0" w:color="auto"/>
            <w:right w:val="none" w:sz="0" w:space="0" w:color="auto"/>
          </w:divBdr>
        </w:div>
        <w:div w:id="207843281">
          <w:marLeft w:val="0"/>
          <w:marRight w:val="0"/>
          <w:marTop w:val="0"/>
          <w:marBottom w:val="0"/>
          <w:divBdr>
            <w:top w:val="none" w:sz="0" w:space="0" w:color="auto"/>
            <w:left w:val="none" w:sz="0" w:space="0" w:color="auto"/>
            <w:bottom w:val="none" w:sz="0" w:space="0" w:color="auto"/>
            <w:right w:val="none" w:sz="0" w:space="0" w:color="auto"/>
          </w:divBdr>
        </w:div>
        <w:div w:id="1024746485">
          <w:marLeft w:val="0"/>
          <w:marRight w:val="0"/>
          <w:marTop w:val="0"/>
          <w:marBottom w:val="0"/>
          <w:divBdr>
            <w:top w:val="none" w:sz="0" w:space="0" w:color="auto"/>
            <w:left w:val="none" w:sz="0" w:space="0" w:color="auto"/>
            <w:bottom w:val="none" w:sz="0" w:space="0" w:color="auto"/>
            <w:right w:val="none" w:sz="0" w:space="0" w:color="auto"/>
          </w:divBdr>
        </w:div>
        <w:div w:id="1520655610">
          <w:marLeft w:val="0"/>
          <w:marRight w:val="0"/>
          <w:marTop w:val="0"/>
          <w:marBottom w:val="0"/>
          <w:divBdr>
            <w:top w:val="none" w:sz="0" w:space="0" w:color="auto"/>
            <w:left w:val="none" w:sz="0" w:space="0" w:color="auto"/>
            <w:bottom w:val="none" w:sz="0" w:space="0" w:color="auto"/>
            <w:right w:val="none" w:sz="0" w:space="0" w:color="auto"/>
          </w:divBdr>
        </w:div>
        <w:div w:id="267547333">
          <w:marLeft w:val="0"/>
          <w:marRight w:val="0"/>
          <w:marTop w:val="0"/>
          <w:marBottom w:val="0"/>
          <w:divBdr>
            <w:top w:val="none" w:sz="0" w:space="0" w:color="auto"/>
            <w:left w:val="none" w:sz="0" w:space="0" w:color="auto"/>
            <w:bottom w:val="none" w:sz="0" w:space="0" w:color="auto"/>
            <w:right w:val="none" w:sz="0" w:space="0" w:color="auto"/>
          </w:divBdr>
        </w:div>
        <w:div w:id="713240403">
          <w:marLeft w:val="0"/>
          <w:marRight w:val="0"/>
          <w:marTop w:val="0"/>
          <w:marBottom w:val="0"/>
          <w:divBdr>
            <w:top w:val="none" w:sz="0" w:space="0" w:color="auto"/>
            <w:left w:val="none" w:sz="0" w:space="0" w:color="auto"/>
            <w:bottom w:val="none" w:sz="0" w:space="0" w:color="auto"/>
            <w:right w:val="none" w:sz="0" w:space="0" w:color="auto"/>
          </w:divBdr>
        </w:div>
        <w:div w:id="697464091">
          <w:marLeft w:val="0"/>
          <w:marRight w:val="0"/>
          <w:marTop w:val="0"/>
          <w:marBottom w:val="0"/>
          <w:divBdr>
            <w:top w:val="none" w:sz="0" w:space="0" w:color="auto"/>
            <w:left w:val="none" w:sz="0" w:space="0" w:color="auto"/>
            <w:bottom w:val="none" w:sz="0" w:space="0" w:color="auto"/>
            <w:right w:val="none" w:sz="0" w:space="0" w:color="auto"/>
          </w:divBdr>
        </w:div>
        <w:div w:id="791629205">
          <w:marLeft w:val="0"/>
          <w:marRight w:val="0"/>
          <w:marTop w:val="0"/>
          <w:marBottom w:val="0"/>
          <w:divBdr>
            <w:top w:val="none" w:sz="0" w:space="0" w:color="auto"/>
            <w:left w:val="none" w:sz="0" w:space="0" w:color="auto"/>
            <w:bottom w:val="none" w:sz="0" w:space="0" w:color="auto"/>
            <w:right w:val="none" w:sz="0" w:space="0" w:color="auto"/>
          </w:divBdr>
        </w:div>
        <w:div w:id="1957784624">
          <w:marLeft w:val="0"/>
          <w:marRight w:val="0"/>
          <w:marTop w:val="0"/>
          <w:marBottom w:val="0"/>
          <w:divBdr>
            <w:top w:val="none" w:sz="0" w:space="0" w:color="auto"/>
            <w:left w:val="none" w:sz="0" w:space="0" w:color="auto"/>
            <w:bottom w:val="none" w:sz="0" w:space="0" w:color="auto"/>
            <w:right w:val="none" w:sz="0" w:space="0" w:color="auto"/>
          </w:divBdr>
        </w:div>
        <w:div w:id="224530193">
          <w:marLeft w:val="0"/>
          <w:marRight w:val="0"/>
          <w:marTop w:val="0"/>
          <w:marBottom w:val="0"/>
          <w:divBdr>
            <w:top w:val="none" w:sz="0" w:space="0" w:color="auto"/>
            <w:left w:val="none" w:sz="0" w:space="0" w:color="auto"/>
            <w:bottom w:val="none" w:sz="0" w:space="0" w:color="auto"/>
            <w:right w:val="none" w:sz="0" w:space="0" w:color="auto"/>
          </w:divBdr>
        </w:div>
        <w:div w:id="232471330">
          <w:marLeft w:val="0"/>
          <w:marRight w:val="0"/>
          <w:marTop w:val="0"/>
          <w:marBottom w:val="0"/>
          <w:divBdr>
            <w:top w:val="none" w:sz="0" w:space="0" w:color="auto"/>
            <w:left w:val="none" w:sz="0" w:space="0" w:color="auto"/>
            <w:bottom w:val="none" w:sz="0" w:space="0" w:color="auto"/>
            <w:right w:val="none" w:sz="0" w:space="0" w:color="auto"/>
          </w:divBdr>
        </w:div>
        <w:div w:id="735930806">
          <w:marLeft w:val="0"/>
          <w:marRight w:val="0"/>
          <w:marTop w:val="0"/>
          <w:marBottom w:val="0"/>
          <w:divBdr>
            <w:top w:val="none" w:sz="0" w:space="0" w:color="auto"/>
            <w:left w:val="none" w:sz="0" w:space="0" w:color="auto"/>
            <w:bottom w:val="none" w:sz="0" w:space="0" w:color="auto"/>
            <w:right w:val="none" w:sz="0" w:space="0" w:color="auto"/>
          </w:divBdr>
        </w:div>
        <w:div w:id="486672411">
          <w:marLeft w:val="0"/>
          <w:marRight w:val="0"/>
          <w:marTop w:val="0"/>
          <w:marBottom w:val="0"/>
          <w:divBdr>
            <w:top w:val="none" w:sz="0" w:space="0" w:color="auto"/>
            <w:left w:val="none" w:sz="0" w:space="0" w:color="auto"/>
            <w:bottom w:val="none" w:sz="0" w:space="0" w:color="auto"/>
            <w:right w:val="none" w:sz="0" w:space="0" w:color="auto"/>
          </w:divBdr>
        </w:div>
        <w:div w:id="2103067679">
          <w:marLeft w:val="0"/>
          <w:marRight w:val="0"/>
          <w:marTop w:val="0"/>
          <w:marBottom w:val="0"/>
          <w:divBdr>
            <w:top w:val="none" w:sz="0" w:space="0" w:color="auto"/>
            <w:left w:val="none" w:sz="0" w:space="0" w:color="auto"/>
            <w:bottom w:val="none" w:sz="0" w:space="0" w:color="auto"/>
            <w:right w:val="none" w:sz="0" w:space="0" w:color="auto"/>
          </w:divBdr>
        </w:div>
        <w:div w:id="2027051291">
          <w:marLeft w:val="0"/>
          <w:marRight w:val="0"/>
          <w:marTop w:val="0"/>
          <w:marBottom w:val="0"/>
          <w:divBdr>
            <w:top w:val="none" w:sz="0" w:space="0" w:color="auto"/>
            <w:left w:val="none" w:sz="0" w:space="0" w:color="auto"/>
            <w:bottom w:val="none" w:sz="0" w:space="0" w:color="auto"/>
            <w:right w:val="none" w:sz="0" w:space="0" w:color="auto"/>
          </w:divBdr>
        </w:div>
        <w:div w:id="2081292809">
          <w:marLeft w:val="0"/>
          <w:marRight w:val="0"/>
          <w:marTop w:val="0"/>
          <w:marBottom w:val="0"/>
          <w:divBdr>
            <w:top w:val="none" w:sz="0" w:space="0" w:color="auto"/>
            <w:left w:val="none" w:sz="0" w:space="0" w:color="auto"/>
            <w:bottom w:val="none" w:sz="0" w:space="0" w:color="auto"/>
            <w:right w:val="none" w:sz="0" w:space="0" w:color="auto"/>
          </w:divBdr>
        </w:div>
        <w:div w:id="357705057">
          <w:marLeft w:val="0"/>
          <w:marRight w:val="0"/>
          <w:marTop w:val="0"/>
          <w:marBottom w:val="0"/>
          <w:divBdr>
            <w:top w:val="none" w:sz="0" w:space="0" w:color="auto"/>
            <w:left w:val="none" w:sz="0" w:space="0" w:color="auto"/>
            <w:bottom w:val="none" w:sz="0" w:space="0" w:color="auto"/>
            <w:right w:val="none" w:sz="0" w:space="0" w:color="auto"/>
          </w:divBdr>
        </w:div>
        <w:div w:id="398291013">
          <w:marLeft w:val="0"/>
          <w:marRight w:val="0"/>
          <w:marTop w:val="0"/>
          <w:marBottom w:val="0"/>
          <w:divBdr>
            <w:top w:val="none" w:sz="0" w:space="0" w:color="auto"/>
            <w:left w:val="none" w:sz="0" w:space="0" w:color="auto"/>
            <w:bottom w:val="none" w:sz="0" w:space="0" w:color="auto"/>
            <w:right w:val="none" w:sz="0" w:space="0" w:color="auto"/>
          </w:divBdr>
        </w:div>
        <w:div w:id="899941856">
          <w:marLeft w:val="0"/>
          <w:marRight w:val="0"/>
          <w:marTop w:val="0"/>
          <w:marBottom w:val="0"/>
          <w:divBdr>
            <w:top w:val="none" w:sz="0" w:space="0" w:color="auto"/>
            <w:left w:val="none" w:sz="0" w:space="0" w:color="auto"/>
            <w:bottom w:val="none" w:sz="0" w:space="0" w:color="auto"/>
            <w:right w:val="none" w:sz="0" w:space="0" w:color="auto"/>
          </w:divBdr>
        </w:div>
        <w:div w:id="1919553641">
          <w:marLeft w:val="0"/>
          <w:marRight w:val="0"/>
          <w:marTop w:val="0"/>
          <w:marBottom w:val="0"/>
          <w:divBdr>
            <w:top w:val="none" w:sz="0" w:space="0" w:color="auto"/>
            <w:left w:val="none" w:sz="0" w:space="0" w:color="auto"/>
            <w:bottom w:val="none" w:sz="0" w:space="0" w:color="auto"/>
            <w:right w:val="none" w:sz="0" w:space="0" w:color="auto"/>
          </w:divBdr>
        </w:div>
        <w:div w:id="323432797">
          <w:marLeft w:val="0"/>
          <w:marRight w:val="0"/>
          <w:marTop w:val="0"/>
          <w:marBottom w:val="0"/>
          <w:divBdr>
            <w:top w:val="none" w:sz="0" w:space="0" w:color="auto"/>
            <w:left w:val="none" w:sz="0" w:space="0" w:color="auto"/>
            <w:bottom w:val="none" w:sz="0" w:space="0" w:color="auto"/>
            <w:right w:val="none" w:sz="0" w:space="0" w:color="auto"/>
          </w:divBdr>
        </w:div>
        <w:div w:id="1277106163">
          <w:marLeft w:val="0"/>
          <w:marRight w:val="0"/>
          <w:marTop w:val="0"/>
          <w:marBottom w:val="0"/>
          <w:divBdr>
            <w:top w:val="none" w:sz="0" w:space="0" w:color="auto"/>
            <w:left w:val="none" w:sz="0" w:space="0" w:color="auto"/>
            <w:bottom w:val="none" w:sz="0" w:space="0" w:color="auto"/>
            <w:right w:val="none" w:sz="0" w:space="0" w:color="auto"/>
          </w:divBdr>
        </w:div>
        <w:div w:id="1416366065">
          <w:marLeft w:val="0"/>
          <w:marRight w:val="0"/>
          <w:marTop w:val="0"/>
          <w:marBottom w:val="0"/>
          <w:divBdr>
            <w:top w:val="none" w:sz="0" w:space="0" w:color="auto"/>
            <w:left w:val="none" w:sz="0" w:space="0" w:color="auto"/>
            <w:bottom w:val="none" w:sz="0" w:space="0" w:color="auto"/>
            <w:right w:val="none" w:sz="0" w:space="0" w:color="auto"/>
          </w:divBdr>
        </w:div>
        <w:div w:id="556665350">
          <w:marLeft w:val="0"/>
          <w:marRight w:val="0"/>
          <w:marTop w:val="0"/>
          <w:marBottom w:val="0"/>
          <w:divBdr>
            <w:top w:val="none" w:sz="0" w:space="0" w:color="auto"/>
            <w:left w:val="none" w:sz="0" w:space="0" w:color="auto"/>
            <w:bottom w:val="none" w:sz="0" w:space="0" w:color="auto"/>
            <w:right w:val="none" w:sz="0" w:space="0" w:color="auto"/>
          </w:divBdr>
        </w:div>
        <w:div w:id="260914543">
          <w:marLeft w:val="0"/>
          <w:marRight w:val="0"/>
          <w:marTop w:val="0"/>
          <w:marBottom w:val="0"/>
          <w:divBdr>
            <w:top w:val="none" w:sz="0" w:space="0" w:color="auto"/>
            <w:left w:val="none" w:sz="0" w:space="0" w:color="auto"/>
            <w:bottom w:val="none" w:sz="0" w:space="0" w:color="auto"/>
            <w:right w:val="none" w:sz="0" w:space="0" w:color="auto"/>
          </w:divBdr>
        </w:div>
        <w:div w:id="1904220632">
          <w:marLeft w:val="0"/>
          <w:marRight w:val="0"/>
          <w:marTop w:val="0"/>
          <w:marBottom w:val="0"/>
          <w:divBdr>
            <w:top w:val="none" w:sz="0" w:space="0" w:color="auto"/>
            <w:left w:val="none" w:sz="0" w:space="0" w:color="auto"/>
            <w:bottom w:val="none" w:sz="0" w:space="0" w:color="auto"/>
            <w:right w:val="none" w:sz="0" w:space="0" w:color="auto"/>
          </w:divBdr>
        </w:div>
        <w:div w:id="2037533310">
          <w:marLeft w:val="0"/>
          <w:marRight w:val="0"/>
          <w:marTop w:val="0"/>
          <w:marBottom w:val="0"/>
          <w:divBdr>
            <w:top w:val="none" w:sz="0" w:space="0" w:color="auto"/>
            <w:left w:val="none" w:sz="0" w:space="0" w:color="auto"/>
            <w:bottom w:val="none" w:sz="0" w:space="0" w:color="auto"/>
            <w:right w:val="none" w:sz="0" w:space="0" w:color="auto"/>
          </w:divBdr>
        </w:div>
        <w:div w:id="1392460899">
          <w:marLeft w:val="0"/>
          <w:marRight w:val="0"/>
          <w:marTop w:val="0"/>
          <w:marBottom w:val="0"/>
          <w:divBdr>
            <w:top w:val="none" w:sz="0" w:space="0" w:color="auto"/>
            <w:left w:val="none" w:sz="0" w:space="0" w:color="auto"/>
            <w:bottom w:val="none" w:sz="0" w:space="0" w:color="auto"/>
            <w:right w:val="none" w:sz="0" w:space="0" w:color="auto"/>
          </w:divBdr>
        </w:div>
        <w:div w:id="360782864">
          <w:marLeft w:val="0"/>
          <w:marRight w:val="0"/>
          <w:marTop w:val="0"/>
          <w:marBottom w:val="0"/>
          <w:divBdr>
            <w:top w:val="none" w:sz="0" w:space="0" w:color="auto"/>
            <w:left w:val="none" w:sz="0" w:space="0" w:color="auto"/>
            <w:bottom w:val="none" w:sz="0" w:space="0" w:color="auto"/>
            <w:right w:val="none" w:sz="0" w:space="0" w:color="auto"/>
          </w:divBdr>
        </w:div>
        <w:div w:id="294916511">
          <w:marLeft w:val="0"/>
          <w:marRight w:val="0"/>
          <w:marTop w:val="0"/>
          <w:marBottom w:val="0"/>
          <w:divBdr>
            <w:top w:val="none" w:sz="0" w:space="0" w:color="auto"/>
            <w:left w:val="none" w:sz="0" w:space="0" w:color="auto"/>
            <w:bottom w:val="none" w:sz="0" w:space="0" w:color="auto"/>
            <w:right w:val="none" w:sz="0" w:space="0" w:color="auto"/>
          </w:divBdr>
        </w:div>
        <w:div w:id="105736429">
          <w:marLeft w:val="0"/>
          <w:marRight w:val="0"/>
          <w:marTop w:val="0"/>
          <w:marBottom w:val="0"/>
          <w:divBdr>
            <w:top w:val="none" w:sz="0" w:space="0" w:color="auto"/>
            <w:left w:val="none" w:sz="0" w:space="0" w:color="auto"/>
            <w:bottom w:val="none" w:sz="0" w:space="0" w:color="auto"/>
            <w:right w:val="none" w:sz="0" w:space="0" w:color="auto"/>
          </w:divBdr>
        </w:div>
        <w:div w:id="2009556250">
          <w:marLeft w:val="0"/>
          <w:marRight w:val="0"/>
          <w:marTop w:val="0"/>
          <w:marBottom w:val="0"/>
          <w:divBdr>
            <w:top w:val="none" w:sz="0" w:space="0" w:color="auto"/>
            <w:left w:val="none" w:sz="0" w:space="0" w:color="auto"/>
            <w:bottom w:val="none" w:sz="0" w:space="0" w:color="auto"/>
            <w:right w:val="none" w:sz="0" w:space="0" w:color="auto"/>
          </w:divBdr>
        </w:div>
        <w:div w:id="712775039">
          <w:marLeft w:val="0"/>
          <w:marRight w:val="0"/>
          <w:marTop w:val="0"/>
          <w:marBottom w:val="0"/>
          <w:divBdr>
            <w:top w:val="none" w:sz="0" w:space="0" w:color="auto"/>
            <w:left w:val="none" w:sz="0" w:space="0" w:color="auto"/>
            <w:bottom w:val="none" w:sz="0" w:space="0" w:color="auto"/>
            <w:right w:val="none" w:sz="0" w:space="0" w:color="auto"/>
          </w:divBdr>
        </w:div>
        <w:div w:id="617490427">
          <w:marLeft w:val="0"/>
          <w:marRight w:val="0"/>
          <w:marTop w:val="0"/>
          <w:marBottom w:val="0"/>
          <w:divBdr>
            <w:top w:val="none" w:sz="0" w:space="0" w:color="auto"/>
            <w:left w:val="none" w:sz="0" w:space="0" w:color="auto"/>
            <w:bottom w:val="none" w:sz="0" w:space="0" w:color="auto"/>
            <w:right w:val="none" w:sz="0" w:space="0" w:color="auto"/>
          </w:divBdr>
        </w:div>
        <w:div w:id="1558786042">
          <w:marLeft w:val="0"/>
          <w:marRight w:val="0"/>
          <w:marTop w:val="0"/>
          <w:marBottom w:val="0"/>
          <w:divBdr>
            <w:top w:val="none" w:sz="0" w:space="0" w:color="auto"/>
            <w:left w:val="none" w:sz="0" w:space="0" w:color="auto"/>
            <w:bottom w:val="none" w:sz="0" w:space="0" w:color="auto"/>
            <w:right w:val="none" w:sz="0" w:space="0" w:color="auto"/>
          </w:divBdr>
        </w:div>
        <w:div w:id="423695280">
          <w:marLeft w:val="0"/>
          <w:marRight w:val="0"/>
          <w:marTop w:val="0"/>
          <w:marBottom w:val="0"/>
          <w:divBdr>
            <w:top w:val="none" w:sz="0" w:space="0" w:color="auto"/>
            <w:left w:val="none" w:sz="0" w:space="0" w:color="auto"/>
            <w:bottom w:val="none" w:sz="0" w:space="0" w:color="auto"/>
            <w:right w:val="none" w:sz="0" w:space="0" w:color="auto"/>
          </w:divBdr>
        </w:div>
        <w:div w:id="1169174370">
          <w:marLeft w:val="0"/>
          <w:marRight w:val="0"/>
          <w:marTop w:val="0"/>
          <w:marBottom w:val="0"/>
          <w:divBdr>
            <w:top w:val="none" w:sz="0" w:space="0" w:color="auto"/>
            <w:left w:val="none" w:sz="0" w:space="0" w:color="auto"/>
            <w:bottom w:val="none" w:sz="0" w:space="0" w:color="auto"/>
            <w:right w:val="none" w:sz="0" w:space="0" w:color="auto"/>
          </w:divBdr>
        </w:div>
        <w:div w:id="1478839843">
          <w:marLeft w:val="0"/>
          <w:marRight w:val="0"/>
          <w:marTop w:val="0"/>
          <w:marBottom w:val="0"/>
          <w:divBdr>
            <w:top w:val="none" w:sz="0" w:space="0" w:color="auto"/>
            <w:left w:val="none" w:sz="0" w:space="0" w:color="auto"/>
            <w:bottom w:val="none" w:sz="0" w:space="0" w:color="auto"/>
            <w:right w:val="none" w:sz="0" w:space="0" w:color="auto"/>
          </w:divBdr>
        </w:div>
        <w:div w:id="719406198">
          <w:marLeft w:val="0"/>
          <w:marRight w:val="0"/>
          <w:marTop w:val="0"/>
          <w:marBottom w:val="0"/>
          <w:divBdr>
            <w:top w:val="none" w:sz="0" w:space="0" w:color="auto"/>
            <w:left w:val="none" w:sz="0" w:space="0" w:color="auto"/>
            <w:bottom w:val="none" w:sz="0" w:space="0" w:color="auto"/>
            <w:right w:val="none" w:sz="0" w:space="0" w:color="auto"/>
          </w:divBdr>
        </w:div>
        <w:div w:id="86194385">
          <w:marLeft w:val="0"/>
          <w:marRight w:val="0"/>
          <w:marTop w:val="0"/>
          <w:marBottom w:val="0"/>
          <w:divBdr>
            <w:top w:val="none" w:sz="0" w:space="0" w:color="auto"/>
            <w:left w:val="none" w:sz="0" w:space="0" w:color="auto"/>
            <w:bottom w:val="none" w:sz="0" w:space="0" w:color="auto"/>
            <w:right w:val="none" w:sz="0" w:space="0" w:color="auto"/>
          </w:divBdr>
        </w:div>
        <w:div w:id="894239808">
          <w:marLeft w:val="0"/>
          <w:marRight w:val="0"/>
          <w:marTop w:val="0"/>
          <w:marBottom w:val="0"/>
          <w:divBdr>
            <w:top w:val="none" w:sz="0" w:space="0" w:color="auto"/>
            <w:left w:val="none" w:sz="0" w:space="0" w:color="auto"/>
            <w:bottom w:val="none" w:sz="0" w:space="0" w:color="auto"/>
            <w:right w:val="none" w:sz="0" w:space="0" w:color="auto"/>
          </w:divBdr>
        </w:div>
        <w:div w:id="431559069">
          <w:marLeft w:val="0"/>
          <w:marRight w:val="0"/>
          <w:marTop w:val="0"/>
          <w:marBottom w:val="0"/>
          <w:divBdr>
            <w:top w:val="none" w:sz="0" w:space="0" w:color="auto"/>
            <w:left w:val="none" w:sz="0" w:space="0" w:color="auto"/>
            <w:bottom w:val="none" w:sz="0" w:space="0" w:color="auto"/>
            <w:right w:val="none" w:sz="0" w:space="0" w:color="auto"/>
          </w:divBdr>
        </w:div>
        <w:div w:id="845559108">
          <w:marLeft w:val="0"/>
          <w:marRight w:val="0"/>
          <w:marTop w:val="0"/>
          <w:marBottom w:val="0"/>
          <w:divBdr>
            <w:top w:val="none" w:sz="0" w:space="0" w:color="auto"/>
            <w:left w:val="none" w:sz="0" w:space="0" w:color="auto"/>
            <w:bottom w:val="none" w:sz="0" w:space="0" w:color="auto"/>
            <w:right w:val="none" w:sz="0" w:space="0" w:color="auto"/>
          </w:divBdr>
        </w:div>
        <w:div w:id="252977576">
          <w:marLeft w:val="0"/>
          <w:marRight w:val="0"/>
          <w:marTop w:val="0"/>
          <w:marBottom w:val="0"/>
          <w:divBdr>
            <w:top w:val="none" w:sz="0" w:space="0" w:color="auto"/>
            <w:left w:val="none" w:sz="0" w:space="0" w:color="auto"/>
            <w:bottom w:val="none" w:sz="0" w:space="0" w:color="auto"/>
            <w:right w:val="none" w:sz="0" w:space="0" w:color="auto"/>
          </w:divBdr>
        </w:div>
        <w:div w:id="1146436714">
          <w:marLeft w:val="0"/>
          <w:marRight w:val="0"/>
          <w:marTop w:val="0"/>
          <w:marBottom w:val="0"/>
          <w:divBdr>
            <w:top w:val="none" w:sz="0" w:space="0" w:color="auto"/>
            <w:left w:val="none" w:sz="0" w:space="0" w:color="auto"/>
            <w:bottom w:val="none" w:sz="0" w:space="0" w:color="auto"/>
            <w:right w:val="none" w:sz="0" w:space="0" w:color="auto"/>
          </w:divBdr>
        </w:div>
        <w:div w:id="1119884280">
          <w:marLeft w:val="0"/>
          <w:marRight w:val="0"/>
          <w:marTop w:val="0"/>
          <w:marBottom w:val="0"/>
          <w:divBdr>
            <w:top w:val="none" w:sz="0" w:space="0" w:color="auto"/>
            <w:left w:val="none" w:sz="0" w:space="0" w:color="auto"/>
            <w:bottom w:val="none" w:sz="0" w:space="0" w:color="auto"/>
            <w:right w:val="none" w:sz="0" w:space="0" w:color="auto"/>
          </w:divBdr>
        </w:div>
        <w:div w:id="226261358">
          <w:marLeft w:val="0"/>
          <w:marRight w:val="0"/>
          <w:marTop w:val="0"/>
          <w:marBottom w:val="0"/>
          <w:divBdr>
            <w:top w:val="none" w:sz="0" w:space="0" w:color="auto"/>
            <w:left w:val="none" w:sz="0" w:space="0" w:color="auto"/>
            <w:bottom w:val="none" w:sz="0" w:space="0" w:color="auto"/>
            <w:right w:val="none" w:sz="0" w:space="0" w:color="auto"/>
          </w:divBdr>
        </w:div>
        <w:div w:id="661784146">
          <w:marLeft w:val="0"/>
          <w:marRight w:val="0"/>
          <w:marTop w:val="0"/>
          <w:marBottom w:val="0"/>
          <w:divBdr>
            <w:top w:val="none" w:sz="0" w:space="0" w:color="auto"/>
            <w:left w:val="none" w:sz="0" w:space="0" w:color="auto"/>
            <w:bottom w:val="none" w:sz="0" w:space="0" w:color="auto"/>
            <w:right w:val="none" w:sz="0" w:space="0" w:color="auto"/>
          </w:divBdr>
        </w:div>
        <w:div w:id="1993680570">
          <w:marLeft w:val="0"/>
          <w:marRight w:val="0"/>
          <w:marTop w:val="0"/>
          <w:marBottom w:val="0"/>
          <w:divBdr>
            <w:top w:val="none" w:sz="0" w:space="0" w:color="auto"/>
            <w:left w:val="none" w:sz="0" w:space="0" w:color="auto"/>
            <w:bottom w:val="none" w:sz="0" w:space="0" w:color="auto"/>
            <w:right w:val="none" w:sz="0" w:space="0" w:color="auto"/>
          </w:divBdr>
        </w:div>
        <w:div w:id="826820633">
          <w:marLeft w:val="0"/>
          <w:marRight w:val="0"/>
          <w:marTop w:val="0"/>
          <w:marBottom w:val="0"/>
          <w:divBdr>
            <w:top w:val="none" w:sz="0" w:space="0" w:color="auto"/>
            <w:left w:val="none" w:sz="0" w:space="0" w:color="auto"/>
            <w:bottom w:val="none" w:sz="0" w:space="0" w:color="auto"/>
            <w:right w:val="none" w:sz="0" w:space="0" w:color="auto"/>
          </w:divBdr>
        </w:div>
        <w:div w:id="325329948">
          <w:marLeft w:val="0"/>
          <w:marRight w:val="0"/>
          <w:marTop w:val="0"/>
          <w:marBottom w:val="0"/>
          <w:divBdr>
            <w:top w:val="none" w:sz="0" w:space="0" w:color="auto"/>
            <w:left w:val="none" w:sz="0" w:space="0" w:color="auto"/>
            <w:bottom w:val="none" w:sz="0" w:space="0" w:color="auto"/>
            <w:right w:val="none" w:sz="0" w:space="0" w:color="auto"/>
          </w:divBdr>
        </w:div>
        <w:div w:id="1771389719">
          <w:marLeft w:val="0"/>
          <w:marRight w:val="0"/>
          <w:marTop w:val="0"/>
          <w:marBottom w:val="0"/>
          <w:divBdr>
            <w:top w:val="none" w:sz="0" w:space="0" w:color="auto"/>
            <w:left w:val="none" w:sz="0" w:space="0" w:color="auto"/>
            <w:bottom w:val="none" w:sz="0" w:space="0" w:color="auto"/>
            <w:right w:val="none" w:sz="0" w:space="0" w:color="auto"/>
          </w:divBdr>
        </w:div>
        <w:div w:id="1924103341">
          <w:marLeft w:val="0"/>
          <w:marRight w:val="0"/>
          <w:marTop w:val="0"/>
          <w:marBottom w:val="0"/>
          <w:divBdr>
            <w:top w:val="none" w:sz="0" w:space="0" w:color="auto"/>
            <w:left w:val="none" w:sz="0" w:space="0" w:color="auto"/>
            <w:bottom w:val="none" w:sz="0" w:space="0" w:color="auto"/>
            <w:right w:val="none" w:sz="0" w:space="0" w:color="auto"/>
          </w:divBdr>
        </w:div>
        <w:div w:id="693043334">
          <w:marLeft w:val="0"/>
          <w:marRight w:val="0"/>
          <w:marTop w:val="0"/>
          <w:marBottom w:val="0"/>
          <w:divBdr>
            <w:top w:val="none" w:sz="0" w:space="0" w:color="auto"/>
            <w:left w:val="none" w:sz="0" w:space="0" w:color="auto"/>
            <w:bottom w:val="none" w:sz="0" w:space="0" w:color="auto"/>
            <w:right w:val="none" w:sz="0" w:space="0" w:color="auto"/>
          </w:divBdr>
        </w:div>
        <w:div w:id="513349743">
          <w:marLeft w:val="0"/>
          <w:marRight w:val="0"/>
          <w:marTop w:val="0"/>
          <w:marBottom w:val="0"/>
          <w:divBdr>
            <w:top w:val="none" w:sz="0" w:space="0" w:color="auto"/>
            <w:left w:val="none" w:sz="0" w:space="0" w:color="auto"/>
            <w:bottom w:val="none" w:sz="0" w:space="0" w:color="auto"/>
            <w:right w:val="none" w:sz="0" w:space="0" w:color="auto"/>
          </w:divBdr>
        </w:div>
        <w:div w:id="2015918776">
          <w:marLeft w:val="0"/>
          <w:marRight w:val="0"/>
          <w:marTop w:val="0"/>
          <w:marBottom w:val="0"/>
          <w:divBdr>
            <w:top w:val="none" w:sz="0" w:space="0" w:color="auto"/>
            <w:left w:val="none" w:sz="0" w:space="0" w:color="auto"/>
            <w:bottom w:val="none" w:sz="0" w:space="0" w:color="auto"/>
            <w:right w:val="none" w:sz="0" w:space="0" w:color="auto"/>
          </w:divBdr>
        </w:div>
        <w:div w:id="385108340">
          <w:marLeft w:val="0"/>
          <w:marRight w:val="0"/>
          <w:marTop w:val="0"/>
          <w:marBottom w:val="0"/>
          <w:divBdr>
            <w:top w:val="none" w:sz="0" w:space="0" w:color="auto"/>
            <w:left w:val="none" w:sz="0" w:space="0" w:color="auto"/>
            <w:bottom w:val="none" w:sz="0" w:space="0" w:color="auto"/>
            <w:right w:val="none" w:sz="0" w:space="0" w:color="auto"/>
          </w:divBdr>
        </w:div>
        <w:div w:id="283771173">
          <w:marLeft w:val="0"/>
          <w:marRight w:val="0"/>
          <w:marTop w:val="0"/>
          <w:marBottom w:val="0"/>
          <w:divBdr>
            <w:top w:val="none" w:sz="0" w:space="0" w:color="auto"/>
            <w:left w:val="none" w:sz="0" w:space="0" w:color="auto"/>
            <w:bottom w:val="none" w:sz="0" w:space="0" w:color="auto"/>
            <w:right w:val="none" w:sz="0" w:space="0" w:color="auto"/>
          </w:divBdr>
        </w:div>
        <w:div w:id="47458634">
          <w:marLeft w:val="0"/>
          <w:marRight w:val="0"/>
          <w:marTop w:val="0"/>
          <w:marBottom w:val="0"/>
          <w:divBdr>
            <w:top w:val="none" w:sz="0" w:space="0" w:color="auto"/>
            <w:left w:val="none" w:sz="0" w:space="0" w:color="auto"/>
            <w:bottom w:val="none" w:sz="0" w:space="0" w:color="auto"/>
            <w:right w:val="none" w:sz="0" w:space="0" w:color="auto"/>
          </w:divBdr>
        </w:div>
        <w:div w:id="366873182">
          <w:marLeft w:val="0"/>
          <w:marRight w:val="0"/>
          <w:marTop w:val="0"/>
          <w:marBottom w:val="0"/>
          <w:divBdr>
            <w:top w:val="none" w:sz="0" w:space="0" w:color="auto"/>
            <w:left w:val="none" w:sz="0" w:space="0" w:color="auto"/>
            <w:bottom w:val="none" w:sz="0" w:space="0" w:color="auto"/>
            <w:right w:val="none" w:sz="0" w:space="0" w:color="auto"/>
          </w:divBdr>
        </w:div>
        <w:div w:id="1377966734">
          <w:marLeft w:val="0"/>
          <w:marRight w:val="0"/>
          <w:marTop w:val="0"/>
          <w:marBottom w:val="0"/>
          <w:divBdr>
            <w:top w:val="none" w:sz="0" w:space="0" w:color="auto"/>
            <w:left w:val="none" w:sz="0" w:space="0" w:color="auto"/>
            <w:bottom w:val="none" w:sz="0" w:space="0" w:color="auto"/>
            <w:right w:val="none" w:sz="0" w:space="0" w:color="auto"/>
          </w:divBdr>
        </w:div>
        <w:div w:id="976224389">
          <w:marLeft w:val="0"/>
          <w:marRight w:val="0"/>
          <w:marTop w:val="0"/>
          <w:marBottom w:val="0"/>
          <w:divBdr>
            <w:top w:val="none" w:sz="0" w:space="0" w:color="auto"/>
            <w:left w:val="none" w:sz="0" w:space="0" w:color="auto"/>
            <w:bottom w:val="none" w:sz="0" w:space="0" w:color="auto"/>
            <w:right w:val="none" w:sz="0" w:space="0" w:color="auto"/>
          </w:divBdr>
        </w:div>
        <w:div w:id="1932007878">
          <w:marLeft w:val="0"/>
          <w:marRight w:val="0"/>
          <w:marTop w:val="0"/>
          <w:marBottom w:val="0"/>
          <w:divBdr>
            <w:top w:val="none" w:sz="0" w:space="0" w:color="auto"/>
            <w:left w:val="none" w:sz="0" w:space="0" w:color="auto"/>
            <w:bottom w:val="none" w:sz="0" w:space="0" w:color="auto"/>
            <w:right w:val="none" w:sz="0" w:space="0" w:color="auto"/>
          </w:divBdr>
        </w:div>
        <w:div w:id="1172600745">
          <w:marLeft w:val="0"/>
          <w:marRight w:val="0"/>
          <w:marTop w:val="0"/>
          <w:marBottom w:val="0"/>
          <w:divBdr>
            <w:top w:val="none" w:sz="0" w:space="0" w:color="auto"/>
            <w:left w:val="none" w:sz="0" w:space="0" w:color="auto"/>
            <w:bottom w:val="none" w:sz="0" w:space="0" w:color="auto"/>
            <w:right w:val="none" w:sz="0" w:space="0" w:color="auto"/>
          </w:divBdr>
        </w:div>
        <w:div w:id="947273486">
          <w:marLeft w:val="0"/>
          <w:marRight w:val="0"/>
          <w:marTop w:val="0"/>
          <w:marBottom w:val="0"/>
          <w:divBdr>
            <w:top w:val="none" w:sz="0" w:space="0" w:color="auto"/>
            <w:left w:val="none" w:sz="0" w:space="0" w:color="auto"/>
            <w:bottom w:val="none" w:sz="0" w:space="0" w:color="auto"/>
            <w:right w:val="none" w:sz="0" w:space="0" w:color="auto"/>
          </w:divBdr>
        </w:div>
        <w:div w:id="437288367">
          <w:marLeft w:val="0"/>
          <w:marRight w:val="0"/>
          <w:marTop w:val="0"/>
          <w:marBottom w:val="0"/>
          <w:divBdr>
            <w:top w:val="none" w:sz="0" w:space="0" w:color="auto"/>
            <w:left w:val="none" w:sz="0" w:space="0" w:color="auto"/>
            <w:bottom w:val="none" w:sz="0" w:space="0" w:color="auto"/>
            <w:right w:val="none" w:sz="0" w:space="0" w:color="auto"/>
          </w:divBdr>
        </w:div>
        <w:div w:id="1664821583">
          <w:marLeft w:val="0"/>
          <w:marRight w:val="0"/>
          <w:marTop w:val="0"/>
          <w:marBottom w:val="0"/>
          <w:divBdr>
            <w:top w:val="none" w:sz="0" w:space="0" w:color="auto"/>
            <w:left w:val="none" w:sz="0" w:space="0" w:color="auto"/>
            <w:bottom w:val="none" w:sz="0" w:space="0" w:color="auto"/>
            <w:right w:val="none" w:sz="0" w:space="0" w:color="auto"/>
          </w:divBdr>
        </w:div>
        <w:div w:id="1429307338">
          <w:marLeft w:val="0"/>
          <w:marRight w:val="0"/>
          <w:marTop w:val="0"/>
          <w:marBottom w:val="0"/>
          <w:divBdr>
            <w:top w:val="none" w:sz="0" w:space="0" w:color="auto"/>
            <w:left w:val="none" w:sz="0" w:space="0" w:color="auto"/>
            <w:bottom w:val="none" w:sz="0" w:space="0" w:color="auto"/>
            <w:right w:val="none" w:sz="0" w:space="0" w:color="auto"/>
          </w:divBdr>
        </w:div>
        <w:div w:id="336352864">
          <w:marLeft w:val="0"/>
          <w:marRight w:val="0"/>
          <w:marTop w:val="0"/>
          <w:marBottom w:val="0"/>
          <w:divBdr>
            <w:top w:val="none" w:sz="0" w:space="0" w:color="auto"/>
            <w:left w:val="none" w:sz="0" w:space="0" w:color="auto"/>
            <w:bottom w:val="none" w:sz="0" w:space="0" w:color="auto"/>
            <w:right w:val="none" w:sz="0" w:space="0" w:color="auto"/>
          </w:divBdr>
        </w:div>
        <w:div w:id="938946456">
          <w:marLeft w:val="0"/>
          <w:marRight w:val="0"/>
          <w:marTop w:val="0"/>
          <w:marBottom w:val="0"/>
          <w:divBdr>
            <w:top w:val="none" w:sz="0" w:space="0" w:color="auto"/>
            <w:left w:val="none" w:sz="0" w:space="0" w:color="auto"/>
            <w:bottom w:val="none" w:sz="0" w:space="0" w:color="auto"/>
            <w:right w:val="none" w:sz="0" w:space="0" w:color="auto"/>
          </w:divBdr>
        </w:div>
        <w:div w:id="1591429331">
          <w:marLeft w:val="0"/>
          <w:marRight w:val="0"/>
          <w:marTop w:val="0"/>
          <w:marBottom w:val="0"/>
          <w:divBdr>
            <w:top w:val="none" w:sz="0" w:space="0" w:color="auto"/>
            <w:left w:val="none" w:sz="0" w:space="0" w:color="auto"/>
            <w:bottom w:val="none" w:sz="0" w:space="0" w:color="auto"/>
            <w:right w:val="none" w:sz="0" w:space="0" w:color="auto"/>
          </w:divBdr>
        </w:div>
        <w:div w:id="1838498127">
          <w:marLeft w:val="0"/>
          <w:marRight w:val="0"/>
          <w:marTop w:val="0"/>
          <w:marBottom w:val="0"/>
          <w:divBdr>
            <w:top w:val="none" w:sz="0" w:space="0" w:color="auto"/>
            <w:left w:val="none" w:sz="0" w:space="0" w:color="auto"/>
            <w:bottom w:val="none" w:sz="0" w:space="0" w:color="auto"/>
            <w:right w:val="none" w:sz="0" w:space="0" w:color="auto"/>
          </w:divBdr>
        </w:div>
        <w:div w:id="515073505">
          <w:marLeft w:val="0"/>
          <w:marRight w:val="0"/>
          <w:marTop w:val="0"/>
          <w:marBottom w:val="0"/>
          <w:divBdr>
            <w:top w:val="none" w:sz="0" w:space="0" w:color="auto"/>
            <w:left w:val="none" w:sz="0" w:space="0" w:color="auto"/>
            <w:bottom w:val="none" w:sz="0" w:space="0" w:color="auto"/>
            <w:right w:val="none" w:sz="0" w:space="0" w:color="auto"/>
          </w:divBdr>
        </w:div>
        <w:div w:id="271481035">
          <w:marLeft w:val="0"/>
          <w:marRight w:val="0"/>
          <w:marTop w:val="0"/>
          <w:marBottom w:val="0"/>
          <w:divBdr>
            <w:top w:val="none" w:sz="0" w:space="0" w:color="auto"/>
            <w:left w:val="none" w:sz="0" w:space="0" w:color="auto"/>
            <w:bottom w:val="none" w:sz="0" w:space="0" w:color="auto"/>
            <w:right w:val="none" w:sz="0" w:space="0" w:color="auto"/>
          </w:divBdr>
        </w:div>
        <w:div w:id="780302692">
          <w:marLeft w:val="0"/>
          <w:marRight w:val="0"/>
          <w:marTop w:val="0"/>
          <w:marBottom w:val="0"/>
          <w:divBdr>
            <w:top w:val="none" w:sz="0" w:space="0" w:color="auto"/>
            <w:left w:val="none" w:sz="0" w:space="0" w:color="auto"/>
            <w:bottom w:val="none" w:sz="0" w:space="0" w:color="auto"/>
            <w:right w:val="none" w:sz="0" w:space="0" w:color="auto"/>
          </w:divBdr>
        </w:div>
        <w:div w:id="774138090">
          <w:marLeft w:val="0"/>
          <w:marRight w:val="0"/>
          <w:marTop w:val="0"/>
          <w:marBottom w:val="0"/>
          <w:divBdr>
            <w:top w:val="none" w:sz="0" w:space="0" w:color="auto"/>
            <w:left w:val="none" w:sz="0" w:space="0" w:color="auto"/>
            <w:bottom w:val="none" w:sz="0" w:space="0" w:color="auto"/>
            <w:right w:val="none" w:sz="0" w:space="0" w:color="auto"/>
          </w:divBdr>
        </w:div>
        <w:div w:id="1899127472">
          <w:marLeft w:val="0"/>
          <w:marRight w:val="0"/>
          <w:marTop w:val="0"/>
          <w:marBottom w:val="0"/>
          <w:divBdr>
            <w:top w:val="none" w:sz="0" w:space="0" w:color="auto"/>
            <w:left w:val="none" w:sz="0" w:space="0" w:color="auto"/>
            <w:bottom w:val="none" w:sz="0" w:space="0" w:color="auto"/>
            <w:right w:val="none" w:sz="0" w:space="0" w:color="auto"/>
          </w:divBdr>
        </w:div>
        <w:div w:id="462619156">
          <w:marLeft w:val="0"/>
          <w:marRight w:val="0"/>
          <w:marTop w:val="0"/>
          <w:marBottom w:val="0"/>
          <w:divBdr>
            <w:top w:val="none" w:sz="0" w:space="0" w:color="auto"/>
            <w:left w:val="none" w:sz="0" w:space="0" w:color="auto"/>
            <w:bottom w:val="none" w:sz="0" w:space="0" w:color="auto"/>
            <w:right w:val="none" w:sz="0" w:space="0" w:color="auto"/>
          </w:divBdr>
        </w:div>
        <w:div w:id="1148667254">
          <w:marLeft w:val="0"/>
          <w:marRight w:val="0"/>
          <w:marTop w:val="0"/>
          <w:marBottom w:val="0"/>
          <w:divBdr>
            <w:top w:val="none" w:sz="0" w:space="0" w:color="auto"/>
            <w:left w:val="none" w:sz="0" w:space="0" w:color="auto"/>
            <w:bottom w:val="none" w:sz="0" w:space="0" w:color="auto"/>
            <w:right w:val="none" w:sz="0" w:space="0" w:color="auto"/>
          </w:divBdr>
        </w:div>
        <w:div w:id="1338145884">
          <w:marLeft w:val="0"/>
          <w:marRight w:val="0"/>
          <w:marTop w:val="0"/>
          <w:marBottom w:val="0"/>
          <w:divBdr>
            <w:top w:val="none" w:sz="0" w:space="0" w:color="auto"/>
            <w:left w:val="none" w:sz="0" w:space="0" w:color="auto"/>
            <w:bottom w:val="none" w:sz="0" w:space="0" w:color="auto"/>
            <w:right w:val="none" w:sz="0" w:space="0" w:color="auto"/>
          </w:divBdr>
        </w:div>
        <w:div w:id="2147115737">
          <w:marLeft w:val="0"/>
          <w:marRight w:val="0"/>
          <w:marTop w:val="0"/>
          <w:marBottom w:val="0"/>
          <w:divBdr>
            <w:top w:val="none" w:sz="0" w:space="0" w:color="auto"/>
            <w:left w:val="none" w:sz="0" w:space="0" w:color="auto"/>
            <w:bottom w:val="none" w:sz="0" w:space="0" w:color="auto"/>
            <w:right w:val="none" w:sz="0" w:space="0" w:color="auto"/>
          </w:divBdr>
        </w:div>
        <w:div w:id="1418015182">
          <w:marLeft w:val="0"/>
          <w:marRight w:val="0"/>
          <w:marTop w:val="0"/>
          <w:marBottom w:val="0"/>
          <w:divBdr>
            <w:top w:val="none" w:sz="0" w:space="0" w:color="auto"/>
            <w:left w:val="none" w:sz="0" w:space="0" w:color="auto"/>
            <w:bottom w:val="none" w:sz="0" w:space="0" w:color="auto"/>
            <w:right w:val="none" w:sz="0" w:space="0" w:color="auto"/>
          </w:divBdr>
        </w:div>
        <w:div w:id="810487451">
          <w:marLeft w:val="0"/>
          <w:marRight w:val="0"/>
          <w:marTop w:val="0"/>
          <w:marBottom w:val="0"/>
          <w:divBdr>
            <w:top w:val="none" w:sz="0" w:space="0" w:color="auto"/>
            <w:left w:val="none" w:sz="0" w:space="0" w:color="auto"/>
            <w:bottom w:val="none" w:sz="0" w:space="0" w:color="auto"/>
            <w:right w:val="none" w:sz="0" w:space="0" w:color="auto"/>
          </w:divBdr>
        </w:div>
        <w:div w:id="1542281087">
          <w:marLeft w:val="0"/>
          <w:marRight w:val="0"/>
          <w:marTop w:val="0"/>
          <w:marBottom w:val="0"/>
          <w:divBdr>
            <w:top w:val="none" w:sz="0" w:space="0" w:color="auto"/>
            <w:left w:val="none" w:sz="0" w:space="0" w:color="auto"/>
            <w:bottom w:val="none" w:sz="0" w:space="0" w:color="auto"/>
            <w:right w:val="none" w:sz="0" w:space="0" w:color="auto"/>
          </w:divBdr>
        </w:div>
        <w:div w:id="1468083945">
          <w:marLeft w:val="0"/>
          <w:marRight w:val="0"/>
          <w:marTop w:val="0"/>
          <w:marBottom w:val="0"/>
          <w:divBdr>
            <w:top w:val="none" w:sz="0" w:space="0" w:color="auto"/>
            <w:left w:val="none" w:sz="0" w:space="0" w:color="auto"/>
            <w:bottom w:val="none" w:sz="0" w:space="0" w:color="auto"/>
            <w:right w:val="none" w:sz="0" w:space="0" w:color="auto"/>
          </w:divBdr>
        </w:div>
        <w:div w:id="1045064379">
          <w:marLeft w:val="0"/>
          <w:marRight w:val="0"/>
          <w:marTop w:val="0"/>
          <w:marBottom w:val="0"/>
          <w:divBdr>
            <w:top w:val="none" w:sz="0" w:space="0" w:color="auto"/>
            <w:left w:val="none" w:sz="0" w:space="0" w:color="auto"/>
            <w:bottom w:val="none" w:sz="0" w:space="0" w:color="auto"/>
            <w:right w:val="none" w:sz="0" w:space="0" w:color="auto"/>
          </w:divBdr>
        </w:div>
        <w:div w:id="758450474">
          <w:marLeft w:val="0"/>
          <w:marRight w:val="0"/>
          <w:marTop w:val="0"/>
          <w:marBottom w:val="0"/>
          <w:divBdr>
            <w:top w:val="none" w:sz="0" w:space="0" w:color="auto"/>
            <w:left w:val="none" w:sz="0" w:space="0" w:color="auto"/>
            <w:bottom w:val="none" w:sz="0" w:space="0" w:color="auto"/>
            <w:right w:val="none" w:sz="0" w:space="0" w:color="auto"/>
          </w:divBdr>
        </w:div>
        <w:div w:id="610626338">
          <w:marLeft w:val="0"/>
          <w:marRight w:val="0"/>
          <w:marTop w:val="0"/>
          <w:marBottom w:val="0"/>
          <w:divBdr>
            <w:top w:val="none" w:sz="0" w:space="0" w:color="auto"/>
            <w:left w:val="none" w:sz="0" w:space="0" w:color="auto"/>
            <w:bottom w:val="none" w:sz="0" w:space="0" w:color="auto"/>
            <w:right w:val="none" w:sz="0" w:space="0" w:color="auto"/>
          </w:divBdr>
        </w:div>
        <w:div w:id="297302411">
          <w:marLeft w:val="0"/>
          <w:marRight w:val="0"/>
          <w:marTop w:val="0"/>
          <w:marBottom w:val="0"/>
          <w:divBdr>
            <w:top w:val="none" w:sz="0" w:space="0" w:color="auto"/>
            <w:left w:val="none" w:sz="0" w:space="0" w:color="auto"/>
            <w:bottom w:val="none" w:sz="0" w:space="0" w:color="auto"/>
            <w:right w:val="none" w:sz="0" w:space="0" w:color="auto"/>
          </w:divBdr>
        </w:div>
        <w:div w:id="2030135202">
          <w:marLeft w:val="0"/>
          <w:marRight w:val="0"/>
          <w:marTop w:val="0"/>
          <w:marBottom w:val="0"/>
          <w:divBdr>
            <w:top w:val="none" w:sz="0" w:space="0" w:color="auto"/>
            <w:left w:val="none" w:sz="0" w:space="0" w:color="auto"/>
            <w:bottom w:val="none" w:sz="0" w:space="0" w:color="auto"/>
            <w:right w:val="none" w:sz="0" w:space="0" w:color="auto"/>
          </w:divBdr>
        </w:div>
        <w:div w:id="1763795965">
          <w:marLeft w:val="0"/>
          <w:marRight w:val="0"/>
          <w:marTop w:val="0"/>
          <w:marBottom w:val="0"/>
          <w:divBdr>
            <w:top w:val="none" w:sz="0" w:space="0" w:color="auto"/>
            <w:left w:val="none" w:sz="0" w:space="0" w:color="auto"/>
            <w:bottom w:val="none" w:sz="0" w:space="0" w:color="auto"/>
            <w:right w:val="none" w:sz="0" w:space="0" w:color="auto"/>
          </w:divBdr>
        </w:div>
        <w:div w:id="140388271">
          <w:marLeft w:val="0"/>
          <w:marRight w:val="0"/>
          <w:marTop w:val="0"/>
          <w:marBottom w:val="0"/>
          <w:divBdr>
            <w:top w:val="none" w:sz="0" w:space="0" w:color="auto"/>
            <w:left w:val="none" w:sz="0" w:space="0" w:color="auto"/>
            <w:bottom w:val="none" w:sz="0" w:space="0" w:color="auto"/>
            <w:right w:val="none" w:sz="0" w:space="0" w:color="auto"/>
          </w:divBdr>
        </w:div>
        <w:div w:id="2109033822">
          <w:marLeft w:val="0"/>
          <w:marRight w:val="0"/>
          <w:marTop w:val="0"/>
          <w:marBottom w:val="0"/>
          <w:divBdr>
            <w:top w:val="none" w:sz="0" w:space="0" w:color="auto"/>
            <w:left w:val="none" w:sz="0" w:space="0" w:color="auto"/>
            <w:bottom w:val="none" w:sz="0" w:space="0" w:color="auto"/>
            <w:right w:val="none" w:sz="0" w:space="0" w:color="auto"/>
          </w:divBdr>
        </w:div>
        <w:div w:id="519200275">
          <w:marLeft w:val="0"/>
          <w:marRight w:val="0"/>
          <w:marTop w:val="0"/>
          <w:marBottom w:val="0"/>
          <w:divBdr>
            <w:top w:val="none" w:sz="0" w:space="0" w:color="auto"/>
            <w:left w:val="none" w:sz="0" w:space="0" w:color="auto"/>
            <w:bottom w:val="none" w:sz="0" w:space="0" w:color="auto"/>
            <w:right w:val="none" w:sz="0" w:space="0" w:color="auto"/>
          </w:divBdr>
        </w:div>
        <w:div w:id="484124752">
          <w:marLeft w:val="0"/>
          <w:marRight w:val="0"/>
          <w:marTop w:val="0"/>
          <w:marBottom w:val="0"/>
          <w:divBdr>
            <w:top w:val="none" w:sz="0" w:space="0" w:color="auto"/>
            <w:left w:val="none" w:sz="0" w:space="0" w:color="auto"/>
            <w:bottom w:val="none" w:sz="0" w:space="0" w:color="auto"/>
            <w:right w:val="none" w:sz="0" w:space="0" w:color="auto"/>
          </w:divBdr>
        </w:div>
        <w:div w:id="694386441">
          <w:marLeft w:val="0"/>
          <w:marRight w:val="0"/>
          <w:marTop w:val="0"/>
          <w:marBottom w:val="0"/>
          <w:divBdr>
            <w:top w:val="none" w:sz="0" w:space="0" w:color="auto"/>
            <w:left w:val="none" w:sz="0" w:space="0" w:color="auto"/>
            <w:bottom w:val="none" w:sz="0" w:space="0" w:color="auto"/>
            <w:right w:val="none" w:sz="0" w:space="0" w:color="auto"/>
          </w:divBdr>
        </w:div>
        <w:div w:id="876740646">
          <w:marLeft w:val="0"/>
          <w:marRight w:val="0"/>
          <w:marTop w:val="0"/>
          <w:marBottom w:val="0"/>
          <w:divBdr>
            <w:top w:val="none" w:sz="0" w:space="0" w:color="auto"/>
            <w:left w:val="none" w:sz="0" w:space="0" w:color="auto"/>
            <w:bottom w:val="none" w:sz="0" w:space="0" w:color="auto"/>
            <w:right w:val="none" w:sz="0" w:space="0" w:color="auto"/>
          </w:divBdr>
        </w:div>
        <w:div w:id="890193707">
          <w:marLeft w:val="0"/>
          <w:marRight w:val="0"/>
          <w:marTop w:val="0"/>
          <w:marBottom w:val="0"/>
          <w:divBdr>
            <w:top w:val="none" w:sz="0" w:space="0" w:color="auto"/>
            <w:left w:val="none" w:sz="0" w:space="0" w:color="auto"/>
            <w:bottom w:val="none" w:sz="0" w:space="0" w:color="auto"/>
            <w:right w:val="none" w:sz="0" w:space="0" w:color="auto"/>
          </w:divBdr>
        </w:div>
        <w:div w:id="1333600728">
          <w:marLeft w:val="0"/>
          <w:marRight w:val="0"/>
          <w:marTop w:val="0"/>
          <w:marBottom w:val="0"/>
          <w:divBdr>
            <w:top w:val="none" w:sz="0" w:space="0" w:color="auto"/>
            <w:left w:val="none" w:sz="0" w:space="0" w:color="auto"/>
            <w:bottom w:val="none" w:sz="0" w:space="0" w:color="auto"/>
            <w:right w:val="none" w:sz="0" w:space="0" w:color="auto"/>
          </w:divBdr>
        </w:div>
        <w:div w:id="1731683870">
          <w:marLeft w:val="0"/>
          <w:marRight w:val="0"/>
          <w:marTop w:val="0"/>
          <w:marBottom w:val="0"/>
          <w:divBdr>
            <w:top w:val="none" w:sz="0" w:space="0" w:color="auto"/>
            <w:left w:val="none" w:sz="0" w:space="0" w:color="auto"/>
            <w:bottom w:val="none" w:sz="0" w:space="0" w:color="auto"/>
            <w:right w:val="none" w:sz="0" w:space="0" w:color="auto"/>
          </w:divBdr>
        </w:div>
        <w:div w:id="930162403">
          <w:marLeft w:val="0"/>
          <w:marRight w:val="0"/>
          <w:marTop w:val="0"/>
          <w:marBottom w:val="0"/>
          <w:divBdr>
            <w:top w:val="none" w:sz="0" w:space="0" w:color="auto"/>
            <w:left w:val="none" w:sz="0" w:space="0" w:color="auto"/>
            <w:bottom w:val="none" w:sz="0" w:space="0" w:color="auto"/>
            <w:right w:val="none" w:sz="0" w:space="0" w:color="auto"/>
          </w:divBdr>
        </w:div>
        <w:div w:id="1464348512">
          <w:marLeft w:val="0"/>
          <w:marRight w:val="0"/>
          <w:marTop w:val="0"/>
          <w:marBottom w:val="0"/>
          <w:divBdr>
            <w:top w:val="none" w:sz="0" w:space="0" w:color="auto"/>
            <w:left w:val="none" w:sz="0" w:space="0" w:color="auto"/>
            <w:bottom w:val="none" w:sz="0" w:space="0" w:color="auto"/>
            <w:right w:val="none" w:sz="0" w:space="0" w:color="auto"/>
          </w:divBdr>
        </w:div>
        <w:div w:id="432669116">
          <w:marLeft w:val="0"/>
          <w:marRight w:val="0"/>
          <w:marTop w:val="0"/>
          <w:marBottom w:val="0"/>
          <w:divBdr>
            <w:top w:val="none" w:sz="0" w:space="0" w:color="auto"/>
            <w:left w:val="none" w:sz="0" w:space="0" w:color="auto"/>
            <w:bottom w:val="none" w:sz="0" w:space="0" w:color="auto"/>
            <w:right w:val="none" w:sz="0" w:space="0" w:color="auto"/>
          </w:divBdr>
        </w:div>
        <w:div w:id="546143696">
          <w:marLeft w:val="0"/>
          <w:marRight w:val="0"/>
          <w:marTop w:val="0"/>
          <w:marBottom w:val="0"/>
          <w:divBdr>
            <w:top w:val="none" w:sz="0" w:space="0" w:color="auto"/>
            <w:left w:val="none" w:sz="0" w:space="0" w:color="auto"/>
            <w:bottom w:val="none" w:sz="0" w:space="0" w:color="auto"/>
            <w:right w:val="none" w:sz="0" w:space="0" w:color="auto"/>
          </w:divBdr>
        </w:div>
        <w:div w:id="1214734381">
          <w:marLeft w:val="0"/>
          <w:marRight w:val="0"/>
          <w:marTop w:val="0"/>
          <w:marBottom w:val="0"/>
          <w:divBdr>
            <w:top w:val="none" w:sz="0" w:space="0" w:color="auto"/>
            <w:left w:val="none" w:sz="0" w:space="0" w:color="auto"/>
            <w:bottom w:val="none" w:sz="0" w:space="0" w:color="auto"/>
            <w:right w:val="none" w:sz="0" w:space="0" w:color="auto"/>
          </w:divBdr>
        </w:div>
        <w:div w:id="1375083163">
          <w:marLeft w:val="0"/>
          <w:marRight w:val="0"/>
          <w:marTop w:val="0"/>
          <w:marBottom w:val="0"/>
          <w:divBdr>
            <w:top w:val="none" w:sz="0" w:space="0" w:color="auto"/>
            <w:left w:val="none" w:sz="0" w:space="0" w:color="auto"/>
            <w:bottom w:val="none" w:sz="0" w:space="0" w:color="auto"/>
            <w:right w:val="none" w:sz="0" w:space="0" w:color="auto"/>
          </w:divBdr>
        </w:div>
        <w:div w:id="898826403">
          <w:marLeft w:val="0"/>
          <w:marRight w:val="0"/>
          <w:marTop w:val="0"/>
          <w:marBottom w:val="0"/>
          <w:divBdr>
            <w:top w:val="none" w:sz="0" w:space="0" w:color="auto"/>
            <w:left w:val="none" w:sz="0" w:space="0" w:color="auto"/>
            <w:bottom w:val="none" w:sz="0" w:space="0" w:color="auto"/>
            <w:right w:val="none" w:sz="0" w:space="0" w:color="auto"/>
          </w:divBdr>
        </w:div>
        <w:div w:id="62484800">
          <w:marLeft w:val="0"/>
          <w:marRight w:val="0"/>
          <w:marTop w:val="0"/>
          <w:marBottom w:val="0"/>
          <w:divBdr>
            <w:top w:val="none" w:sz="0" w:space="0" w:color="auto"/>
            <w:left w:val="none" w:sz="0" w:space="0" w:color="auto"/>
            <w:bottom w:val="none" w:sz="0" w:space="0" w:color="auto"/>
            <w:right w:val="none" w:sz="0" w:space="0" w:color="auto"/>
          </w:divBdr>
        </w:div>
        <w:div w:id="1416436782">
          <w:marLeft w:val="0"/>
          <w:marRight w:val="0"/>
          <w:marTop w:val="0"/>
          <w:marBottom w:val="0"/>
          <w:divBdr>
            <w:top w:val="none" w:sz="0" w:space="0" w:color="auto"/>
            <w:left w:val="none" w:sz="0" w:space="0" w:color="auto"/>
            <w:bottom w:val="none" w:sz="0" w:space="0" w:color="auto"/>
            <w:right w:val="none" w:sz="0" w:space="0" w:color="auto"/>
          </w:divBdr>
        </w:div>
        <w:div w:id="354232842">
          <w:marLeft w:val="0"/>
          <w:marRight w:val="0"/>
          <w:marTop w:val="0"/>
          <w:marBottom w:val="0"/>
          <w:divBdr>
            <w:top w:val="none" w:sz="0" w:space="0" w:color="auto"/>
            <w:left w:val="none" w:sz="0" w:space="0" w:color="auto"/>
            <w:bottom w:val="none" w:sz="0" w:space="0" w:color="auto"/>
            <w:right w:val="none" w:sz="0" w:space="0" w:color="auto"/>
          </w:divBdr>
        </w:div>
        <w:div w:id="1293363420">
          <w:marLeft w:val="0"/>
          <w:marRight w:val="0"/>
          <w:marTop w:val="0"/>
          <w:marBottom w:val="0"/>
          <w:divBdr>
            <w:top w:val="none" w:sz="0" w:space="0" w:color="auto"/>
            <w:left w:val="none" w:sz="0" w:space="0" w:color="auto"/>
            <w:bottom w:val="none" w:sz="0" w:space="0" w:color="auto"/>
            <w:right w:val="none" w:sz="0" w:space="0" w:color="auto"/>
          </w:divBdr>
        </w:div>
        <w:div w:id="202253190">
          <w:marLeft w:val="0"/>
          <w:marRight w:val="0"/>
          <w:marTop w:val="0"/>
          <w:marBottom w:val="0"/>
          <w:divBdr>
            <w:top w:val="none" w:sz="0" w:space="0" w:color="auto"/>
            <w:left w:val="none" w:sz="0" w:space="0" w:color="auto"/>
            <w:bottom w:val="none" w:sz="0" w:space="0" w:color="auto"/>
            <w:right w:val="none" w:sz="0" w:space="0" w:color="auto"/>
          </w:divBdr>
        </w:div>
        <w:div w:id="1364281029">
          <w:marLeft w:val="0"/>
          <w:marRight w:val="0"/>
          <w:marTop w:val="0"/>
          <w:marBottom w:val="0"/>
          <w:divBdr>
            <w:top w:val="none" w:sz="0" w:space="0" w:color="auto"/>
            <w:left w:val="none" w:sz="0" w:space="0" w:color="auto"/>
            <w:bottom w:val="none" w:sz="0" w:space="0" w:color="auto"/>
            <w:right w:val="none" w:sz="0" w:space="0" w:color="auto"/>
          </w:divBdr>
        </w:div>
        <w:div w:id="352194019">
          <w:marLeft w:val="0"/>
          <w:marRight w:val="0"/>
          <w:marTop w:val="0"/>
          <w:marBottom w:val="0"/>
          <w:divBdr>
            <w:top w:val="none" w:sz="0" w:space="0" w:color="auto"/>
            <w:left w:val="none" w:sz="0" w:space="0" w:color="auto"/>
            <w:bottom w:val="none" w:sz="0" w:space="0" w:color="auto"/>
            <w:right w:val="none" w:sz="0" w:space="0" w:color="auto"/>
          </w:divBdr>
        </w:div>
        <w:div w:id="1509753987">
          <w:marLeft w:val="0"/>
          <w:marRight w:val="0"/>
          <w:marTop w:val="0"/>
          <w:marBottom w:val="0"/>
          <w:divBdr>
            <w:top w:val="none" w:sz="0" w:space="0" w:color="auto"/>
            <w:left w:val="none" w:sz="0" w:space="0" w:color="auto"/>
            <w:bottom w:val="none" w:sz="0" w:space="0" w:color="auto"/>
            <w:right w:val="none" w:sz="0" w:space="0" w:color="auto"/>
          </w:divBdr>
        </w:div>
        <w:div w:id="412705846">
          <w:marLeft w:val="0"/>
          <w:marRight w:val="0"/>
          <w:marTop w:val="0"/>
          <w:marBottom w:val="0"/>
          <w:divBdr>
            <w:top w:val="none" w:sz="0" w:space="0" w:color="auto"/>
            <w:left w:val="none" w:sz="0" w:space="0" w:color="auto"/>
            <w:bottom w:val="none" w:sz="0" w:space="0" w:color="auto"/>
            <w:right w:val="none" w:sz="0" w:space="0" w:color="auto"/>
          </w:divBdr>
        </w:div>
        <w:div w:id="522667368">
          <w:marLeft w:val="0"/>
          <w:marRight w:val="0"/>
          <w:marTop w:val="0"/>
          <w:marBottom w:val="0"/>
          <w:divBdr>
            <w:top w:val="none" w:sz="0" w:space="0" w:color="auto"/>
            <w:left w:val="none" w:sz="0" w:space="0" w:color="auto"/>
            <w:bottom w:val="none" w:sz="0" w:space="0" w:color="auto"/>
            <w:right w:val="none" w:sz="0" w:space="0" w:color="auto"/>
          </w:divBdr>
        </w:div>
        <w:div w:id="1275559047">
          <w:marLeft w:val="0"/>
          <w:marRight w:val="0"/>
          <w:marTop w:val="0"/>
          <w:marBottom w:val="0"/>
          <w:divBdr>
            <w:top w:val="none" w:sz="0" w:space="0" w:color="auto"/>
            <w:left w:val="none" w:sz="0" w:space="0" w:color="auto"/>
            <w:bottom w:val="none" w:sz="0" w:space="0" w:color="auto"/>
            <w:right w:val="none" w:sz="0" w:space="0" w:color="auto"/>
          </w:divBdr>
        </w:div>
        <w:div w:id="31465107">
          <w:marLeft w:val="0"/>
          <w:marRight w:val="0"/>
          <w:marTop w:val="0"/>
          <w:marBottom w:val="0"/>
          <w:divBdr>
            <w:top w:val="none" w:sz="0" w:space="0" w:color="auto"/>
            <w:left w:val="none" w:sz="0" w:space="0" w:color="auto"/>
            <w:bottom w:val="none" w:sz="0" w:space="0" w:color="auto"/>
            <w:right w:val="none" w:sz="0" w:space="0" w:color="auto"/>
          </w:divBdr>
        </w:div>
        <w:div w:id="1863518407">
          <w:marLeft w:val="0"/>
          <w:marRight w:val="0"/>
          <w:marTop w:val="0"/>
          <w:marBottom w:val="0"/>
          <w:divBdr>
            <w:top w:val="none" w:sz="0" w:space="0" w:color="auto"/>
            <w:left w:val="none" w:sz="0" w:space="0" w:color="auto"/>
            <w:bottom w:val="none" w:sz="0" w:space="0" w:color="auto"/>
            <w:right w:val="none" w:sz="0" w:space="0" w:color="auto"/>
          </w:divBdr>
        </w:div>
        <w:div w:id="1211577370">
          <w:marLeft w:val="0"/>
          <w:marRight w:val="0"/>
          <w:marTop w:val="0"/>
          <w:marBottom w:val="0"/>
          <w:divBdr>
            <w:top w:val="none" w:sz="0" w:space="0" w:color="auto"/>
            <w:left w:val="none" w:sz="0" w:space="0" w:color="auto"/>
            <w:bottom w:val="none" w:sz="0" w:space="0" w:color="auto"/>
            <w:right w:val="none" w:sz="0" w:space="0" w:color="auto"/>
          </w:divBdr>
        </w:div>
        <w:div w:id="1934043329">
          <w:marLeft w:val="0"/>
          <w:marRight w:val="0"/>
          <w:marTop w:val="0"/>
          <w:marBottom w:val="0"/>
          <w:divBdr>
            <w:top w:val="none" w:sz="0" w:space="0" w:color="auto"/>
            <w:left w:val="none" w:sz="0" w:space="0" w:color="auto"/>
            <w:bottom w:val="none" w:sz="0" w:space="0" w:color="auto"/>
            <w:right w:val="none" w:sz="0" w:space="0" w:color="auto"/>
          </w:divBdr>
        </w:div>
        <w:div w:id="13728980">
          <w:marLeft w:val="0"/>
          <w:marRight w:val="0"/>
          <w:marTop w:val="0"/>
          <w:marBottom w:val="0"/>
          <w:divBdr>
            <w:top w:val="none" w:sz="0" w:space="0" w:color="auto"/>
            <w:left w:val="none" w:sz="0" w:space="0" w:color="auto"/>
            <w:bottom w:val="none" w:sz="0" w:space="0" w:color="auto"/>
            <w:right w:val="none" w:sz="0" w:space="0" w:color="auto"/>
          </w:divBdr>
        </w:div>
        <w:div w:id="1800419241">
          <w:marLeft w:val="0"/>
          <w:marRight w:val="0"/>
          <w:marTop w:val="0"/>
          <w:marBottom w:val="0"/>
          <w:divBdr>
            <w:top w:val="none" w:sz="0" w:space="0" w:color="auto"/>
            <w:left w:val="none" w:sz="0" w:space="0" w:color="auto"/>
            <w:bottom w:val="none" w:sz="0" w:space="0" w:color="auto"/>
            <w:right w:val="none" w:sz="0" w:space="0" w:color="auto"/>
          </w:divBdr>
        </w:div>
        <w:div w:id="1847092610">
          <w:marLeft w:val="0"/>
          <w:marRight w:val="0"/>
          <w:marTop w:val="0"/>
          <w:marBottom w:val="0"/>
          <w:divBdr>
            <w:top w:val="none" w:sz="0" w:space="0" w:color="auto"/>
            <w:left w:val="none" w:sz="0" w:space="0" w:color="auto"/>
            <w:bottom w:val="none" w:sz="0" w:space="0" w:color="auto"/>
            <w:right w:val="none" w:sz="0" w:space="0" w:color="auto"/>
          </w:divBdr>
        </w:div>
        <w:div w:id="1189903900">
          <w:marLeft w:val="0"/>
          <w:marRight w:val="0"/>
          <w:marTop w:val="0"/>
          <w:marBottom w:val="0"/>
          <w:divBdr>
            <w:top w:val="none" w:sz="0" w:space="0" w:color="auto"/>
            <w:left w:val="none" w:sz="0" w:space="0" w:color="auto"/>
            <w:bottom w:val="none" w:sz="0" w:space="0" w:color="auto"/>
            <w:right w:val="none" w:sz="0" w:space="0" w:color="auto"/>
          </w:divBdr>
        </w:div>
        <w:div w:id="405537265">
          <w:marLeft w:val="0"/>
          <w:marRight w:val="0"/>
          <w:marTop w:val="0"/>
          <w:marBottom w:val="0"/>
          <w:divBdr>
            <w:top w:val="none" w:sz="0" w:space="0" w:color="auto"/>
            <w:left w:val="none" w:sz="0" w:space="0" w:color="auto"/>
            <w:bottom w:val="none" w:sz="0" w:space="0" w:color="auto"/>
            <w:right w:val="none" w:sz="0" w:space="0" w:color="auto"/>
          </w:divBdr>
        </w:div>
      </w:divsChild>
    </w:div>
    <w:div w:id="498229199">
      <w:bodyDiv w:val="1"/>
      <w:marLeft w:val="0"/>
      <w:marRight w:val="0"/>
      <w:marTop w:val="0"/>
      <w:marBottom w:val="0"/>
      <w:divBdr>
        <w:top w:val="none" w:sz="0" w:space="0" w:color="auto"/>
        <w:left w:val="none" w:sz="0" w:space="0" w:color="auto"/>
        <w:bottom w:val="none" w:sz="0" w:space="0" w:color="auto"/>
        <w:right w:val="none" w:sz="0" w:space="0" w:color="auto"/>
      </w:divBdr>
    </w:div>
    <w:div w:id="536044001">
      <w:bodyDiv w:val="1"/>
      <w:marLeft w:val="0"/>
      <w:marRight w:val="0"/>
      <w:marTop w:val="0"/>
      <w:marBottom w:val="0"/>
      <w:divBdr>
        <w:top w:val="none" w:sz="0" w:space="0" w:color="auto"/>
        <w:left w:val="none" w:sz="0" w:space="0" w:color="auto"/>
        <w:bottom w:val="none" w:sz="0" w:space="0" w:color="auto"/>
        <w:right w:val="none" w:sz="0" w:space="0" w:color="auto"/>
      </w:divBdr>
    </w:div>
    <w:div w:id="803163156">
      <w:bodyDiv w:val="1"/>
      <w:marLeft w:val="0"/>
      <w:marRight w:val="0"/>
      <w:marTop w:val="0"/>
      <w:marBottom w:val="0"/>
      <w:divBdr>
        <w:top w:val="none" w:sz="0" w:space="0" w:color="auto"/>
        <w:left w:val="none" w:sz="0" w:space="0" w:color="auto"/>
        <w:bottom w:val="none" w:sz="0" w:space="0" w:color="auto"/>
        <w:right w:val="none" w:sz="0" w:space="0" w:color="auto"/>
      </w:divBdr>
    </w:div>
    <w:div w:id="1054887251">
      <w:bodyDiv w:val="1"/>
      <w:marLeft w:val="0"/>
      <w:marRight w:val="0"/>
      <w:marTop w:val="0"/>
      <w:marBottom w:val="0"/>
      <w:divBdr>
        <w:top w:val="none" w:sz="0" w:space="0" w:color="auto"/>
        <w:left w:val="none" w:sz="0" w:space="0" w:color="auto"/>
        <w:bottom w:val="none" w:sz="0" w:space="0" w:color="auto"/>
        <w:right w:val="none" w:sz="0" w:space="0" w:color="auto"/>
      </w:divBdr>
    </w:div>
    <w:div w:id="1108240419">
      <w:bodyDiv w:val="1"/>
      <w:marLeft w:val="0"/>
      <w:marRight w:val="0"/>
      <w:marTop w:val="0"/>
      <w:marBottom w:val="0"/>
      <w:divBdr>
        <w:top w:val="none" w:sz="0" w:space="0" w:color="auto"/>
        <w:left w:val="none" w:sz="0" w:space="0" w:color="auto"/>
        <w:bottom w:val="none" w:sz="0" w:space="0" w:color="auto"/>
        <w:right w:val="none" w:sz="0" w:space="0" w:color="auto"/>
      </w:divBdr>
    </w:div>
    <w:div w:id="119249448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094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image" Target="media/image2.png"/><Relationship Id="rId10"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219060-A02E-3D4E-AF2F-FEF43D47D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14</Pages>
  <Words>8460</Words>
  <Characters>48222</Characters>
  <Application>Microsoft Macintosh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56569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Ryan Herbert (1704651)</cp:lastModifiedBy>
  <cp:revision>2</cp:revision>
  <cp:lastPrinted>2014-10-10T07:42:00Z</cp:lastPrinted>
  <dcterms:created xsi:type="dcterms:W3CDTF">2018-05-11T16:38:00Z</dcterms:created>
  <dcterms:modified xsi:type="dcterms:W3CDTF">2018-05-11T16:38:00Z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