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9462DD" w14:textId="77777777" w:rsidR="00D2447B" w:rsidRPr="00237F8C" w:rsidRDefault="00D2447B" w:rsidP="00D2447B">
      <w:pPr>
        <w:rPr>
          <w:rFonts w:ascii="Aptos Display" w:hAnsi="Aptos Display" w:cs="Arial"/>
          <w:b/>
          <w:bCs/>
          <w:sz w:val="26"/>
          <w:szCs w:val="26"/>
        </w:rPr>
      </w:pPr>
      <w:r w:rsidRPr="00237F8C">
        <w:rPr>
          <w:rFonts w:ascii="Aptos Display" w:hAnsi="Aptos Display" w:cs="Arial"/>
          <w:b/>
          <w:bCs/>
          <w:sz w:val="26"/>
          <w:szCs w:val="26"/>
        </w:rPr>
        <w:t xml:space="preserve">CIPD Level 5 </w:t>
      </w:r>
    </w:p>
    <w:p w14:paraId="16A187A3" w14:textId="77777777" w:rsidR="00D2447B" w:rsidRPr="00237F8C" w:rsidRDefault="00D2447B" w:rsidP="00D2447B">
      <w:pPr>
        <w:rPr>
          <w:rFonts w:ascii="Aptos Display" w:hAnsi="Aptos Display" w:cs="Arial"/>
          <w:b/>
          <w:bCs/>
          <w:sz w:val="26"/>
          <w:szCs w:val="26"/>
        </w:rPr>
      </w:pPr>
      <w:r w:rsidRPr="00237F8C">
        <w:rPr>
          <w:rFonts w:ascii="Aptos Display" w:hAnsi="Aptos Display" w:cs="Arial"/>
          <w:b/>
          <w:bCs/>
          <w:sz w:val="26"/>
          <w:szCs w:val="26"/>
        </w:rPr>
        <w:t>Laura Luff</w:t>
      </w:r>
    </w:p>
    <w:p w14:paraId="4DDD3967" w14:textId="77777777" w:rsidR="00D2447B" w:rsidRPr="00237F8C" w:rsidRDefault="00D2447B" w:rsidP="00D2447B">
      <w:pPr>
        <w:rPr>
          <w:rFonts w:ascii="Aptos Display" w:hAnsi="Aptos Display" w:cs="Arial"/>
          <w:b/>
          <w:bCs/>
          <w:sz w:val="26"/>
          <w:szCs w:val="26"/>
        </w:rPr>
      </w:pPr>
      <w:r w:rsidRPr="00237F8C">
        <w:rPr>
          <w:rFonts w:ascii="Aptos Display" w:hAnsi="Aptos Display" w:cs="Arial"/>
          <w:b/>
          <w:bCs/>
          <w:sz w:val="26"/>
          <w:szCs w:val="26"/>
        </w:rPr>
        <w:t>Student Number 2513091</w:t>
      </w:r>
    </w:p>
    <w:p w14:paraId="3AEFFF4E" w14:textId="77777777" w:rsidR="00D2447B" w:rsidRPr="00237F8C" w:rsidRDefault="00D2447B" w:rsidP="00D2447B">
      <w:pPr>
        <w:rPr>
          <w:rFonts w:ascii="Aptos Display" w:hAnsi="Aptos Display" w:cs="Arial"/>
          <w:b/>
          <w:bCs/>
          <w:sz w:val="26"/>
          <w:szCs w:val="26"/>
        </w:rPr>
      </w:pPr>
      <w:r w:rsidRPr="00237F8C">
        <w:rPr>
          <w:rFonts w:ascii="Aptos Display" w:hAnsi="Aptos Display" w:cs="Arial"/>
          <w:b/>
          <w:bCs/>
          <w:sz w:val="26"/>
          <w:szCs w:val="26"/>
        </w:rPr>
        <w:t>Cohort 12</w:t>
      </w:r>
    </w:p>
    <w:p w14:paraId="242239D7" w14:textId="347C28E4" w:rsidR="00D2447B" w:rsidRPr="00237F8C" w:rsidRDefault="0038285D" w:rsidP="00D2447B">
      <w:pPr>
        <w:rPr>
          <w:rFonts w:ascii="Aptos Display" w:hAnsi="Aptos Display" w:cs="Arial"/>
          <w:b/>
          <w:bCs/>
          <w:sz w:val="26"/>
          <w:szCs w:val="26"/>
        </w:rPr>
      </w:pPr>
      <w:r w:rsidRPr="00237F8C">
        <w:rPr>
          <w:rFonts w:ascii="Aptos Display" w:hAnsi="Aptos Display"/>
          <w:b/>
          <w:bCs/>
          <w:sz w:val="26"/>
          <w:szCs w:val="26"/>
          <w:u w:color="004147"/>
          <w:lang w:val="en-US"/>
        </w:rPr>
        <w:t xml:space="preserve">5OS01 </w:t>
      </w:r>
      <w:r w:rsidRPr="00237F8C">
        <w:rPr>
          <w:rFonts w:ascii="Aptos Display" w:eastAsia="Trebuchet MS" w:hAnsi="Aptos Display" w:cs="Trebuchet MS"/>
          <w:b/>
          <w:bCs/>
          <w:sz w:val="26"/>
          <w:szCs w:val="26"/>
          <w:u w:color="004147"/>
          <w:lang w:val="en-US"/>
        </w:rPr>
        <w:br/>
      </w:r>
      <w:r w:rsidRPr="00237F8C">
        <w:rPr>
          <w:rFonts w:ascii="Aptos Display" w:hAnsi="Aptos Display"/>
          <w:b/>
          <w:bCs/>
          <w:sz w:val="26"/>
          <w:szCs w:val="26"/>
          <w:u w:color="004147"/>
          <w:lang w:val="en-US"/>
        </w:rPr>
        <w:t>Specialist employment law</w:t>
      </w:r>
      <w:r w:rsidRPr="00237F8C">
        <w:rPr>
          <w:rFonts w:ascii="Aptos Display" w:hAnsi="Aptos Display" w:cs="Arial"/>
          <w:b/>
          <w:bCs/>
          <w:sz w:val="26"/>
          <w:szCs w:val="26"/>
        </w:rPr>
        <w:t xml:space="preserve"> </w:t>
      </w:r>
    </w:p>
    <w:p w14:paraId="5011B32A" w14:textId="4133CFA9" w:rsidR="00D2447B" w:rsidRPr="00237F8C" w:rsidRDefault="00D2447B" w:rsidP="00D2447B">
      <w:pPr>
        <w:rPr>
          <w:rFonts w:ascii="Aptos Display" w:hAnsi="Aptos Display" w:cs="Arial"/>
          <w:b/>
          <w:bCs/>
          <w:sz w:val="26"/>
          <w:szCs w:val="26"/>
        </w:rPr>
      </w:pPr>
      <w:r w:rsidRPr="00237F8C">
        <w:rPr>
          <w:rFonts w:ascii="Aptos Display" w:hAnsi="Aptos Display" w:cs="Arial"/>
          <w:b/>
          <w:bCs/>
          <w:sz w:val="26"/>
          <w:szCs w:val="26"/>
        </w:rPr>
        <w:t xml:space="preserve">Word Count: </w:t>
      </w:r>
      <w:r w:rsidR="008924E3">
        <w:rPr>
          <w:rFonts w:ascii="Aptos Display" w:hAnsi="Aptos Display" w:cs="Arial"/>
          <w:b/>
          <w:bCs/>
          <w:sz w:val="26"/>
          <w:szCs w:val="26"/>
        </w:rPr>
        <w:t>4</w:t>
      </w:r>
      <w:r w:rsidR="00704713">
        <w:rPr>
          <w:rFonts w:ascii="Aptos Display" w:hAnsi="Aptos Display" w:cs="Arial"/>
          <w:b/>
          <w:bCs/>
          <w:sz w:val="26"/>
          <w:szCs w:val="26"/>
        </w:rPr>
        <w:t>2</w:t>
      </w:r>
      <w:r w:rsidR="00425DA9">
        <w:rPr>
          <w:rFonts w:ascii="Aptos Display" w:hAnsi="Aptos Display" w:cs="Arial"/>
          <w:b/>
          <w:bCs/>
          <w:sz w:val="26"/>
          <w:szCs w:val="26"/>
        </w:rPr>
        <w:t>65</w:t>
      </w:r>
    </w:p>
    <w:p w14:paraId="4CB34ADF" w14:textId="77777777" w:rsidR="008F667E" w:rsidRPr="00237F8C" w:rsidRDefault="008F667E" w:rsidP="00891701">
      <w:pPr>
        <w:pStyle w:val="NormalWeb"/>
        <w:rPr>
          <w:rFonts w:ascii="Aptos Display" w:hAnsi="Aptos Display"/>
          <w:b/>
          <w:bCs/>
          <w:sz w:val="26"/>
          <w:szCs w:val="26"/>
        </w:rPr>
      </w:pPr>
    </w:p>
    <w:p w14:paraId="235EE32F" w14:textId="77777777" w:rsidR="008F667E" w:rsidRPr="00237F8C" w:rsidRDefault="008F667E" w:rsidP="00891701">
      <w:pPr>
        <w:pStyle w:val="NormalWeb"/>
        <w:rPr>
          <w:rFonts w:ascii="Aptos Display" w:hAnsi="Aptos Display"/>
          <w:b/>
          <w:bCs/>
          <w:sz w:val="26"/>
          <w:szCs w:val="26"/>
        </w:rPr>
      </w:pPr>
    </w:p>
    <w:p w14:paraId="10A767BE" w14:textId="77777777" w:rsidR="008F667E" w:rsidRPr="00237F8C" w:rsidRDefault="008F667E" w:rsidP="00891701">
      <w:pPr>
        <w:pStyle w:val="NormalWeb"/>
        <w:rPr>
          <w:rFonts w:ascii="Aptos Display" w:hAnsi="Aptos Display"/>
          <w:b/>
          <w:bCs/>
          <w:sz w:val="26"/>
          <w:szCs w:val="26"/>
        </w:rPr>
      </w:pPr>
    </w:p>
    <w:p w14:paraId="1876E26B" w14:textId="77777777" w:rsidR="008F667E" w:rsidRPr="00237F8C" w:rsidRDefault="008F667E" w:rsidP="00891701">
      <w:pPr>
        <w:pStyle w:val="NormalWeb"/>
        <w:rPr>
          <w:rFonts w:ascii="Aptos Display" w:hAnsi="Aptos Display"/>
          <w:b/>
          <w:bCs/>
          <w:sz w:val="26"/>
          <w:szCs w:val="26"/>
        </w:rPr>
      </w:pPr>
    </w:p>
    <w:p w14:paraId="50A9B13F" w14:textId="77777777" w:rsidR="008F667E" w:rsidRPr="00237F8C" w:rsidRDefault="008F667E" w:rsidP="00891701">
      <w:pPr>
        <w:pStyle w:val="NormalWeb"/>
        <w:rPr>
          <w:rFonts w:ascii="Aptos Display" w:hAnsi="Aptos Display"/>
          <w:b/>
          <w:bCs/>
          <w:sz w:val="26"/>
          <w:szCs w:val="26"/>
        </w:rPr>
      </w:pPr>
    </w:p>
    <w:p w14:paraId="6E0B11FF" w14:textId="77777777" w:rsidR="008F667E" w:rsidRPr="00237F8C" w:rsidRDefault="008F667E" w:rsidP="00891701">
      <w:pPr>
        <w:pStyle w:val="NormalWeb"/>
        <w:rPr>
          <w:rFonts w:ascii="Aptos Display" w:hAnsi="Aptos Display"/>
          <w:b/>
          <w:bCs/>
          <w:sz w:val="26"/>
          <w:szCs w:val="26"/>
        </w:rPr>
      </w:pPr>
    </w:p>
    <w:p w14:paraId="55629F5F" w14:textId="77777777" w:rsidR="008F667E" w:rsidRPr="00237F8C" w:rsidRDefault="008F667E" w:rsidP="00891701">
      <w:pPr>
        <w:pStyle w:val="NormalWeb"/>
        <w:rPr>
          <w:rFonts w:ascii="Aptos Display" w:hAnsi="Aptos Display"/>
          <w:b/>
          <w:bCs/>
          <w:sz w:val="26"/>
          <w:szCs w:val="26"/>
        </w:rPr>
      </w:pPr>
    </w:p>
    <w:p w14:paraId="7706A0D6" w14:textId="77777777" w:rsidR="008F667E" w:rsidRPr="00237F8C" w:rsidRDefault="008F667E" w:rsidP="00891701">
      <w:pPr>
        <w:pStyle w:val="NormalWeb"/>
        <w:rPr>
          <w:rFonts w:ascii="Aptos Display" w:hAnsi="Aptos Display"/>
          <w:b/>
          <w:bCs/>
          <w:sz w:val="26"/>
          <w:szCs w:val="26"/>
        </w:rPr>
      </w:pPr>
    </w:p>
    <w:p w14:paraId="5F6D707F" w14:textId="77777777" w:rsidR="008F667E" w:rsidRPr="00237F8C" w:rsidRDefault="008F667E" w:rsidP="00891701">
      <w:pPr>
        <w:pStyle w:val="NormalWeb"/>
        <w:rPr>
          <w:rFonts w:ascii="Aptos Display" w:hAnsi="Aptos Display"/>
          <w:b/>
          <w:bCs/>
          <w:sz w:val="26"/>
          <w:szCs w:val="26"/>
        </w:rPr>
      </w:pPr>
    </w:p>
    <w:p w14:paraId="7A7F0D57" w14:textId="77777777" w:rsidR="008F667E" w:rsidRPr="00237F8C" w:rsidRDefault="008F667E" w:rsidP="00891701">
      <w:pPr>
        <w:pStyle w:val="NormalWeb"/>
        <w:rPr>
          <w:rFonts w:ascii="Aptos Display" w:hAnsi="Aptos Display"/>
          <w:b/>
          <w:bCs/>
          <w:sz w:val="26"/>
          <w:szCs w:val="26"/>
        </w:rPr>
      </w:pPr>
    </w:p>
    <w:p w14:paraId="7F962241" w14:textId="77777777" w:rsidR="008F667E" w:rsidRPr="00237F8C" w:rsidRDefault="008F667E" w:rsidP="00891701">
      <w:pPr>
        <w:pStyle w:val="NormalWeb"/>
        <w:rPr>
          <w:rFonts w:ascii="Aptos Display" w:hAnsi="Aptos Display"/>
          <w:b/>
          <w:bCs/>
          <w:sz w:val="26"/>
          <w:szCs w:val="26"/>
        </w:rPr>
      </w:pPr>
    </w:p>
    <w:p w14:paraId="339D0881" w14:textId="77777777" w:rsidR="008F667E" w:rsidRPr="00237F8C" w:rsidRDefault="008F667E" w:rsidP="00891701">
      <w:pPr>
        <w:pStyle w:val="NormalWeb"/>
        <w:rPr>
          <w:rFonts w:ascii="Aptos Display" w:hAnsi="Aptos Display"/>
          <w:b/>
          <w:bCs/>
          <w:sz w:val="26"/>
          <w:szCs w:val="26"/>
        </w:rPr>
      </w:pPr>
    </w:p>
    <w:p w14:paraId="260B952A" w14:textId="77777777" w:rsidR="008F667E" w:rsidRPr="00237F8C" w:rsidRDefault="008F667E" w:rsidP="00891701">
      <w:pPr>
        <w:pStyle w:val="NormalWeb"/>
        <w:rPr>
          <w:rFonts w:ascii="Aptos Display" w:hAnsi="Aptos Display"/>
          <w:b/>
          <w:bCs/>
          <w:sz w:val="26"/>
          <w:szCs w:val="26"/>
        </w:rPr>
      </w:pPr>
    </w:p>
    <w:p w14:paraId="5D6B77F9" w14:textId="77777777" w:rsidR="008F667E" w:rsidRPr="00237F8C" w:rsidRDefault="008F667E" w:rsidP="00891701">
      <w:pPr>
        <w:pStyle w:val="NormalWeb"/>
        <w:rPr>
          <w:rFonts w:ascii="Aptos Display" w:hAnsi="Aptos Display"/>
          <w:b/>
          <w:bCs/>
          <w:sz w:val="26"/>
          <w:szCs w:val="26"/>
        </w:rPr>
      </w:pPr>
    </w:p>
    <w:p w14:paraId="676A0A8C" w14:textId="77777777" w:rsidR="008F667E" w:rsidRPr="00237F8C" w:rsidRDefault="008F667E" w:rsidP="00891701">
      <w:pPr>
        <w:pStyle w:val="NormalWeb"/>
        <w:rPr>
          <w:rFonts w:ascii="Aptos Display" w:hAnsi="Aptos Display"/>
          <w:b/>
          <w:bCs/>
          <w:sz w:val="26"/>
          <w:szCs w:val="26"/>
        </w:rPr>
      </w:pPr>
    </w:p>
    <w:p w14:paraId="70A11F43" w14:textId="77777777" w:rsidR="008F667E" w:rsidRPr="00237F8C" w:rsidRDefault="008F667E" w:rsidP="00891701">
      <w:pPr>
        <w:pStyle w:val="NormalWeb"/>
        <w:rPr>
          <w:rFonts w:ascii="Aptos Display" w:hAnsi="Aptos Display"/>
          <w:b/>
          <w:bCs/>
          <w:sz w:val="26"/>
          <w:szCs w:val="26"/>
        </w:rPr>
      </w:pPr>
    </w:p>
    <w:p w14:paraId="18F4608B" w14:textId="77777777" w:rsidR="009A14B3" w:rsidRPr="00237F8C" w:rsidRDefault="009A14B3" w:rsidP="00891701">
      <w:pPr>
        <w:pStyle w:val="NormalWeb"/>
        <w:rPr>
          <w:rFonts w:ascii="Aptos Display" w:hAnsi="Aptos Display"/>
          <w:b/>
          <w:bCs/>
          <w:sz w:val="26"/>
          <w:szCs w:val="26"/>
        </w:rPr>
      </w:pPr>
    </w:p>
    <w:p w14:paraId="70E5B4DA" w14:textId="6B96BDA4" w:rsidR="00DF0E12" w:rsidRPr="00237F8C" w:rsidRDefault="00891701" w:rsidP="00DF0E12">
      <w:pPr>
        <w:pStyle w:val="NormalWeb"/>
        <w:spacing w:before="0" w:beforeAutospacing="0" w:after="180" w:afterAutospacing="0"/>
        <w:rPr>
          <w:rFonts w:ascii="Aptos Display" w:hAnsi="Aptos Display"/>
          <w:color w:val="EE0000"/>
          <w:sz w:val="26"/>
          <w:szCs w:val="26"/>
        </w:rPr>
      </w:pPr>
      <w:r w:rsidRPr="00237F8C">
        <w:rPr>
          <w:rFonts w:ascii="Aptos Display" w:hAnsi="Aptos Display"/>
          <w:b/>
          <w:bCs/>
          <w:sz w:val="26"/>
          <w:szCs w:val="26"/>
        </w:rPr>
        <w:lastRenderedPageBreak/>
        <w:t>AC 1.1</w:t>
      </w:r>
    </w:p>
    <w:p w14:paraId="54066C36" w14:textId="49F267F1" w:rsidR="004E7F78" w:rsidRPr="00A24303" w:rsidRDefault="00891701" w:rsidP="00DF0E12">
      <w:pPr>
        <w:pStyle w:val="NormalWeb"/>
        <w:rPr>
          <w:rFonts w:ascii="Aptos Display" w:hAnsi="Aptos Display" w:cstheme="minorHAnsi"/>
          <w:strike/>
          <w:sz w:val="26"/>
          <w:szCs w:val="26"/>
        </w:rPr>
      </w:pPr>
      <w:r w:rsidRPr="00AC6D76">
        <w:rPr>
          <w:rFonts w:ascii="Aptos Display" w:hAnsi="Aptos Display" w:cstheme="minorHAnsi"/>
          <w:sz w:val="26"/>
          <w:szCs w:val="26"/>
        </w:rPr>
        <w:t xml:space="preserve">I appreciate your concerns regarding the time spent on employment regulation, particularly where this may reduce opportunities to focus on improving employee experience within the Trust. </w:t>
      </w:r>
      <w:r w:rsidR="00DF0E12" w:rsidRPr="00AC6D76">
        <w:rPr>
          <w:rFonts w:ascii="Aptos Display" w:hAnsi="Aptos Display" w:cstheme="minorHAnsi"/>
          <w:color w:val="EE0000"/>
          <w:sz w:val="26"/>
          <w:szCs w:val="26"/>
        </w:rPr>
        <w:t>While this is a common perception</w:t>
      </w:r>
      <w:r w:rsidR="00DF0E12" w:rsidRPr="00625708">
        <w:rPr>
          <w:rFonts w:ascii="Aptos Display" w:hAnsi="Aptos Display" w:cstheme="minorHAnsi"/>
          <w:color w:val="EE0000"/>
          <w:sz w:val="26"/>
          <w:szCs w:val="26"/>
        </w:rPr>
        <w:t>, evidence suggests that</w:t>
      </w:r>
      <w:r w:rsidR="00DF0E12" w:rsidRPr="00AC6D76">
        <w:rPr>
          <w:rFonts w:ascii="Aptos Display" w:hAnsi="Aptos Display" w:cstheme="minorHAnsi"/>
          <w:strike/>
          <w:color w:val="EE0000"/>
          <w:sz w:val="26"/>
          <w:szCs w:val="26"/>
        </w:rPr>
        <w:t xml:space="preserve"> </w:t>
      </w:r>
      <w:r w:rsidR="00DF0E12" w:rsidRPr="00AC6D76">
        <w:rPr>
          <w:rFonts w:ascii="Aptos Display" w:hAnsi="Aptos Display" w:cstheme="minorHAnsi"/>
          <w:color w:val="EE0000"/>
          <w:sz w:val="26"/>
          <w:szCs w:val="26"/>
        </w:rPr>
        <w:t xml:space="preserve">employment regulation is not simply an administrative </w:t>
      </w:r>
      <w:r w:rsidR="00AC6D76" w:rsidRPr="00AC6D76">
        <w:rPr>
          <w:rFonts w:ascii="Aptos Display" w:hAnsi="Aptos Display" w:cstheme="minorHAnsi"/>
          <w:color w:val="EE0000"/>
          <w:sz w:val="26"/>
          <w:szCs w:val="26"/>
        </w:rPr>
        <w:t>burden,</w:t>
      </w:r>
      <w:r w:rsidR="00DF0E12" w:rsidRPr="00AC6D76">
        <w:rPr>
          <w:rFonts w:ascii="Aptos Display" w:hAnsi="Aptos Display" w:cstheme="minorHAnsi"/>
          <w:color w:val="EE0000"/>
          <w:sz w:val="26"/>
          <w:szCs w:val="26"/>
        </w:rPr>
        <w:t xml:space="preserve"> </w:t>
      </w:r>
      <w:r w:rsidR="00DF0E12" w:rsidRPr="00625708">
        <w:rPr>
          <w:rFonts w:ascii="Aptos Display" w:hAnsi="Aptos Display" w:cstheme="minorHAnsi"/>
          <w:color w:val="EE0000"/>
          <w:sz w:val="26"/>
          <w:szCs w:val="26"/>
        </w:rPr>
        <w:t>but a key</w:t>
      </w:r>
      <w:r w:rsidR="00DF0E12" w:rsidRPr="00AC6D76">
        <w:rPr>
          <w:rFonts w:ascii="Aptos Display" w:hAnsi="Aptos Display" w:cstheme="minorHAnsi"/>
          <w:color w:val="EE0000"/>
          <w:sz w:val="26"/>
          <w:szCs w:val="26"/>
        </w:rPr>
        <w:t xml:space="preserve"> framework that supports positive employee experience and organisational effectiveness (CIPD,</w:t>
      </w:r>
      <w:r w:rsidR="00625708">
        <w:rPr>
          <w:rFonts w:ascii="Aptos Display" w:hAnsi="Aptos Display" w:cstheme="minorHAnsi"/>
          <w:color w:val="EE0000"/>
          <w:sz w:val="26"/>
          <w:szCs w:val="26"/>
        </w:rPr>
        <w:t xml:space="preserve"> 2024</w:t>
      </w:r>
      <w:r w:rsidR="00DF0E12" w:rsidRPr="00AC6D76">
        <w:rPr>
          <w:rFonts w:ascii="Aptos Display" w:hAnsi="Aptos Display" w:cstheme="minorHAnsi"/>
          <w:color w:val="EE0000"/>
          <w:sz w:val="26"/>
          <w:szCs w:val="26"/>
        </w:rPr>
        <w:t>).</w:t>
      </w:r>
      <w:r w:rsidR="00DF0E12" w:rsidRPr="00AC6D76">
        <w:rPr>
          <w:rFonts w:ascii="Aptos Display" w:hAnsi="Aptos Display" w:cstheme="minorHAnsi"/>
          <w:sz w:val="26"/>
          <w:szCs w:val="26"/>
        </w:rPr>
        <w:br/>
      </w:r>
      <w:r w:rsidRPr="00B64DB1">
        <w:rPr>
          <w:rFonts w:ascii="Aptos Display" w:hAnsi="Aptos Display" w:cstheme="minorHAnsi"/>
          <w:strike/>
          <w:sz w:val="26"/>
          <w:szCs w:val="26"/>
        </w:rPr>
        <w:t>However, employment regulation is essential for supporting both employees and employers and ensuring organisations operate fairly and effectively.</w:t>
      </w:r>
      <w:r w:rsidR="00DF0E12" w:rsidRPr="00AC6D76">
        <w:rPr>
          <w:rFonts w:ascii="Aptos Display" w:hAnsi="Aptos Display" w:cstheme="minorHAnsi"/>
          <w:sz w:val="26"/>
          <w:szCs w:val="26"/>
        </w:rPr>
        <w:br/>
      </w:r>
      <w:r w:rsidRPr="00AC6D76">
        <w:rPr>
          <w:rFonts w:ascii="Aptos Display" w:hAnsi="Aptos Display" w:cstheme="minorHAnsi"/>
          <w:sz w:val="26"/>
          <w:szCs w:val="26"/>
        </w:rPr>
        <w:t>Employment law sets minimum workplace standards covering areas such as pay, equality, working hours, family leave, dismissal, and health and safety. These protections help prevent discrimination, unsafe conditions, and unfair treatment, creating a safer and more inclusive workplace.</w:t>
      </w:r>
      <w:r w:rsidR="00865268" w:rsidRPr="00AC6D76">
        <w:rPr>
          <w:rFonts w:ascii="Aptos Display" w:hAnsi="Aptos Display" w:cstheme="minorHAnsi"/>
          <w:sz w:val="26"/>
          <w:szCs w:val="26"/>
        </w:rPr>
        <w:t xml:space="preserve"> </w:t>
      </w:r>
      <w:r w:rsidR="00DF0E12" w:rsidRPr="00AC6D76">
        <w:rPr>
          <w:rFonts w:ascii="Aptos Display" w:hAnsi="Aptos Display" w:cstheme="minorHAnsi"/>
          <w:color w:val="EE0000"/>
          <w:sz w:val="26"/>
          <w:szCs w:val="26"/>
        </w:rPr>
        <w:t xml:space="preserve">For example, the Equality Act 2010 </w:t>
      </w:r>
      <w:r w:rsidR="00DF0E12" w:rsidRPr="008D0F2D">
        <w:rPr>
          <w:rFonts w:ascii="Aptos Display" w:hAnsi="Aptos Display" w:cstheme="minorHAnsi"/>
          <w:color w:val="EE0000"/>
          <w:sz w:val="26"/>
          <w:szCs w:val="26"/>
        </w:rPr>
        <w:t>promotes non-discrimination and inclusion, which is strongly associated with improved engagement and retention (ACAS, 2024).</w:t>
      </w:r>
      <w:r w:rsidR="008D0F2D" w:rsidRPr="008D0F2D">
        <w:rPr>
          <w:rFonts w:ascii="Aptos Display" w:hAnsi="Aptos Display" w:cstheme="minorHAnsi"/>
          <w:strike/>
          <w:sz w:val="26"/>
          <w:szCs w:val="26"/>
        </w:rPr>
        <w:t xml:space="preserve"> </w:t>
      </w:r>
      <w:r w:rsidR="00865268" w:rsidRPr="008D0F2D">
        <w:rPr>
          <w:rFonts w:ascii="Aptos Display" w:hAnsi="Aptos Display" w:cstheme="minorHAnsi"/>
          <w:strike/>
          <w:sz w:val="26"/>
          <w:szCs w:val="26"/>
        </w:rPr>
        <w:br/>
      </w:r>
      <w:r w:rsidRPr="008D0F2D">
        <w:rPr>
          <w:rFonts w:ascii="Aptos Display" w:hAnsi="Aptos Display" w:cstheme="minorHAnsi"/>
          <w:sz w:val="26"/>
          <w:szCs w:val="26"/>
        </w:rPr>
        <w:t>It also</w:t>
      </w:r>
      <w:r w:rsidRPr="00AC6D76">
        <w:rPr>
          <w:rFonts w:ascii="Aptos Display" w:hAnsi="Aptos Display" w:cstheme="minorHAnsi"/>
          <w:sz w:val="26"/>
          <w:szCs w:val="26"/>
        </w:rPr>
        <w:t xml:space="preserve"> provides organisations with clear processes for recruitment, disciplinary action, grievances, redundancy, and dismissal.</w:t>
      </w:r>
      <w:r w:rsidRPr="008D0F2D">
        <w:rPr>
          <w:rFonts w:ascii="Aptos Display" w:hAnsi="Aptos Display" w:cstheme="minorHAnsi"/>
          <w:sz w:val="26"/>
          <w:szCs w:val="26"/>
        </w:rPr>
        <w:t xml:space="preserve"> </w:t>
      </w:r>
      <w:r w:rsidRPr="00621D3E">
        <w:rPr>
          <w:rFonts w:ascii="Aptos Display" w:hAnsi="Aptos Display" w:cstheme="minorHAnsi"/>
          <w:sz w:val="26"/>
          <w:szCs w:val="26"/>
        </w:rPr>
        <w:t>While compliance can be time-consuming, it helps reduce the risk of tribunals, financial penalties, reputational damage, and employee relations issues.</w:t>
      </w:r>
      <w:r w:rsidR="00CF6901" w:rsidRPr="00621D3E">
        <w:rPr>
          <w:rFonts w:ascii="Aptos Display" w:hAnsi="Aptos Display" w:cstheme="minorHAnsi"/>
          <w:sz w:val="26"/>
          <w:szCs w:val="26"/>
        </w:rPr>
        <w:t xml:space="preserve"> </w:t>
      </w:r>
      <w:r w:rsidR="00A24303" w:rsidRPr="00704713">
        <w:rPr>
          <w:rFonts w:ascii="Aptos Display" w:hAnsi="Aptos Display" w:cstheme="minorHAnsi"/>
          <w:sz w:val="26"/>
          <w:szCs w:val="26"/>
        </w:rPr>
        <w:t xml:space="preserve">Employment legislation also supports wellbeing and organisational performance. Employees are more likely to feel engaged and motivated when treated fairly and consistently. </w:t>
      </w:r>
      <w:r w:rsidR="00A24303" w:rsidRPr="00A24303">
        <w:rPr>
          <w:rFonts w:ascii="Aptos Display" w:hAnsi="Aptos Display" w:cstheme="minorHAnsi"/>
          <w:strike/>
          <w:sz w:val="26"/>
          <w:szCs w:val="26"/>
        </w:rPr>
        <w:t>Equality and health and safety laws help promote inclusion and protect wellbeing, meaning regulation often improves employee experience rather than detracting from it.</w:t>
      </w:r>
    </w:p>
    <w:p w14:paraId="2D492CA9" w14:textId="724ECC74" w:rsidR="006A6771" w:rsidRPr="008D0F2D" w:rsidRDefault="00CF6901" w:rsidP="00DF0E12">
      <w:pPr>
        <w:pStyle w:val="NormalWeb"/>
        <w:rPr>
          <w:rFonts w:ascii="Aptos Display" w:hAnsi="Aptos Display" w:cstheme="minorHAnsi"/>
          <w:strike/>
          <w:sz w:val="26"/>
          <w:szCs w:val="26"/>
        </w:rPr>
      </w:pPr>
      <w:r w:rsidRPr="008D0F2D">
        <w:rPr>
          <w:rFonts w:ascii="Aptos Display" w:hAnsi="Aptos Display" w:cstheme="minorHAnsi"/>
          <w:color w:val="0070C0"/>
          <w:sz w:val="26"/>
          <w:szCs w:val="26"/>
        </w:rPr>
        <w:t>Fair and transparent procedures encourage consistency in decision-making and can protect both the employee and the organisation (</w:t>
      </w:r>
      <w:r w:rsidR="00AF0762" w:rsidRPr="008D0F2D">
        <w:rPr>
          <w:rFonts w:ascii="Aptos Display" w:hAnsi="Aptos Display" w:cstheme="minorHAnsi"/>
          <w:color w:val="0070C0"/>
          <w:sz w:val="26"/>
          <w:szCs w:val="26"/>
        </w:rPr>
        <w:t>CIPD 2026</w:t>
      </w:r>
      <w:r w:rsidRPr="008D0F2D">
        <w:rPr>
          <w:rFonts w:ascii="Aptos Display" w:hAnsi="Aptos Display" w:cstheme="minorHAnsi"/>
          <w:color w:val="0070C0"/>
          <w:sz w:val="26"/>
          <w:szCs w:val="26"/>
        </w:rPr>
        <w:t>). This is particularly important in a large NHS Trust where inconsistent practices could contribute to poor employee relations and legal claims.</w:t>
      </w:r>
    </w:p>
    <w:p w14:paraId="717DA3ED" w14:textId="166F8E18" w:rsidR="00681A1C" w:rsidRDefault="007617E8" w:rsidP="00681A1C">
      <w:pPr>
        <w:pStyle w:val="NormalWeb"/>
        <w:spacing w:before="0" w:beforeAutospacing="0" w:after="180" w:afterAutospacing="0"/>
        <w:rPr>
          <w:rFonts w:ascii="Aptos Display" w:hAnsi="Aptos Display" w:cstheme="minorHAnsi"/>
          <w:color w:val="0070C0"/>
          <w:sz w:val="26"/>
          <w:szCs w:val="26"/>
        </w:rPr>
      </w:pPr>
      <w:r>
        <w:rPr>
          <w:rFonts w:ascii="Aptos Display" w:hAnsi="Aptos Display" w:cstheme="minorHAnsi"/>
          <w:color w:val="0070C0"/>
          <w:sz w:val="26"/>
          <w:szCs w:val="26"/>
        </w:rPr>
        <w:t>In contrast</w:t>
      </w:r>
      <w:r w:rsidR="00CF6901" w:rsidRPr="008D0F2D">
        <w:rPr>
          <w:rFonts w:ascii="Aptos Display" w:hAnsi="Aptos Display" w:cstheme="minorHAnsi"/>
          <w:color w:val="0070C0"/>
          <w:sz w:val="26"/>
          <w:szCs w:val="26"/>
        </w:rPr>
        <w:t>, employment regulation also has disadvantages. Compliance can be time-consuming and create administrative demands through record-keeping, consultation and formal procedures. Therefore, your concern has some validity, as this time could otherwise be spent on activities that directly improve employee experience. Regulation may also reduce managerial flexibility, while excessive emphasis on following procedures could result in process becoming more important than achieving positive outcomes.</w:t>
      </w:r>
    </w:p>
    <w:p w14:paraId="342F0EC3" w14:textId="085CF708" w:rsidR="00DF0E12" w:rsidRPr="00425DA9" w:rsidRDefault="0066760F" w:rsidP="00681A1C">
      <w:pPr>
        <w:pStyle w:val="NormalWeb"/>
        <w:spacing w:before="0" w:beforeAutospacing="0" w:after="180" w:afterAutospacing="0"/>
        <w:rPr>
          <w:rFonts w:ascii="Aptos Display" w:hAnsi="Aptos Display" w:cstheme="minorHAnsi"/>
          <w:color w:val="0070C0"/>
          <w:sz w:val="26"/>
          <w:szCs w:val="26"/>
        </w:rPr>
      </w:pPr>
      <w:r w:rsidRPr="00AC6D76">
        <w:rPr>
          <w:rFonts w:ascii="Aptos Display" w:hAnsi="Aptos Display" w:cstheme="minorHAnsi"/>
          <w:sz w:val="26"/>
          <w:szCs w:val="26"/>
        </w:rPr>
        <w:br/>
      </w:r>
      <w:r w:rsidR="00891701" w:rsidRPr="00425DA9">
        <w:rPr>
          <w:rFonts w:ascii="Aptos Display" w:hAnsi="Aptos Display" w:cstheme="minorHAnsi"/>
          <w:sz w:val="26"/>
          <w:szCs w:val="26"/>
        </w:rPr>
        <w:t>Furthermore, as a Trust, maintaining compliance with employment law is particularly important due to public accountability and ethical responsibilities. Demonstrating fair and lawful employment practices helps build trust with employees, trade unions, service users and regulators.</w:t>
      </w:r>
      <w:r w:rsidR="00865268" w:rsidRPr="00425DA9">
        <w:rPr>
          <w:rFonts w:ascii="Aptos Display" w:hAnsi="Aptos Display" w:cstheme="minorHAnsi"/>
          <w:sz w:val="26"/>
          <w:szCs w:val="26"/>
        </w:rPr>
        <w:t xml:space="preserve"> </w:t>
      </w:r>
      <w:r w:rsidR="00DF0E12" w:rsidRPr="00425DA9">
        <w:rPr>
          <w:rFonts w:ascii="Aptos Display" w:hAnsi="Aptos Display" w:cstheme="minorHAnsi"/>
          <w:color w:val="EE0000"/>
          <w:sz w:val="26"/>
          <w:szCs w:val="26"/>
        </w:rPr>
        <w:t xml:space="preserve">Compliance with employment law supports public </w:t>
      </w:r>
      <w:r w:rsidR="00DF0E12" w:rsidRPr="00425DA9">
        <w:rPr>
          <w:rFonts w:ascii="Aptos Display" w:hAnsi="Aptos Display" w:cstheme="minorHAnsi"/>
          <w:color w:val="EE0000"/>
          <w:sz w:val="26"/>
          <w:szCs w:val="26"/>
        </w:rPr>
        <w:lastRenderedPageBreak/>
        <w:t>confidence and demonstrates ethical leadership, while strengthening relationships with regulators, trade unions, and service users (</w:t>
      </w:r>
      <w:hyperlink r:id="rId8" w:history="1">
        <w:r w:rsidR="00DF0E12" w:rsidRPr="00425DA9">
          <w:rPr>
            <w:rStyle w:val="Hyperlink"/>
            <w:rFonts w:ascii="Aptos Display" w:hAnsi="Aptos Display" w:cstheme="minorHAnsi"/>
            <w:color w:val="EE0000"/>
            <w:sz w:val="26"/>
            <w:szCs w:val="26"/>
            <w:u w:val="none"/>
          </w:rPr>
          <w:t>Gov.uk</w:t>
        </w:r>
      </w:hyperlink>
      <w:r w:rsidR="00DF0E12" w:rsidRPr="00425DA9">
        <w:rPr>
          <w:rFonts w:ascii="Aptos Display" w:hAnsi="Aptos Display" w:cstheme="minorHAnsi"/>
          <w:color w:val="EE0000"/>
          <w:sz w:val="26"/>
          <w:szCs w:val="26"/>
        </w:rPr>
        <w:t>, 2024).</w:t>
      </w:r>
    </w:p>
    <w:p w14:paraId="15018ACD" w14:textId="0051BF2D" w:rsidR="00DF0E12" w:rsidRPr="00AC6D76" w:rsidRDefault="00891701" w:rsidP="00DF0E12">
      <w:pPr>
        <w:pStyle w:val="NormalWeb"/>
        <w:rPr>
          <w:rFonts w:ascii="Aptos Display" w:hAnsi="Aptos Display" w:cstheme="minorHAnsi"/>
          <w:strike/>
          <w:sz w:val="26"/>
          <w:szCs w:val="26"/>
        </w:rPr>
      </w:pPr>
      <w:r w:rsidRPr="00AC6D76">
        <w:rPr>
          <w:rFonts w:ascii="Aptos Display" w:hAnsi="Aptos Display" w:cstheme="minorHAnsi"/>
          <w:strike/>
          <w:sz w:val="26"/>
          <w:szCs w:val="26"/>
        </w:rPr>
        <w:t>Although employment regulation can create administrative burdens, these activities provide the legal and ethical foundation for positive people practices. Without effective compliance, efforts to improve employee experience may lack fairness and consistency.</w:t>
      </w:r>
    </w:p>
    <w:p w14:paraId="79AF77F1" w14:textId="60DAFF15" w:rsidR="00DF0E12" w:rsidRPr="00AC6D76" w:rsidRDefault="00DF0E12" w:rsidP="00DF0E12">
      <w:pPr>
        <w:pStyle w:val="NormalWeb"/>
        <w:spacing w:before="0" w:beforeAutospacing="0" w:after="180" w:afterAutospacing="0"/>
        <w:rPr>
          <w:rFonts w:ascii="Aptos Display" w:hAnsi="Aptos Display" w:cstheme="minorHAnsi"/>
          <w:strike/>
          <w:color w:val="EE0000"/>
          <w:sz w:val="26"/>
          <w:szCs w:val="26"/>
        </w:rPr>
      </w:pPr>
      <w:r w:rsidRPr="00AC6D76">
        <w:rPr>
          <w:rFonts w:ascii="Aptos Display" w:hAnsi="Aptos Display" w:cstheme="minorHAnsi"/>
          <w:strike/>
          <w:color w:val="EE0000"/>
          <w:sz w:val="26"/>
          <w:szCs w:val="26"/>
        </w:rPr>
        <w:t>From an organisational perspective, employment regulation provides structure and consistency in decision-making. Clear legal frameworks for recruitment, disciplinary processes, grievance handling, redundancy, and dismissal help managers apply fair and transparent processes. This is particularly important in large NHS organisations, where inconsistency can lead to legal claims, reputational damage, and poor employee relations (CIPD, 2024).</w:t>
      </w:r>
    </w:p>
    <w:p w14:paraId="448305D4" w14:textId="03A7F4BC" w:rsidR="00DF0E12" w:rsidRPr="00AC6D76" w:rsidRDefault="00DF0E12" w:rsidP="00DF0E12">
      <w:pPr>
        <w:pStyle w:val="NormalWeb"/>
        <w:spacing w:before="0" w:beforeAutospacing="0" w:after="180" w:afterAutospacing="0"/>
        <w:rPr>
          <w:rFonts w:ascii="Aptos Display" w:hAnsi="Aptos Display" w:cstheme="minorHAnsi"/>
          <w:color w:val="EE0000"/>
          <w:sz w:val="26"/>
          <w:szCs w:val="26"/>
        </w:rPr>
      </w:pPr>
      <w:r w:rsidRPr="00AC6D76">
        <w:rPr>
          <w:rFonts w:ascii="Aptos Display" w:hAnsi="Aptos Display" w:cstheme="minorHAnsi"/>
          <w:color w:val="EE0000"/>
          <w:sz w:val="26"/>
          <w:szCs w:val="26"/>
        </w:rPr>
        <w:t xml:space="preserve">Although compliance activities can appear time-consuming, they play an important preventative role. For instance, failure to follow fair dismissal procedures </w:t>
      </w:r>
      <w:r w:rsidRPr="0060451F">
        <w:rPr>
          <w:rFonts w:ascii="Aptos Display" w:hAnsi="Aptos Display" w:cstheme="minorHAnsi"/>
          <w:color w:val="EE0000"/>
          <w:sz w:val="26"/>
          <w:szCs w:val="26"/>
        </w:rPr>
        <w:t>under the</w:t>
      </w:r>
      <w:r w:rsidRPr="00AC6D76">
        <w:rPr>
          <w:rFonts w:ascii="Aptos Display" w:hAnsi="Aptos Display" w:cstheme="minorHAnsi"/>
          <w:strike/>
          <w:color w:val="EE0000"/>
          <w:sz w:val="26"/>
          <w:szCs w:val="26"/>
        </w:rPr>
        <w:t xml:space="preserve"> </w:t>
      </w:r>
      <w:r w:rsidRPr="0060451F">
        <w:rPr>
          <w:rFonts w:ascii="Aptos Display" w:hAnsi="Aptos Display" w:cstheme="minorHAnsi"/>
          <w:color w:val="EE0000"/>
          <w:sz w:val="26"/>
          <w:szCs w:val="26"/>
        </w:rPr>
        <w:t xml:space="preserve">Employment Rights Act 1996 </w:t>
      </w:r>
      <w:r w:rsidRPr="00AC6D76">
        <w:rPr>
          <w:rFonts w:ascii="Aptos Display" w:hAnsi="Aptos Display" w:cstheme="minorHAnsi"/>
          <w:color w:val="EE0000"/>
          <w:sz w:val="26"/>
          <w:szCs w:val="26"/>
        </w:rPr>
        <w:t>can result in tribunal claims</w:t>
      </w:r>
      <w:r w:rsidR="00AC6D76" w:rsidRPr="00AC6D76">
        <w:rPr>
          <w:rFonts w:ascii="Aptos Display" w:hAnsi="Aptos Display" w:cstheme="minorHAnsi"/>
          <w:color w:val="EE0000"/>
          <w:sz w:val="26"/>
          <w:szCs w:val="26"/>
        </w:rPr>
        <w:t xml:space="preserve"> </w:t>
      </w:r>
      <w:r w:rsidRPr="0060451F">
        <w:rPr>
          <w:rFonts w:ascii="Aptos Display" w:hAnsi="Aptos Display" w:cstheme="minorHAnsi"/>
          <w:color w:val="EE0000"/>
          <w:sz w:val="26"/>
          <w:szCs w:val="26"/>
        </w:rPr>
        <w:t xml:space="preserve">and financial penalties. </w:t>
      </w:r>
      <w:r w:rsidRPr="00AC6D76">
        <w:rPr>
          <w:rFonts w:ascii="Aptos Display" w:hAnsi="Aptos Display" w:cstheme="minorHAnsi"/>
          <w:color w:val="EE0000"/>
          <w:sz w:val="26"/>
          <w:szCs w:val="26"/>
        </w:rPr>
        <w:t xml:space="preserve">Similarly, breaches of </w:t>
      </w:r>
      <w:r w:rsidRPr="0060451F">
        <w:rPr>
          <w:rFonts w:ascii="Aptos Display" w:hAnsi="Aptos Display" w:cstheme="minorHAnsi"/>
          <w:color w:val="EE0000"/>
          <w:sz w:val="26"/>
          <w:szCs w:val="26"/>
        </w:rPr>
        <w:t>working time or</w:t>
      </w:r>
      <w:r w:rsidRPr="00AC6D76">
        <w:rPr>
          <w:rFonts w:ascii="Aptos Display" w:hAnsi="Aptos Display" w:cstheme="minorHAnsi"/>
          <w:color w:val="EE0000"/>
          <w:sz w:val="26"/>
          <w:szCs w:val="26"/>
        </w:rPr>
        <w:t xml:space="preserve"> health and safety </w:t>
      </w:r>
      <w:r w:rsidRPr="0060451F">
        <w:rPr>
          <w:rFonts w:ascii="Aptos Display" w:hAnsi="Aptos Display" w:cstheme="minorHAnsi"/>
          <w:color w:val="EE0000"/>
          <w:sz w:val="26"/>
          <w:szCs w:val="26"/>
        </w:rPr>
        <w:t>regulations can increase sickness absence and reduce productivity</w:t>
      </w:r>
      <w:r w:rsidR="00AC6D76" w:rsidRPr="00AC6D76">
        <w:rPr>
          <w:rFonts w:ascii="Aptos Display" w:hAnsi="Aptos Display" w:cstheme="minorHAnsi"/>
          <w:color w:val="EE0000"/>
          <w:sz w:val="26"/>
          <w:szCs w:val="26"/>
        </w:rPr>
        <w:t xml:space="preserve"> </w:t>
      </w:r>
      <w:r w:rsidRPr="00AC6D76">
        <w:rPr>
          <w:rFonts w:ascii="Aptos Display" w:hAnsi="Aptos Display" w:cstheme="minorHAnsi"/>
          <w:color w:val="EE0000"/>
          <w:sz w:val="26"/>
          <w:szCs w:val="26"/>
        </w:rPr>
        <w:t>(HSE, 2024). Compliance therefore acts as a risk management tool rather than a purely administrative task.</w:t>
      </w:r>
    </w:p>
    <w:p w14:paraId="260C64C8" w14:textId="5A3D5F5C" w:rsidR="00DF0E12" w:rsidRPr="00AC6D76" w:rsidRDefault="00DF0E12" w:rsidP="00DF0E12">
      <w:pPr>
        <w:pStyle w:val="NormalWeb"/>
        <w:spacing w:before="0" w:beforeAutospacing="0" w:after="180" w:afterAutospacing="0"/>
        <w:rPr>
          <w:rFonts w:ascii="Aptos Display" w:hAnsi="Aptos Display" w:cstheme="minorHAnsi"/>
          <w:strike/>
          <w:color w:val="EE0000"/>
          <w:sz w:val="26"/>
          <w:szCs w:val="26"/>
        </w:rPr>
      </w:pPr>
      <w:r w:rsidRPr="00AC6D76">
        <w:rPr>
          <w:rFonts w:ascii="Aptos Display" w:hAnsi="Aptos Display" w:cstheme="minorHAnsi"/>
          <w:strike/>
          <w:color w:val="EE0000"/>
          <w:sz w:val="26"/>
          <w:szCs w:val="26"/>
        </w:rPr>
        <w:t>Importantly, employment regulation also supports employee wellbeing and organisational culture. Research shows that employees are more likely to feel valued and psychologically safe when they perceive fairness and transparency in how they are treated (ACAS, 2024). This demonstrates that regulation and employee experience are closely linked rather than competing priorities.</w:t>
      </w:r>
    </w:p>
    <w:p w14:paraId="70773B2C" w14:textId="55C8991E" w:rsidR="00DF0E12" w:rsidRPr="00AC6D76" w:rsidRDefault="00891701" w:rsidP="00DF0E12">
      <w:pPr>
        <w:pStyle w:val="NormalWeb"/>
        <w:rPr>
          <w:rFonts w:ascii="Aptos Display" w:hAnsi="Aptos Display" w:cstheme="minorHAnsi"/>
          <w:sz w:val="26"/>
          <w:szCs w:val="26"/>
        </w:rPr>
      </w:pPr>
      <w:r w:rsidRPr="00AC6D76">
        <w:rPr>
          <w:rFonts w:ascii="Aptos Display" w:hAnsi="Aptos Display" w:cstheme="minorHAnsi"/>
          <w:sz w:val="26"/>
          <w:szCs w:val="26"/>
        </w:rPr>
        <w:t>Overall, while employment regulation can take significant time, it plays a vital role in protecting employees, supporting organisational effectiveness, and creating a positive workplace culture.</w:t>
      </w:r>
    </w:p>
    <w:p w14:paraId="0B162990" w14:textId="7F736C9A" w:rsidR="006A6771" w:rsidRDefault="007617E8" w:rsidP="00AC6D76">
      <w:pPr>
        <w:pStyle w:val="NormalWeb"/>
        <w:spacing w:before="0" w:beforeAutospacing="0" w:after="180" w:afterAutospacing="0"/>
        <w:rPr>
          <w:rFonts w:ascii="Aptos Display" w:hAnsi="Aptos Display" w:cstheme="minorHAnsi"/>
          <w:color w:val="0070C0"/>
          <w:sz w:val="26"/>
          <w:szCs w:val="26"/>
        </w:rPr>
      </w:pPr>
      <w:r>
        <w:rPr>
          <w:rFonts w:ascii="Aptos Display" w:hAnsi="Aptos Display" w:cstheme="minorHAnsi"/>
          <w:color w:val="0070C0"/>
          <w:sz w:val="26"/>
          <w:szCs w:val="26"/>
        </w:rPr>
        <w:t>Even so</w:t>
      </w:r>
      <w:r w:rsidR="006A6771" w:rsidRPr="008D0F2D">
        <w:rPr>
          <w:rFonts w:ascii="Aptos Display" w:hAnsi="Aptos Display" w:cstheme="minorHAnsi"/>
          <w:color w:val="0070C0"/>
          <w:sz w:val="26"/>
          <w:szCs w:val="26"/>
        </w:rPr>
        <w:t xml:space="preserve">, these benefits need to be balanced against the administrative cost and potential loss of managerial flexibility. Regulation therefore supports employee experience where it is applied efficiently and proportionately but may detract from it where process becomes an </w:t>
      </w:r>
      <w:proofErr w:type="gramStart"/>
      <w:r w:rsidR="006A6771" w:rsidRPr="008D0F2D">
        <w:rPr>
          <w:rFonts w:ascii="Aptos Display" w:hAnsi="Aptos Display" w:cstheme="minorHAnsi"/>
          <w:color w:val="0070C0"/>
          <w:sz w:val="26"/>
          <w:szCs w:val="26"/>
        </w:rPr>
        <w:t>end in itself</w:t>
      </w:r>
      <w:proofErr w:type="gramEnd"/>
      <w:r w:rsidR="006A6771" w:rsidRPr="008D0F2D">
        <w:rPr>
          <w:rFonts w:ascii="Aptos Display" w:hAnsi="Aptos Display" w:cstheme="minorHAnsi"/>
          <w:color w:val="0070C0"/>
          <w:sz w:val="26"/>
          <w:szCs w:val="26"/>
        </w:rPr>
        <w:t>. For the Trust, the objective should be proportionate compliance that protects employees while avoiding unnecessary bureaucracy.</w:t>
      </w:r>
    </w:p>
    <w:p w14:paraId="5AEEF908" w14:textId="77777777" w:rsidR="004B6278" w:rsidRDefault="004B6278" w:rsidP="00AC6D76">
      <w:pPr>
        <w:pStyle w:val="NormalWeb"/>
        <w:spacing w:before="0" w:beforeAutospacing="0" w:after="180" w:afterAutospacing="0"/>
        <w:rPr>
          <w:rFonts w:ascii="Aptos Display" w:hAnsi="Aptos Display" w:cstheme="minorHAnsi"/>
          <w:color w:val="0070C0"/>
          <w:sz w:val="26"/>
          <w:szCs w:val="26"/>
        </w:rPr>
      </w:pPr>
    </w:p>
    <w:p w14:paraId="22342F06" w14:textId="77777777" w:rsidR="004B6278" w:rsidRDefault="004B6278" w:rsidP="00AC6D76">
      <w:pPr>
        <w:pStyle w:val="NormalWeb"/>
        <w:spacing w:before="0" w:beforeAutospacing="0" w:after="180" w:afterAutospacing="0"/>
        <w:rPr>
          <w:rFonts w:ascii="Aptos Display" w:hAnsi="Aptos Display" w:cstheme="minorHAnsi"/>
          <w:color w:val="0070C0"/>
          <w:sz w:val="26"/>
          <w:szCs w:val="26"/>
        </w:rPr>
      </w:pPr>
    </w:p>
    <w:p w14:paraId="67A92CFE" w14:textId="77777777" w:rsidR="004B6278" w:rsidRDefault="004B6278" w:rsidP="00AC6D76">
      <w:pPr>
        <w:pStyle w:val="NormalWeb"/>
        <w:spacing w:before="0" w:beforeAutospacing="0" w:after="180" w:afterAutospacing="0"/>
        <w:rPr>
          <w:rFonts w:ascii="Aptos Display" w:hAnsi="Aptos Display" w:cstheme="minorHAnsi"/>
          <w:color w:val="0070C0"/>
          <w:sz w:val="26"/>
          <w:szCs w:val="26"/>
        </w:rPr>
      </w:pPr>
    </w:p>
    <w:p w14:paraId="2C111060" w14:textId="77777777" w:rsidR="004B6278" w:rsidRPr="008D0F2D" w:rsidRDefault="004B6278" w:rsidP="00AC6D76">
      <w:pPr>
        <w:pStyle w:val="NormalWeb"/>
        <w:spacing w:before="0" w:beforeAutospacing="0" w:after="180" w:afterAutospacing="0"/>
        <w:rPr>
          <w:rFonts w:ascii="Aptos Display" w:hAnsi="Aptos Display" w:cstheme="minorHAnsi"/>
          <w:color w:val="0070C0"/>
          <w:sz w:val="26"/>
          <w:szCs w:val="26"/>
        </w:rPr>
      </w:pPr>
    </w:p>
    <w:p w14:paraId="445637DF" w14:textId="41D37015" w:rsidR="00D943EE" w:rsidRPr="00237F8C" w:rsidRDefault="00891701" w:rsidP="00D943EE">
      <w:pPr>
        <w:pStyle w:val="NormalWeb"/>
        <w:rPr>
          <w:rFonts w:ascii="Aptos Display" w:hAnsi="Aptos Display"/>
          <w:b/>
          <w:bCs/>
          <w:sz w:val="26"/>
          <w:szCs w:val="26"/>
        </w:rPr>
      </w:pPr>
      <w:r w:rsidRPr="00237F8C">
        <w:rPr>
          <w:rFonts w:ascii="Aptos Display" w:hAnsi="Aptos Display"/>
          <w:b/>
          <w:bCs/>
          <w:sz w:val="26"/>
          <w:szCs w:val="26"/>
        </w:rPr>
        <w:lastRenderedPageBreak/>
        <w:t>AC 1.</w:t>
      </w:r>
      <w:r w:rsidR="00D943EE" w:rsidRPr="00237F8C">
        <w:rPr>
          <w:rFonts w:ascii="Aptos Display" w:hAnsi="Aptos Display"/>
          <w:b/>
          <w:bCs/>
          <w:sz w:val="26"/>
          <w:szCs w:val="26"/>
        </w:rPr>
        <w:t>2</w:t>
      </w:r>
    </w:p>
    <w:p w14:paraId="4E8F92DE" w14:textId="77777777" w:rsidR="00D943EE" w:rsidRPr="00237F8C" w:rsidRDefault="00891701" w:rsidP="00891701">
      <w:pPr>
        <w:pStyle w:val="NormalWeb"/>
        <w:spacing w:before="0" w:beforeAutospacing="0" w:after="180" w:afterAutospacing="0"/>
        <w:rPr>
          <w:rFonts w:ascii="Aptos Display" w:hAnsi="Aptos Display" w:cs="Times New Roman"/>
          <w:sz w:val="26"/>
          <w:szCs w:val="26"/>
        </w:rPr>
      </w:pPr>
      <w:r w:rsidRPr="00237F8C">
        <w:rPr>
          <w:rFonts w:ascii="Aptos Display" w:hAnsi="Aptos Display" w:cs="Times New Roman"/>
          <w:sz w:val="26"/>
          <w:szCs w:val="26"/>
        </w:rPr>
        <w:t>Further to your query regarding the status of judgments made by the European Court of Justice (ECJ) prior to the UK leaving the European Union in 2020, these judgments largely continue to remain part of UK law, although their legal authority has changed since Brexit.</w:t>
      </w:r>
    </w:p>
    <w:p w14:paraId="1CB253F7" w14:textId="77777777" w:rsidR="00D943EE" w:rsidRPr="00237F8C" w:rsidRDefault="0066760F" w:rsidP="00891701">
      <w:pPr>
        <w:pStyle w:val="NormalWeb"/>
        <w:spacing w:before="0" w:beforeAutospacing="0" w:after="180" w:afterAutospacing="0"/>
        <w:rPr>
          <w:rFonts w:ascii="Aptos Display" w:hAnsi="Aptos Display" w:cs="Times New Roman"/>
          <w:sz w:val="26"/>
          <w:szCs w:val="26"/>
        </w:rPr>
      </w:pPr>
      <w:r w:rsidRPr="00237F8C">
        <w:rPr>
          <w:rFonts w:ascii="Aptos Display" w:hAnsi="Aptos Display"/>
          <w:sz w:val="26"/>
          <w:szCs w:val="26"/>
        </w:rPr>
        <w:br/>
      </w:r>
      <w:r w:rsidR="00891701" w:rsidRPr="00237F8C">
        <w:rPr>
          <w:rFonts w:ascii="Aptos Display" w:hAnsi="Aptos Display" w:cs="Times New Roman"/>
          <w:sz w:val="26"/>
          <w:szCs w:val="26"/>
        </w:rPr>
        <w:t>Under the European Union (Withdrawal) Act 2018, EU law that applied in the UK before the end of the transition period on 31 December 2020 was incorporated into domestic legislation as “retained EU law</w:t>
      </w:r>
      <w:r w:rsidR="00891701" w:rsidRPr="008E0729">
        <w:rPr>
          <w:rFonts w:ascii="Aptos Display" w:hAnsi="Aptos Display" w:cs="Times New Roman"/>
          <w:sz w:val="26"/>
          <w:szCs w:val="26"/>
        </w:rPr>
        <w:t xml:space="preserve">.” </w:t>
      </w:r>
      <w:r w:rsidR="00D943EE" w:rsidRPr="008E0729">
        <w:rPr>
          <w:rFonts w:ascii="Aptos Display" w:hAnsi="Aptos Display" w:cs="Times New Roman"/>
          <w:color w:val="EE0000"/>
          <w:sz w:val="26"/>
          <w:szCs w:val="26"/>
        </w:rPr>
        <w:t>(</w:t>
      </w:r>
      <w:hyperlink r:id="rId9" w:history="1">
        <w:r w:rsidR="00D943EE" w:rsidRPr="008E0729">
          <w:rPr>
            <w:rStyle w:val="Hyperlink"/>
            <w:rFonts w:ascii="Aptos Display" w:hAnsi="Aptos Display" w:cs="Times New Roman"/>
            <w:color w:val="EE0000"/>
            <w:sz w:val="26"/>
            <w:szCs w:val="26"/>
            <w:u w:val="none"/>
          </w:rPr>
          <w:t>Gov.uk</w:t>
        </w:r>
      </w:hyperlink>
      <w:r w:rsidR="00D943EE" w:rsidRPr="008E0729">
        <w:rPr>
          <w:rFonts w:ascii="Aptos Display" w:hAnsi="Aptos Display" w:cs="Times New Roman"/>
          <w:color w:val="EE0000"/>
          <w:sz w:val="26"/>
          <w:szCs w:val="26"/>
        </w:rPr>
        <w:t>,</w:t>
      </w:r>
      <w:r w:rsidR="00D943EE" w:rsidRPr="00237F8C">
        <w:rPr>
          <w:rFonts w:ascii="Aptos Display" w:hAnsi="Aptos Display" w:cs="Times New Roman"/>
          <w:color w:val="EE0000"/>
          <w:sz w:val="26"/>
          <w:szCs w:val="26"/>
        </w:rPr>
        <w:t xml:space="preserve"> 2018). </w:t>
      </w:r>
      <w:r w:rsidR="00891701" w:rsidRPr="00237F8C">
        <w:rPr>
          <w:rFonts w:ascii="Aptos Display" w:hAnsi="Aptos Display" w:cs="Times New Roman"/>
          <w:sz w:val="26"/>
          <w:szCs w:val="26"/>
        </w:rPr>
        <w:t>This included existing ECJ decisions and legal principles. The purpose of retaining this law was to ensure continuity, stability and legal certainty following the UK’s withdrawal from the EU.</w:t>
      </w:r>
      <w:r w:rsidR="00D943EE" w:rsidRPr="00237F8C">
        <w:rPr>
          <w:rFonts w:ascii="Aptos Display" w:hAnsi="Aptos Display" w:cs="Times New Roman"/>
          <w:color w:val="EE0000"/>
          <w:sz w:val="26"/>
          <w:szCs w:val="26"/>
        </w:rPr>
        <w:t xml:space="preserve"> (House of Commons Library, 2023).</w:t>
      </w:r>
    </w:p>
    <w:p w14:paraId="1470ECBC" w14:textId="68AF00AD" w:rsidR="00D943EE" w:rsidRPr="00237F8C" w:rsidRDefault="0066760F" w:rsidP="00891701">
      <w:pPr>
        <w:pStyle w:val="NormalWeb"/>
        <w:spacing w:before="0" w:beforeAutospacing="0" w:after="180" w:afterAutospacing="0"/>
        <w:rPr>
          <w:rFonts w:ascii="Aptos Display" w:hAnsi="Aptos Display" w:cs="Times New Roman"/>
          <w:sz w:val="26"/>
          <w:szCs w:val="26"/>
        </w:rPr>
      </w:pPr>
      <w:r w:rsidRPr="00237F8C">
        <w:rPr>
          <w:rFonts w:ascii="Aptos Display" w:hAnsi="Aptos Display"/>
          <w:sz w:val="26"/>
          <w:szCs w:val="26"/>
        </w:rPr>
        <w:br/>
      </w:r>
      <w:r w:rsidR="00891701" w:rsidRPr="00237F8C">
        <w:rPr>
          <w:rFonts w:ascii="Aptos Display" w:hAnsi="Aptos Display" w:cs="Times New Roman"/>
          <w:sz w:val="26"/>
          <w:szCs w:val="26"/>
        </w:rPr>
        <w:t>As a result, pre-Brexit ECJ judgments did not automatically cease to apply after Brexit. UK courts and tribunals generally continue to consider and follow these decisions, particularly where they relate to employment law and workers’ rights</w:t>
      </w:r>
      <w:r w:rsidR="008E0729">
        <w:rPr>
          <w:rFonts w:ascii="Aptos Display" w:hAnsi="Aptos Display" w:cs="Times New Roman"/>
          <w:sz w:val="26"/>
          <w:szCs w:val="26"/>
        </w:rPr>
        <w:t xml:space="preserve"> </w:t>
      </w:r>
      <w:r w:rsidR="00D943EE" w:rsidRPr="00237F8C">
        <w:rPr>
          <w:rFonts w:ascii="Aptos Display" w:hAnsi="Aptos Display" w:cs="Times New Roman"/>
          <w:color w:val="EE0000"/>
          <w:sz w:val="26"/>
          <w:szCs w:val="26"/>
        </w:rPr>
        <w:t>(CIPD, 2024).</w:t>
      </w:r>
      <w:r w:rsidR="00891701" w:rsidRPr="00237F8C">
        <w:rPr>
          <w:rFonts w:ascii="Aptos Display" w:hAnsi="Aptos Display" w:cs="Times New Roman"/>
          <w:sz w:val="26"/>
          <w:szCs w:val="26"/>
        </w:rPr>
        <w:t xml:space="preserve"> However, the position is no longer the same as when the UK was an EU member state, as the ECJ no longer has direct authority over UK courts.</w:t>
      </w:r>
    </w:p>
    <w:p w14:paraId="32A86742" w14:textId="0D21AFA8" w:rsidR="00D943EE" w:rsidRPr="00237F8C" w:rsidRDefault="0066760F" w:rsidP="00891701">
      <w:pPr>
        <w:pStyle w:val="NormalWeb"/>
        <w:spacing w:before="0" w:beforeAutospacing="0" w:after="180" w:afterAutospacing="0"/>
        <w:rPr>
          <w:rFonts w:ascii="Aptos Display" w:hAnsi="Aptos Display" w:cs="Times New Roman"/>
          <w:sz w:val="26"/>
          <w:szCs w:val="26"/>
        </w:rPr>
      </w:pPr>
      <w:r w:rsidRPr="00237F8C">
        <w:rPr>
          <w:rFonts w:ascii="Aptos Display" w:hAnsi="Aptos Display"/>
          <w:sz w:val="26"/>
          <w:szCs w:val="26"/>
        </w:rPr>
        <w:br/>
      </w:r>
      <w:r w:rsidR="00891701" w:rsidRPr="00237F8C">
        <w:rPr>
          <w:rFonts w:ascii="Aptos Display" w:hAnsi="Aptos Display" w:cs="Times New Roman"/>
          <w:sz w:val="26"/>
          <w:szCs w:val="26"/>
        </w:rPr>
        <w:t>The Supreme Court and the Court of Appeal now have the power to depart from retained ECJ case law where they believe it is appropriate to do so. They apply similar principles to those used when deciding whether to depart from their own previous judgments.</w:t>
      </w:r>
      <w:r w:rsidR="00D943EE" w:rsidRPr="00237F8C">
        <w:rPr>
          <w:rFonts w:ascii="Aptos Display" w:hAnsi="Aptos Display" w:cs="Times New Roman"/>
          <w:color w:val="EE0000"/>
          <w:sz w:val="26"/>
          <w:szCs w:val="26"/>
        </w:rPr>
        <w:t xml:space="preserve"> (House of Commons Library, 2023). </w:t>
      </w:r>
      <w:r w:rsidR="00891701" w:rsidRPr="00237F8C">
        <w:rPr>
          <w:rFonts w:ascii="Aptos Display" w:hAnsi="Aptos Display" w:cs="Times New Roman"/>
          <w:sz w:val="26"/>
          <w:szCs w:val="26"/>
        </w:rPr>
        <w:t xml:space="preserve"> This means that ECJ decisions are no longer absolutely binding at the highest level of the UK legal system. However, lower courts and employment tribunals are still generally expected to follow retained ECJ judgments unless a higher court or Parliament has changed the legal position.</w:t>
      </w:r>
    </w:p>
    <w:p w14:paraId="0320D281" w14:textId="1CB9E376" w:rsidR="00D943EE" w:rsidRPr="00237F8C" w:rsidRDefault="0066760F" w:rsidP="00891701">
      <w:pPr>
        <w:pStyle w:val="NormalWeb"/>
        <w:spacing w:before="0" w:beforeAutospacing="0" w:after="180" w:afterAutospacing="0"/>
        <w:rPr>
          <w:rFonts w:ascii="Aptos Display" w:hAnsi="Aptos Display" w:cs="Times New Roman"/>
          <w:sz w:val="26"/>
          <w:szCs w:val="26"/>
        </w:rPr>
      </w:pPr>
      <w:r w:rsidRPr="00237F8C">
        <w:rPr>
          <w:rFonts w:ascii="Aptos Display" w:hAnsi="Aptos Display"/>
          <w:sz w:val="26"/>
          <w:szCs w:val="26"/>
        </w:rPr>
        <w:br/>
      </w:r>
      <w:r w:rsidR="00891701" w:rsidRPr="00237F8C">
        <w:rPr>
          <w:rFonts w:ascii="Aptos Display" w:hAnsi="Aptos Display" w:cs="Times New Roman"/>
          <w:sz w:val="26"/>
          <w:szCs w:val="26"/>
        </w:rPr>
        <w:t xml:space="preserve">An important example can be seen </w:t>
      </w:r>
      <w:r w:rsidR="0038285D" w:rsidRPr="00237F8C">
        <w:rPr>
          <w:rFonts w:ascii="Aptos Display" w:hAnsi="Aptos Display" w:cs="Times New Roman"/>
          <w:sz w:val="26"/>
          <w:szCs w:val="26"/>
        </w:rPr>
        <w:t>around</w:t>
      </w:r>
      <w:r w:rsidR="00891701" w:rsidRPr="00237F8C">
        <w:rPr>
          <w:rFonts w:ascii="Aptos Display" w:hAnsi="Aptos Display" w:cs="Times New Roman"/>
          <w:sz w:val="26"/>
          <w:szCs w:val="26"/>
        </w:rPr>
        <w:t xml:space="preserve"> holiday pay. In the ECJ case of Williams v British Airways plc (2011), the court ruled that holiday pay should reflect a worker’s “normal remuneration” rather than basic salary alone. This principle was later adopted by UK courts and significantly influenced UK employment law, particularly regarding overtime and commission payments being included in holiday pay calculations</w:t>
      </w:r>
      <w:r w:rsidR="00D943EE" w:rsidRPr="00237F8C">
        <w:rPr>
          <w:rFonts w:ascii="Aptos Display" w:hAnsi="Aptos Display" w:cs="Times New Roman"/>
          <w:sz w:val="26"/>
          <w:szCs w:val="26"/>
        </w:rPr>
        <w:t xml:space="preserve"> </w:t>
      </w:r>
      <w:r w:rsidR="00D943EE" w:rsidRPr="00237F8C">
        <w:rPr>
          <w:rFonts w:ascii="Aptos Display" w:hAnsi="Aptos Display" w:cs="Times New Roman"/>
          <w:color w:val="EE0000"/>
          <w:sz w:val="26"/>
          <w:szCs w:val="26"/>
        </w:rPr>
        <w:t xml:space="preserve">(ACAS, 2024). </w:t>
      </w:r>
      <w:r w:rsidR="00891701" w:rsidRPr="00237F8C">
        <w:rPr>
          <w:rFonts w:ascii="Aptos Display" w:hAnsi="Aptos Display" w:cs="Times New Roman"/>
          <w:sz w:val="26"/>
          <w:szCs w:val="26"/>
        </w:rPr>
        <w:t>Despite Brexit, UK courts have continued to apply these principles because they remain part of retained EU case law</w:t>
      </w:r>
      <w:r w:rsidR="008E0729">
        <w:rPr>
          <w:rFonts w:ascii="Aptos Display" w:hAnsi="Aptos Display" w:cs="Times New Roman"/>
          <w:sz w:val="26"/>
          <w:szCs w:val="26"/>
        </w:rPr>
        <w:t>.</w:t>
      </w:r>
      <w:r w:rsidR="00891701" w:rsidRPr="00237F8C">
        <w:rPr>
          <w:rFonts w:ascii="Aptos Display" w:hAnsi="Aptos Display" w:cs="Times New Roman"/>
          <w:sz w:val="26"/>
          <w:szCs w:val="26"/>
        </w:rPr>
        <w:t xml:space="preserve"> </w:t>
      </w:r>
      <w:r w:rsidR="00891701" w:rsidRPr="00237F8C">
        <w:rPr>
          <w:rFonts w:ascii="Aptos Display" w:hAnsi="Aptos Display" w:cs="Times New Roman"/>
          <w:strike/>
          <w:sz w:val="26"/>
          <w:szCs w:val="26"/>
        </w:rPr>
        <w:t>unless amended by legislation or overturned by a higher court.</w:t>
      </w:r>
    </w:p>
    <w:p w14:paraId="5CC41B82" w14:textId="5E8082A5" w:rsidR="00891701" w:rsidRPr="00237F8C" w:rsidRDefault="0066760F" w:rsidP="00891701">
      <w:pPr>
        <w:pStyle w:val="NormalWeb"/>
        <w:spacing w:before="0" w:beforeAutospacing="0" w:after="180" w:afterAutospacing="0"/>
        <w:rPr>
          <w:rFonts w:ascii="Aptos Display" w:hAnsi="Aptos Display" w:cs="Times New Roman"/>
          <w:sz w:val="26"/>
          <w:szCs w:val="26"/>
        </w:rPr>
      </w:pPr>
      <w:r w:rsidRPr="00237F8C">
        <w:rPr>
          <w:rFonts w:ascii="Aptos Display" w:hAnsi="Aptos Display"/>
          <w:sz w:val="26"/>
          <w:szCs w:val="26"/>
        </w:rPr>
        <w:br/>
      </w:r>
      <w:r w:rsidR="00891701" w:rsidRPr="00237F8C">
        <w:rPr>
          <w:rFonts w:ascii="Aptos Display" w:hAnsi="Aptos Display" w:cs="Times New Roman"/>
          <w:sz w:val="26"/>
          <w:szCs w:val="26"/>
        </w:rPr>
        <w:t xml:space="preserve">Overall, whilst Brexit has reduced the direct influence of the ECJ within the UK legal system, pre-2021 ECJ judgments </w:t>
      </w:r>
      <w:proofErr w:type="gramStart"/>
      <w:r w:rsidR="00891701" w:rsidRPr="00237F8C">
        <w:rPr>
          <w:rFonts w:ascii="Aptos Display" w:hAnsi="Aptos Display" w:cs="Times New Roman"/>
          <w:sz w:val="26"/>
          <w:szCs w:val="26"/>
        </w:rPr>
        <w:t>still remain</w:t>
      </w:r>
      <w:proofErr w:type="gramEnd"/>
      <w:r w:rsidR="00891701" w:rsidRPr="00237F8C">
        <w:rPr>
          <w:rFonts w:ascii="Aptos Display" w:hAnsi="Aptos Display" w:cs="Times New Roman"/>
          <w:sz w:val="26"/>
          <w:szCs w:val="26"/>
        </w:rPr>
        <w:t xml:space="preserve"> highly persuasive and, in many cases, continue to form part of UK employment law. </w:t>
      </w:r>
      <w:r w:rsidR="00D943EE" w:rsidRPr="00237F8C">
        <w:rPr>
          <w:rFonts w:ascii="Aptos Display" w:hAnsi="Aptos Display" w:cs="Times New Roman"/>
          <w:color w:val="EE0000"/>
          <w:sz w:val="26"/>
          <w:szCs w:val="26"/>
        </w:rPr>
        <w:t xml:space="preserve">As CIPD (2024) notes, retained EU case law still plays a significant role in ensuring consistency and continuity in employment </w:t>
      </w:r>
      <w:r w:rsidR="00D943EE" w:rsidRPr="00237F8C">
        <w:rPr>
          <w:rFonts w:ascii="Aptos Display" w:hAnsi="Aptos Display" w:cs="Times New Roman"/>
          <w:color w:val="EE0000"/>
          <w:sz w:val="26"/>
          <w:szCs w:val="26"/>
        </w:rPr>
        <w:lastRenderedPageBreak/>
        <w:t>rights.</w:t>
      </w:r>
      <w:r w:rsidR="00D943EE" w:rsidRPr="00237F8C">
        <w:rPr>
          <w:rFonts w:ascii="Aptos Display" w:hAnsi="Aptos Display" w:cs="Times New Roman"/>
          <w:sz w:val="26"/>
          <w:szCs w:val="26"/>
        </w:rPr>
        <w:t xml:space="preserve"> </w:t>
      </w:r>
      <w:r w:rsidR="00D943EE" w:rsidRPr="00237F8C">
        <w:rPr>
          <w:rFonts w:ascii="Aptos Display" w:hAnsi="Aptos Display" w:cs="Times New Roman"/>
          <w:strike/>
          <w:sz w:val="26"/>
          <w:szCs w:val="26"/>
        </w:rPr>
        <w:t>They</w:t>
      </w:r>
      <w:r w:rsidR="00891701" w:rsidRPr="00237F8C">
        <w:rPr>
          <w:rFonts w:ascii="Aptos Display" w:hAnsi="Aptos Display" w:cs="Times New Roman"/>
          <w:strike/>
          <w:sz w:val="26"/>
          <w:szCs w:val="26"/>
        </w:rPr>
        <w:t xml:space="preserve"> cannot simply be disregarded, as they continue to provide important legal guidance and consistency within the courts and tribunals.</w:t>
      </w:r>
    </w:p>
    <w:p w14:paraId="6A603E4A" w14:textId="77777777" w:rsidR="00891701" w:rsidRPr="00237F8C" w:rsidRDefault="00891701" w:rsidP="00891701">
      <w:pPr>
        <w:pStyle w:val="NormalWeb"/>
        <w:spacing w:before="0" w:beforeAutospacing="0" w:after="180" w:afterAutospacing="0"/>
        <w:rPr>
          <w:rFonts w:ascii="Aptos Display" w:hAnsi="Aptos Display" w:cs="Times New Roman"/>
          <w:sz w:val="26"/>
          <w:szCs w:val="26"/>
        </w:rPr>
      </w:pPr>
    </w:p>
    <w:p w14:paraId="7298EA6C" w14:textId="2AAA84F3" w:rsidR="00891701" w:rsidRPr="00237F8C" w:rsidRDefault="00891701" w:rsidP="00891701">
      <w:pPr>
        <w:pStyle w:val="NormalWeb"/>
        <w:spacing w:before="0" w:beforeAutospacing="0" w:after="180" w:afterAutospacing="0"/>
        <w:rPr>
          <w:rFonts w:ascii="Aptos Display" w:hAnsi="Aptos Display" w:cs="Times New Roman"/>
          <w:b/>
          <w:bCs/>
          <w:sz w:val="26"/>
          <w:szCs w:val="26"/>
        </w:rPr>
      </w:pPr>
      <w:r w:rsidRPr="00237F8C">
        <w:rPr>
          <w:rFonts w:ascii="Aptos Display" w:hAnsi="Aptos Display" w:cs="Times New Roman"/>
          <w:b/>
          <w:bCs/>
          <w:sz w:val="26"/>
          <w:szCs w:val="26"/>
        </w:rPr>
        <w:t xml:space="preserve">AC 2.1 </w:t>
      </w:r>
    </w:p>
    <w:p w14:paraId="7D950679" w14:textId="6B4AA216" w:rsidR="00463BA4" w:rsidRPr="00237F8C" w:rsidRDefault="0066243C" w:rsidP="0066243C">
      <w:pPr>
        <w:pStyle w:val="NormalWeb"/>
        <w:spacing w:before="0" w:beforeAutospacing="0" w:after="180" w:afterAutospacing="0"/>
        <w:rPr>
          <w:rFonts w:ascii="Aptos Display" w:hAnsi="Aptos Display" w:cs="Times New Roman"/>
          <w:sz w:val="26"/>
          <w:szCs w:val="26"/>
        </w:rPr>
      </w:pPr>
      <w:r w:rsidRPr="00237F8C">
        <w:rPr>
          <w:rFonts w:ascii="Aptos Display" w:hAnsi="Aptos Display" w:cs="Times New Roman"/>
          <w:sz w:val="26"/>
          <w:szCs w:val="26"/>
        </w:rPr>
        <w:t xml:space="preserve">Further to your query regarding occupational requirements, the Equality Act 2010 generally makes it unlawful to discriminate against applicants or employees </w:t>
      </w:r>
      <w:r w:rsidR="0038285D" w:rsidRPr="00237F8C">
        <w:rPr>
          <w:rFonts w:ascii="Aptos Display" w:hAnsi="Aptos Display" w:cs="Times New Roman"/>
          <w:sz w:val="26"/>
          <w:szCs w:val="26"/>
        </w:rPr>
        <w:t>based on</w:t>
      </w:r>
      <w:r w:rsidRPr="00237F8C">
        <w:rPr>
          <w:rFonts w:ascii="Aptos Display" w:hAnsi="Aptos Display" w:cs="Times New Roman"/>
          <w:sz w:val="26"/>
          <w:szCs w:val="26"/>
        </w:rPr>
        <w:t xml:space="preserve"> protected characteristics, including sex</w:t>
      </w:r>
      <w:r w:rsidR="00463BA4" w:rsidRPr="00237F8C">
        <w:rPr>
          <w:rFonts w:ascii="Aptos Display" w:hAnsi="Aptos Display" w:cs="Times New Roman"/>
          <w:color w:val="EE0000"/>
          <w:sz w:val="26"/>
          <w:szCs w:val="26"/>
        </w:rPr>
        <w:t xml:space="preserve"> </w:t>
      </w:r>
      <w:r w:rsidR="00463BA4" w:rsidRPr="008E0729">
        <w:rPr>
          <w:rFonts w:ascii="Aptos Display" w:hAnsi="Aptos Display" w:cs="Times New Roman"/>
          <w:color w:val="EE0000"/>
          <w:sz w:val="26"/>
          <w:szCs w:val="26"/>
        </w:rPr>
        <w:t>(</w:t>
      </w:r>
      <w:hyperlink r:id="rId10" w:history="1">
        <w:r w:rsidR="00463BA4" w:rsidRPr="008E0729">
          <w:rPr>
            <w:rStyle w:val="Hyperlink"/>
            <w:rFonts w:ascii="Aptos Display" w:hAnsi="Aptos Display" w:cs="Times New Roman"/>
            <w:color w:val="EE0000"/>
            <w:sz w:val="26"/>
            <w:szCs w:val="26"/>
            <w:u w:val="none"/>
          </w:rPr>
          <w:t>Gov.uk</w:t>
        </w:r>
      </w:hyperlink>
      <w:r w:rsidR="00463BA4" w:rsidRPr="00237F8C">
        <w:rPr>
          <w:rFonts w:ascii="Aptos Display" w:hAnsi="Aptos Display" w:cs="Times New Roman"/>
          <w:color w:val="EE0000"/>
          <w:sz w:val="26"/>
          <w:szCs w:val="26"/>
        </w:rPr>
        <w:t xml:space="preserve">, 2010). </w:t>
      </w:r>
      <w:r w:rsidRPr="00237F8C">
        <w:rPr>
          <w:rFonts w:ascii="Aptos Display" w:hAnsi="Aptos Display" w:cs="Times New Roman"/>
          <w:sz w:val="26"/>
          <w:szCs w:val="26"/>
        </w:rPr>
        <w:t xml:space="preserve"> </w:t>
      </w:r>
      <w:r w:rsidRPr="00237F8C">
        <w:rPr>
          <w:rFonts w:ascii="Aptos Display" w:hAnsi="Aptos Display" w:cs="Times New Roman"/>
          <w:strike/>
          <w:sz w:val="26"/>
          <w:szCs w:val="26"/>
        </w:rPr>
        <w:t>during recruitment and selection. In most circumstances, employers must ensure vacancies are open to all suitably qualified candidates regardless of whether they are male or female</w:t>
      </w:r>
      <w:r w:rsidRPr="00237F8C">
        <w:rPr>
          <w:rFonts w:ascii="Aptos Display" w:hAnsi="Aptos Display" w:cs="Times New Roman"/>
          <w:sz w:val="26"/>
          <w:szCs w:val="26"/>
        </w:rPr>
        <w:t>.</w:t>
      </w:r>
      <w:r w:rsidR="00463BA4" w:rsidRPr="00237F8C">
        <w:rPr>
          <w:rFonts w:ascii="Aptos Display" w:hAnsi="Aptos Display" w:cs="Times New Roman"/>
          <w:sz w:val="26"/>
          <w:szCs w:val="26"/>
        </w:rPr>
        <w:t xml:space="preserve"> </w:t>
      </w:r>
      <w:r w:rsidR="00463BA4" w:rsidRPr="00237F8C">
        <w:rPr>
          <w:rFonts w:ascii="Aptos Display" w:hAnsi="Aptos Display" w:cs="Times New Roman"/>
          <w:color w:val="EE0000"/>
          <w:sz w:val="26"/>
          <w:szCs w:val="26"/>
        </w:rPr>
        <w:t>In recruitment and selection, employers must therefore ensure that roles are open to all suitably qualified candidates unless a very specific legal exception applies.</w:t>
      </w:r>
    </w:p>
    <w:p w14:paraId="1D5EF7AC" w14:textId="138E1D6F" w:rsidR="00463BA4" w:rsidRPr="00237F8C" w:rsidRDefault="0066760F" w:rsidP="00463BA4">
      <w:pPr>
        <w:pStyle w:val="NormalWeb"/>
        <w:spacing w:before="0" w:beforeAutospacing="0" w:after="180" w:afterAutospacing="0"/>
        <w:rPr>
          <w:rFonts w:ascii="Aptos Display" w:hAnsi="Aptos Display" w:cs="Times New Roman"/>
          <w:sz w:val="26"/>
          <w:szCs w:val="26"/>
        </w:rPr>
      </w:pPr>
      <w:r w:rsidRPr="00237F8C">
        <w:rPr>
          <w:rFonts w:ascii="Aptos Display" w:hAnsi="Aptos Display"/>
          <w:sz w:val="26"/>
          <w:szCs w:val="26"/>
        </w:rPr>
        <w:br/>
      </w:r>
      <w:r w:rsidR="0066243C" w:rsidRPr="00237F8C">
        <w:rPr>
          <w:rFonts w:ascii="Aptos Display" w:hAnsi="Aptos Display" w:cs="Times New Roman"/>
          <w:sz w:val="26"/>
          <w:szCs w:val="26"/>
        </w:rPr>
        <w:t>However, there are limited situations where an employer may lawfully specify that a role must be carried out by either a man or a woman. This is known as a “genuine occupational requirement” or occupational requirement. To rely on this exception, the requirement must be a proportionate means of achieving a legitimate aim and must be crucial to the role itself rather than based on preference, assumptions or stereotypes</w:t>
      </w:r>
      <w:r w:rsidR="00463BA4" w:rsidRPr="00237F8C">
        <w:rPr>
          <w:rFonts w:ascii="Aptos Display" w:hAnsi="Aptos Display" w:cs="Times New Roman"/>
          <w:sz w:val="26"/>
          <w:szCs w:val="26"/>
        </w:rPr>
        <w:t xml:space="preserve"> </w:t>
      </w:r>
      <w:r w:rsidR="00463BA4" w:rsidRPr="00237F8C">
        <w:rPr>
          <w:rFonts w:ascii="Aptos Display" w:hAnsi="Aptos Display" w:cs="Times New Roman"/>
          <w:color w:val="EE0000"/>
          <w:sz w:val="26"/>
          <w:szCs w:val="26"/>
        </w:rPr>
        <w:t>(Equality and Human Rights Commission, 2023).</w:t>
      </w:r>
      <w:r w:rsidRPr="00237F8C">
        <w:rPr>
          <w:rFonts w:ascii="Aptos Display" w:hAnsi="Aptos Display"/>
          <w:sz w:val="26"/>
          <w:szCs w:val="26"/>
        </w:rPr>
        <w:br/>
      </w:r>
      <w:r w:rsidR="0066243C" w:rsidRPr="00237F8C">
        <w:rPr>
          <w:rFonts w:ascii="Aptos Display" w:hAnsi="Aptos Display" w:cs="Times New Roman"/>
          <w:sz w:val="26"/>
          <w:szCs w:val="26"/>
        </w:rPr>
        <w:t>For example, it may be lawful to recruit only female support workers within a women’s refuge supporting victims of domestic abuse where privacy, dignity and emotional wellbeing are essential considerations</w:t>
      </w:r>
      <w:r w:rsidR="00463BA4" w:rsidRPr="00237F8C">
        <w:rPr>
          <w:rFonts w:ascii="Aptos Display" w:hAnsi="Aptos Display" w:cs="Times New Roman"/>
          <w:sz w:val="26"/>
          <w:szCs w:val="26"/>
        </w:rPr>
        <w:t xml:space="preserve"> </w:t>
      </w:r>
      <w:r w:rsidR="00463BA4" w:rsidRPr="00237F8C">
        <w:rPr>
          <w:rFonts w:ascii="Aptos Display" w:hAnsi="Aptos Display" w:cs="Times New Roman"/>
          <w:color w:val="EE0000"/>
          <w:sz w:val="26"/>
          <w:szCs w:val="26"/>
        </w:rPr>
        <w:t>(ACAS, 2024).</w:t>
      </w:r>
      <w:r w:rsidR="0066243C" w:rsidRPr="00237F8C">
        <w:rPr>
          <w:rFonts w:ascii="Aptos Display" w:hAnsi="Aptos Display" w:cs="Times New Roman"/>
          <w:sz w:val="26"/>
          <w:szCs w:val="26"/>
        </w:rPr>
        <w:t xml:space="preserve"> Similarly, a male care worker may be required in certain situations involving intimate personal care for male service users where privacy and decency are significant factors. </w:t>
      </w:r>
      <w:r w:rsidR="0066243C" w:rsidRPr="00237F8C">
        <w:rPr>
          <w:rFonts w:ascii="Aptos Display" w:hAnsi="Aptos Display" w:cs="Times New Roman"/>
          <w:strike/>
          <w:sz w:val="26"/>
          <w:szCs w:val="26"/>
        </w:rPr>
        <w:t>Another example could include an acting role where a specific gender is required for authenticity.</w:t>
      </w:r>
      <w:r w:rsidR="00463BA4" w:rsidRPr="00237F8C">
        <w:rPr>
          <w:rFonts w:ascii="Aptos Display" w:hAnsi="Aptos Display" w:cs="Times New Roman"/>
          <w:sz w:val="26"/>
          <w:szCs w:val="26"/>
        </w:rPr>
        <w:t xml:space="preserve"> </w:t>
      </w:r>
      <w:r w:rsidR="00463BA4" w:rsidRPr="00237F8C">
        <w:rPr>
          <w:rFonts w:ascii="Aptos Display" w:hAnsi="Aptos Display" w:cs="Times New Roman"/>
          <w:color w:val="EE0000"/>
          <w:sz w:val="26"/>
          <w:szCs w:val="26"/>
        </w:rPr>
        <w:t>These examples demonstrate that the requirement must be directly linked to the nature of the service being delivered rather than assumptions about capability.</w:t>
      </w:r>
    </w:p>
    <w:p w14:paraId="3813C6ED" w14:textId="77777777" w:rsidR="00463BA4" w:rsidRPr="00237F8C" w:rsidRDefault="0066760F" w:rsidP="0066243C">
      <w:pPr>
        <w:pStyle w:val="NormalWeb"/>
        <w:spacing w:before="0" w:beforeAutospacing="0" w:after="180" w:afterAutospacing="0"/>
        <w:rPr>
          <w:rFonts w:ascii="Aptos Display" w:hAnsi="Aptos Display" w:cs="Times New Roman"/>
          <w:sz w:val="26"/>
          <w:szCs w:val="26"/>
        </w:rPr>
      </w:pPr>
      <w:r w:rsidRPr="00237F8C">
        <w:rPr>
          <w:rFonts w:ascii="Aptos Display" w:hAnsi="Aptos Display"/>
          <w:sz w:val="26"/>
          <w:szCs w:val="26"/>
        </w:rPr>
        <w:br/>
      </w:r>
      <w:r w:rsidR="0066243C" w:rsidRPr="00237F8C">
        <w:rPr>
          <w:rFonts w:ascii="Aptos Display" w:hAnsi="Aptos Display" w:cs="Times New Roman"/>
          <w:sz w:val="26"/>
          <w:szCs w:val="26"/>
        </w:rPr>
        <w:t>In contrast, employers cannot specify gender requirements simply because of customer preference, workplace tradition, or assumptions about suitability. For example, stating that only men can apply for a management role because the work is “demanding” or only women can apply for administrative roles because they are viewed as “better communicators” would amount to direct sex discrimination and would likely be unlawful under the Equality Act 2010.</w:t>
      </w:r>
      <w:r w:rsidR="00463BA4" w:rsidRPr="00237F8C">
        <w:rPr>
          <w:rFonts w:ascii="Aptos Display" w:hAnsi="Aptos Display" w:cs="Times New Roman"/>
          <w:color w:val="EE0000"/>
          <w:sz w:val="26"/>
          <w:szCs w:val="26"/>
        </w:rPr>
        <w:t xml:space="preserve"> (CIPD, 2024).</w:t>
      </w:r>
    </w:p>
    <w:p w14:paraId="37CF00DD" w14:textId="77777777" w:rsidR="00463BA4" w:rsidRPr="00237F8C" w:rsidRDefault="0066760F" w:rsidP="0066243C">
      <w:pPr>
        <w:pStyle w:val="NormalWeb"/>
        <w:spacing w:before="0" w:beforeAutospacing="0" w:after="180" w:afterAutospacing="0"/>
        <w:rPr>
          <w:rFonts w:ascii="Aptos Display" w:hAnsi="Aptos Display" w:cs="Times New Roman"/>
          <w:sz w:val="26"/>
          <w:szCs w:val="26"/>
        </w:rPr>
      </w:pPr>
      <w:r w:rsidRPr="00237F8C">
        <w:rPr>
          <w:rFonts w:ascii="Aptos Display" w:hAnsi="Aptos Display"/>
          <w:sz w:val="26"/>
          <w:szCs w:val="26"/>
        </w:rPr>
        <w:br/>
      </w:r>
      <w:r w:rsidR="0066243C" w:rsidRPr="00237F8C">
        <w:rPr>
          <w:rFonts w:ascii="Aptos Display" w:hAnsi="Aptos Display" w:cs="Times New Roman"/>
          <w:sz w:val="26"/>
          <w:szCs w:val="26"/>
        </w:rPr>
        <w:t xml:space="preserve">The key principle within discrimination law is that recruitment and selection decisions should be based on objective criteria such as skills, qualifications, competence and experience. Employers should ensure job descriptions, person specifications and interview processes are fair, consistent and non-discriminatory. Where an occupational requirement is considered necessary, it should be carefully assessed, </w:t>
      </w:r>
      <w:r w:rsidR="0066243C" w:rsidRPr="00237F8C">
        <w:rPr>
          <w:rFonts w:ascii="Aptos Display" w:hAnsi="Aptos Display" w:cs="Times New Roman"/>
          <w:sz w:val="26"/>
          <w:szCs w:val="26"/>
        </w:rPr>
        <w:lastRenderedPageBreak/>
        <w:t>clearly justified and documented to demonstrate that the requirement is lawful and proportionate.</w:t>
      </w:r>
      <w:r w:rsidR="00463BA4" w:rsidRPr="00237F8C">
        <w:rPr>
          <w:rFonts w:ascii="Aptos Display" w:hAnsi="Aptos Display" w:cs="Times New Roman"/>
          <w:color w:val="EE0000"/>
          <w:sz w:val="26"/>
          <w:szCs w:val="26"/>
        </w:rPr>
        <w:t xml:space="preserve"> (EHRC, 2023).</w:t>
      </w:r>
    </w:p>
    <w:p w14:paraId="3D335115" w14:textId="25744598" w:rsidR="0066243C" w:rsidRPr="00237F8C" w:rsidRDefault="0066760F" w:rsidP="0066243C">
      <w:pPr>
        <w:pStyle w:val="NormalWeb"/>
        <w:spacing w:before="0" w:beforeAutospacing="0" w:after="180" w:afterAutospacing="0"/>
        <w:rPr>
          <w:rFonts w:ascii="Aptos Display" w:hAnsi="Aptos Display"/>
          <w:color w:val="EE0000"/>
          <w:sz w:val="26"/>
          <w:szCs w:val="26"/>
        </w:rPr>
      </w:pPr>
      <w:r w:rsidRPr="00237F8C">
        <w:rPr>
          <w:rFonts w:ascii="Aptos Display" w:hAnsi="Aptos Display"/>
          <w:sz w:val="26"/>
          <w:szCs w:val="26"/>
        </w:rPr>
        <w:br/>
      </w:r>
      <w:r w:rsidR="0066243C" w:rsidRPr="00237F8C">
        <w:rPr>
          <w:rFonts w:ascii="Aptos Display" w:hAnsi="Aptos Display" w:cs="Times New Roman"/>
          <w:sz w:val="26"/>
          <w:szCs w:val="26"/>
        </w:rPr>
        <w:t xml:space="preserve">It is important to remember that occupational requirements are interpreted narrowly by tribunals, meaning employers should apply them only in exceptional and genuinely necessary circumstances. </w:t>
      </w:r>
      <w:r w:rsidR="0066243C" w:rsidRPr="00237F8C">
        <w:rPr>
          <w:rFonts w:ascii="Aptos Display" w:hAnsi="Aptos Display" w:cs="Times New Roman"/>
          <w:strike/>
          <w:sz w:val="26"/>
          <w:szCs w:val="26"/>
        </w:rPr>
        <w:t>Seeking legal or HR advice before advertising a gender-specific role is advisable to minimise the risk of discrimination claims and reputational damage.</w:t>
      </w:r>
      <w:r w:rsidR="00463BA4" w:rsidRPr="00237F8C">
        <w:rPr>
          <w:rFonts w:ascii="Aptos Display" w:hAnsi="Aptos Display" w:cs="Times New Roman"/>
          <w:strike/>
          <w:color w:val="EE0000"/>
          <w:sz w:val="26"/>
          <w:szCs w:val="26"/>
        </w:rPr>
        <w:t xml:space="preserve"> </w:t>
      </w:r>
      <w:r w:rsidR="00463BA4" w:rsidRPr="00237F8C">
        <w:rPr>
          <w:rFonts w:ascii="Aptos Display" w:hAnsi="Aptos Display" w:cs="Times New Roman"/>
          <w:color w:val="EE0000"/>
          <w:sz w:val="26"/>
          <w:szCs w:val="26"/>
        </w:rPr>
        <w:t>Careful consideration and HR or legal advice should always be sought before applying a sex-based requirement to avoid unlawful discrimination claims and reputational risk.</w:t>
      </w:r>
    </w:p>
    <w:p w14:paraId="4110F278" w14:textId="4C0F02AE" w:rsidR="0066243C" w:rsidRPr="00237F8C" w:rsidRDefault="0066243C" w:rsidP="0066243C">
      <w:pPr>
        <w:pStyle w:val="NormalWeb"/>
        <w:spacing w:before="0" w:beforeAutospacing="0" w:after="180" w:afterAutospacing="0"/>
        <w:rPr>
          <w:rFonts w:ascii="Aptos Display" w:hAnsi="Aptos Display" w:cs="Times New Roman"/>
          <w:b/>
          <w:bCs/>
          <w:sz w:val="26"/>
          <w:szCs w:val="26"/>
        </w:rPr>
      </w:pPr>
      <w:r w:rsidRPr="00237F8C">
        <w:rPr>
          <w:rFonts w:ascii="Aptos Display" w:hAnsi="Aptos Display" w:cs="Times New Roman"/>
          <w:b/>
          <w:bCs/>
          <w:sz w:val="26"/>
          <w:szCs w:val="26"/>
        </w:rPr>
        <w:t xml:space="preserve">AC 2.2 </w:t>
      </w:r>
    </w:p>
    <w:p w14:paraId="0C245E43" w14:textId="77777777" w:rsidR="002024B7" w:rsidRPr="00237F8C" w:rsidRDefault="00DB16A4" w:rsidP="00C764A4">
      <w:pPr>
        <w:pStyle w:val="NormalWeb"/>
        <w:spacing w:before="0" w:beforeAutospacing="0" w:after="180" w:afterAutospacing="0"/>
        <w:rPr>
          <w:rFonts w:ascii="Aptos Display" w:hAnsi="Aptos Display" w:cs="Times New Roman"/>
          <w:sz w:val="26"/>
          <w:szCs w:val="26"/>
        </w:rPr>
      </w:pPr>
      <w:r w:rsidRPr="00237F8C">
        <w:rPr>
          <w:rFonts w:ascii="Aptos Display" w:hAnsi="Aptos Display" w:cs="Times New Roman"/>
          <w:sz w:val="26"/>
          <w:szCs w:val="26"/>
        </w:rPr>
        <w:t>Thank you for your request regarding the proposed upgrade of two healthcare assistants from Grade A to Grade B using surplus funding remaining from your recent research project. Before any approval can be considered, it is important to assess the proposal carefully in relation to equal pay legislation and the Trust’s obligations under the Equality Act 2010.</w:t>
      </w:r>
    </w:p>
    <w:p w14:paraId="04B6FFD7" w14:textId="1CDAACD0" w:rsidR="00C764A4" w:rsidRPr="00237F8C" w:rsidRDefault="0066760F" w:rsidP="00C764A4">
      <w:pPr>
        <w:pStyle w:val="NormalWeb"/>
        <w:spacing w:before="0" w:beforeAutospacing="0" w:after="180" w:afterAutospacing="0"/>
        <w:rPr>
          <w:rFonts w:ascii="Aptos Display" w:hAnsi="Aptos Display" w:cs="Times New Roman"/>
          <w:sz w:val="26"/>
          <w:szCs w:val="26"/>
        </w:rPr>
      </w:pPr>
      <w:r w:rsidRPr="00237F8C">
        <w:rPr>
          <w:rFonts w:ascii="Aptos Display" w:hAnsi="Aptos Display"/>
          <w:sz w:val="26"/>
          <w:szCs w:val="26"/>
        </w:rPr>
        <w:br/>
      </w:r>
      <w:r w:rsidR="00C764A4" w:rsidRPr="00237F8C">
        <w:rPr>
          <w:rFonts w:ascii="Aptos Display" w:hAnsi="Aptos Display" w:cs="Times New Roman"/>
          <w:color w:val="EE0000"/>
          <w:sz w:val="26"/>
          <w:szCs w:val="26"/>
        </w:rPr>
        <w:t>Under the Equality Act 2010, employees have the right to equal pay for equal work, meaning that men and women must not receive less favourable contractual terms if they are undertaking the same or equivalent work (</w:t>
      </w:r>
      <w:hyperlink r:id="rId11" w:history="1">
        <w:r w:rsidR="00C764A4" w:rsidRPr="008E0729">
          <w:rPr>
            <w:rStyle w:val="Hyperlink"/>
            <w:rFonts w:ascii="Aptos Display" w:hAnsi="Aptos Display" w:cs="Times New Roman"/>
            <w:color w:val="EE0000"/>
            <w:sz w:val="26"/>
            <w:szCs w:val="26"/>
            <w:u w:val="none"/>
          </w:rPr>
          <w:t>Gov.uk</w:t>
        </w:r>
      </w:hyperlink>
      <w:r w:rsidR="00C764A4" w:rsidRPr="00237F8C">
        <w:rPr>
          <w:rFonts w:ascii="Aptos Display" w:hAnsi="Aptos Display" w:cs="Times New Roman"/>
          <w:color w:val="EE0000"/>
          <w:sz w:val="26"/>
          <w:szCs w:val="26"/>
        </w:rPr>
        <w:t xml:space="preserve">, 2010). </w:t>
      </w:r>
      <w:r w:rsidR="00DB16A4" w:rsidRPr="00237F8C">
        <w:rPr>
          <w:rFonts w:ascii="Aptos Display" w:hAnsi="Aptos Display" w:cs="Times New Roman"/>
          <w:strike/>
          <w:sz w:val="26"/>
          <w:szCs w:val="26"/>
        </w:rPr>
        <w:t>Under equal pay law, men and women performing equal work must receive equal terms and conditions of employment unless any difference in pay can be objectively justified by a material factor unrelated to sex.</w:t>
      </w:r>
      <w:r w:rsidR="00DB16A4" w:rsidRPr="00237F8C">
        <w:rPr>
          <w:rFonts w:ascii="Aptos Display" w:hAnsi="Aptos Display" w:cs="Times New Roman"/>
          <w:sz w:val="26"/>
          <w:szCs w:val="26"/>
        </w:rPr>
        <w:t xml:space="preserve"> Equal work may include like work, work rated as equivalent under a job evaluation scheme, or work of equal value</w:t>
      </w:r>
      <w:r w:rsidR="00C764A4" w:rsidRPr="00237F8C">
        <w:rPr>
          <w:rFonts w:ascii="Aptos Display" w:hAnsi="Aptos Display" w:cs="Times New Roman"/>
          <w:sz w:val="26"/>
          <w:szCs w:val="26"/>
        </w:rPr>
        <w:t xml:space="preserve"> </w:t>
      </w:r>
      <w:r w:rsidR="00C764A4" w:rsidRPr="00237F8C">
        <w:rPr>
          <w:rFonts w:ascii="Aptos Display" w:hAnsi="Aptos Display" w:cs="Times New Roman"/>
          <w:color w:val="EE0000"/>
          <w:sz w:val="26"/>
          <w:szCs w:val="26"/>
        </w:rPr>
        <w:t>(ACAS, 2024)</w:t>
      </w:r>
      <w:r w:rsidR="00C764A4" w:rsidRPr="00237F8C">
        <w:rPr>
          <w:rFonts w:ascii="Aptos Display" w:hAnsi="Aptos Display" w:cs="Times New Roman"/>
          <w:sz w:val="26"/>
          <w:szCs w:val="26"/>
        </w:rPr>
        <w:t xml:space="preserve">. </w:t>
      </w:r>
      <w:r w:rsidR="00C764A4" w:rsidRPr="00237F8C">
        <w:rPr>
          <w:rFonts w:ascii="Aptos Display" w:hAnsi="Aptos Display" w:cs="Times New Roman"/>
          <w:color w:val="EE0000"/>
          <w:sz w:val="26"/>
          <w:szCs w:val="26"/>
        </w:rPr>
        <w:t xml:space="preserve">Case law such as </w:t>
      </w:r>
      <w:r w:rsidR="00C764A4" w:rsidRPr="008E0729">
        <w:rPr>
          <w:rFonts w:ascii="Aptos Display" w:hAnsi="Aptos Display" w:cs="Times New Roman"/>
          <w:color w:val="EE0000"/>
          <w:sz w:val="26"/>
          <w:szCs w:val="26"/>
        </w:rPr>
        <w:t>Andrews v South Devon Health Care NHS Trust</w:t>
      </w:r>
      <w:r w:rsidR="00C764A4" w:rsidRPr="00237F8C">
        <w:rPr>
          <w:rFonts w:ascii="Aptos Display" w:hAnsi="Aptos Display" w:cs="Times New Roman"/>
          <w:color w:val="EE0000"/>
          <w:sz w:val="26"/>
          <w:szCs w:val="26"/>
        </w:rPr>
        <w:t xml:space="preserve"> has reinforced the importance of objective job evaluation in determining whether pay differences are lawful (CIPD, 2024).</w:t>
      </w:r>
    </w:p>
    <w:p w14:paraId="345838A1" w14:textId="77777777" w:rsidR="002024B7" w:rsidRPr="00237F8C" w:rsidRDefault="00DB16A4" w:rsidP="00DB16A4">
      <w:pPr>
        <w:pStyle w:val="NormalWeb"/>
        <w:spacing w:before="0" w:beforeAutospacing="0" w:after="180" w:afterAutospacing="0"/>
        <w:rPr>
          <w:rFonts w:ascii="Aptos Display" w:hAnsi="Aptos Display" w:cs="Times New Roman"/>
          <w:sz w:val="26"/>
          <w:szCs w:val="26"/>
        </w:rPr>
      </w:pPr>
      <w:r w:rsidRPr="00237F8C">
        <w:rPr>
          <w:rFonts w:ascii="Aptos Display" w:hAnsi="Aptos Display" w:cs="Times New Roman"/>
          <w:sz w:val="26"/>
          <w:szCs w:val="26"/>
        </w:rPr>
        <w:t xml:space="preserve">As approximately 80% of healthcare assistants within the Trust are women, upgrading two male healthcare assistants above the grade received by </w:t>
      </w:r>
      <w:proofErr w:type="gramStart"/>
      <w:r w:rsidRPr="00237F8C">
        <w:rPr>
          <w:rFonts w:ascii="Aptos Display" w:hAnsi="Aptos Display" w:cs="Times New Roman"/>
          <w:sz w:val="26"/>
          <w:szCs w:val="26"/>
        </w:rPr>
        <w:t>the majority of</w:t>
      </w:r>
      <w:proofErr w:type="gramEnd"/>
      <w:r w:rsidRPr="00237F8C">
        <w:rPr>
          <w:rFonts w:ascii="Aptos Display" w:hAnsi="Aptos Display" w:cs="Times New Roman"/>
          <w:sz w:val="26"/>
          <w:szCs w:val="26"/>
        </w:rPr>
        <w:t xml:space="preserve"> employees carrying out similar roles could potentially expose the Trust to equal pay claims if the decision cannot be objectively justified.</w:t>
      </w:r>
      <w:r w:rsidR="00152EBB" w:rsidRPr="00237F8C">
        <w:rPr>
          <w:rFonts w:ascii="Aptos Display" w:hAnsi="Aptos Display" w:cs="Times New Roman"/>
          <w:sz w:val="26"/>
          <w:szCs w:val="26"/>
        </w:rPr>
        <w:t xml:space="preserve"> </w:t>
      </w:r>
      <w:r w:rsidR="00C764A4" w:rsidRPr="00237F8C">
        <w:rPr>
          <w:rFonts w:ascii="Aptos Display" w:hAnsi="Aptos Display" w:cs="Times New Roman"/>
          <w:color w:val="EE0000"/>
          <w:sz w:val="26"/>
          <w:szCs w:val="26"/>
        </w:rPr>
        <w:t>The Equality and Human Rights Commission (EHRC, 2023) emphasises that even small pay disparities can give rise to claims where there is no transparent and non-discriminatory justification.</w:t>
      </w:r>
    </w:p>
    <w:p w14:paraId="3B8B01B0" w14:textId="1BB97207" w:rsidR="002024B7" w:rsidRPr="00237F8C" w:rsidRDefault="0066760F" w:rsidP="00DB16A4">
      <w:pPr>
        <w:pStyle w:val="NormalWeb"/>
        <w:spacing w:before="0" w:beforeAutospacing="0" w:after="180" w:afterAutospacing="0"/>
        <w:rPr>
          <w:rFonts w:ascii="Aptos Display" w:hAnsi="Aptos Display" w:cs="Times New Roman"/>
          <w:sz w:val="26"/>
          <w:szCs w:val="26"/>
        </w:rPr>
      </w:pPr>
      <w:r w:rsidRPr="00237F8C">
        <w:rPr>
          <w:rFonts w:ascii="Aptos Display" w:hAnsi="Aptos Display"/>
          <w:sz w:val="26"/>
          <w:szCs w:val="26"/>
        </w:rPr>
        <w:br/>
      </w:r>
      <w:r w:rsidR="00DB16A4" w:rsidRPr="00237F8C">
        <w:rPr>
          <w:rFonts w:ascii="Aptos Display" w:hAnsi="Aptos Display" w:cs="Times New Roman"/>
          <w:sz w:val="26"/>
          <w:szCs w:val="26"/>
        </w:rPr>
        <w:t>To lawfully approve the upgrades, the Trust would need clear evidence that the two individuals are undertaking duties and responsibilities that are substantially different from those expected of Grade A healthcare assistants and that these duties genuinely meet the criteria for Grade B work</w:t>
      </w:r>
      <w:r w:rsidR="00DB16A4" w:rsidRPr="00237F8C">
        <w:rPr>
          <w:rFonts w:ascii="Aptos Display" w:hAnsi="Aptos Display" w:cs="Times New Roman"/>
          <w:strike/>
          <w:sz w:val="26"/>
          <w:szCs w:val="26"/>
        </w:rPr>
        <w:t xml:space="preserve">. For example, this could include additional clinical responsibilities, specialist competencies, supervisory duties, or ongoing project-related responsibilities that are not carried out by other healthcare assistants on </w:t>
      </w:r>
      <w:r w:rsidR="00DB16A4" w:rsidRPr="00237F8C">
        <w:rPr>
          <w:rFonts w:ascii="Aptos Display" w:hAnsi="Aptos Display" w:cs="Times New Roman"/>
          <w:strike/>
          <w:sz w:val="26"/>
          <w:szCs w:val="26"/>
        </w:rPr>
        <w:lastRenderedPageBreak/>
        <w:t>Grade A.</w:t>
      </w:r>
      <w:r w:rsidR="002024B7" w:rsidRPr="00237F8C">
        <w:rPr>
          <w:rFonts w:ascii="Aptos Display" w:hAnsi="Aptos Display" w:cs="Times New Roman"/>
          <w:sz w:val="26"/>
          <w:szCs w:val="26"/>
        </w:rPr>
        <w:t xml:space="preserve"> </w:t>
      </w:r>
      <w:r w:rsidR="00C764A4" w:rsidRPr="00237F8C">
        <w:rPr>
          <w:rFonts w:ascii="Aptos Display" w:hAnsi="Aptos Display" w:cs="Times New Roman"/>
          <w:color w:val="EE0000"/>
          <w:sz w:val="26"/>
          <w:szCs w:val="26"/>
        </w:rPr>
        <w:t>This may include additional clinical responsibilities, enhanced competencies, or supervisory duties that are not part of the standard role profile (ACAS, 2024).</w:t>
      </w:r>
    </w:p>
    <w:p w14:paraId="79D57378" w14:textId="1B55E9B2" w:rsidR="00C764A4" w:rsidRPr="00237F8C" w:rsidRDefault="0066760F" w:rsidP="00DB16A4">
      <w:pPr>
        <w:pStyle w:val="NormalWeb"/>
        <w:spacing w:before="0" w:beforeAutospacing="0" w:after="180" w:afterAutospacing="0"/>
        <w:rPr>
          <w:rFonts w:ascii="Aptos Display" w:hAnsi="Aptos Display" w:cs="Times New Roman"/>
          <w:sz w:val="26"/>
          <w:szCs w:val="26"/>
        </w:rPr>
      </w:pPr>
      <w:r w:rsidRPr="00237F8C">
        <w:rPr>
          <w:rFonts w:ascii="Aptos Display" w:hAnsi="Aptos Display"/>
          <w:sz w:val="26"/>
          <w:szCs w:val="26"/>
        </w:rPr>
        <w:br/>
      </w:r>
      <w:r w:rsidR="00DB16A4" w:rsidRPr="00237F8C">
        <w:rPr>
          <w:rFonts w:ascii="Aptos Display" w:hAnsi="Aptos Display" w:cs="Times New Roman"/>
          <w:sz w:val="26"/>
          <w:szCs w:val="26"/>
        </w:rPr>
        <w:t>The source of the funding itself is unlikely to provide sufficient legal justification for higher pay. Employment tribunals generally focus on whether the work being undertaken justifies the difference in pay rather than whether funding is available</w:t>
      </w:r>
      <w:r w:rsidR="002024B7" w:rsidRPr="00237F8C">
        <w:rPr>
          <w:rFonts w:ascii="Aptos Display" w:hAnsi="Aptos Display" w:cs="Times New Roman"/>
          <w:sz w:val="26"/>
          <w:szCs w:val="26"/>
        </w:rPr>
        <w:t xml:space="preserve"> </w:t>
      </w:r>
      <w:r w:rsidR="002024B7" w:rsidRPr="00237F8C">
        <w:rPr>
          <w:rFonts w:ascii="Aptos Display" w:hAnsi="Aptos Display" w:cs="Times New Roman"/>
          <w:color w:val="EE0000"/>
          <w:sz w:val="26"/>
          <w:szCs w:val="26"/>
        </w:rPr>
        <w:t>(CIPD, 2024).</w:t>
      </w:r>
      <w:r w:rsidR="00DB16A4" w:rsidRPr="00237F8C">
        <w:rPr>
          <w:rFonts w:ascii="Aptos Display" w:hAnsi="Aptos Display" w:cs="Times New Roman"/>
          <w:sz w:val="26"/>
          <w:szCs w:val="26"/>
        </w:rPr>
        <w:t xml:space="preserve"> </w:t>
      </w:r>
      <w:r w:rsidR="00DB16A4" w:rsidRPr="00237F8C">
        <w:rPr>
          <w:rFonts w:ascii="Aptos Display" w:hAnsi="Aptos Display" w:cs="Times New Roman"/>
          <w:strike/>
          <w:sz w:val="26"/>
          <w:szCs w:val="26"/>
        </w:rPr>
        <w:t>If the employees remain undertaking substantially the same role as other Grade A healthcare assistants, particularly where the majority affected are women, there is a significant risk that the Trust could face claims of indirect discrimination or breach of equal pay provisions.</w:t>
      </w:r>
      <w:r w:rsidR="002024B7" w:rsidRPr="00237F8C">
        <w:rPr>
          <w:rFonts w:ascii="Aptos Display" w:hAnsi="Aptos Display" w:cs="Times New Roman"/>
          <w:sz w:val="26"/>
          <w:szCs w:val="26"/>
        </w:rPr>
        <w:t xml:space="preserve"> </w:t>
      </w:r>
      <w:r w:rsidR="00C764A4" w:rsidRPr="00237F8C">
        <w:rPr>
          <w:rFonts w:ascii="Aptos Display" w:hAnsi="Aptos Display" w:cs="Times New Roman"/>
          <w:color w:val="EE0000"/>
          <w:sz w:val="26"/>
          <w:szCs w:val="26"/>
        </w:rPr>
        <w:t>If the roles remain substantially the same, there is a risk of indirect sex discrimination under the Equality Act 2010, particularly given the predominantly female workforce.</w:t>
      </w:r>
    </w:p>
    <w:p w14:paraId="6D1476E2" w14:textId="37EFBF64" w:rsidR="00DB16A4" w:rsidRPr="00237F8C" w:rsidRDefault="0066760F" w:rsidP="00DB16A4">
      <w:pPr>
        <w:pStyle w:val="NormalWeb"/>
        <w:spacing w:before="0" w:beforeAutospacing="0" w:after="180" w:afterAutospacing="0"/>
        <w:rPr>
          <w:rFonts w:ascii="Aptos Display" w:hAnsi="Aptos Display"/>
          <w:color w:val="EE0000"/>
          <w:sz w:val="26"/>
          <w:szCs w:val="26"/>
        </w:rPr>
      </w:pPr>
      <w:r w:rsidRPr="00237F8C">
        <w:rPr>
          <w:rFonts w:ascii="Aptos Display" w:hAnsi="Aptos Display"/>
          <w:sz w:val="26"/>
          <w:szCs w:val="26"/>
        </w:rPr>
        <w:br/>
      </w:r>
      <w:r w:rsidR="00DB16A4" w:rsidRPr="00237F8C">
        <w:rPr>
          <w:rFonts w:ascii="Aptos Display" w:hAnsi="Aptos Display" w:cs="Times New Roman"/>
          <w:sz w:val="26"/>
          <w:szCs w:val="26"/>
        </w:rPr>
        <w:t xml:space="preserve">It would therefore be advisable to undertake a formal job evaluation or review of the roles before making any decision. </w:t>
      </w:r>
      <w:r w:rsidR="002024B7" w:rsidRPr="00237F8C">
        <w:rPr>
          <w:rFonts w:ascii="Aptos Display" w:hAnsi="Aptos Display" w:cs="Times New Roman"/>
          <w:color w:val="EE0000"/>
          <w:sz w:val="26"/>
          <w:szCs w:val="26"/>
        </w:rPr>
        <w:t>This ensures consistency, transparency, and compliance with equal pay principles (EHRC, 2023).</w:t>
      </w:r>
      <w:r w:rsidR="002024B7" w:rsidRPr="00237F8C">
        <w:rPr>
          <w:rFonts w:ascii="Aptos Display" w:hAnsi="Aptos Display"/>
          <w:color w:val="EE0000"/>
          <w:sz w:val="26"/>
          <w:szCs w:val="26"/>
        </w:rPr>
        <w:t xml:space="preserve"> </w:t>
      </w:r>
      <w:r w:rsidR="00DB16A4" w:rsidRPr="00237F8C">
        <w:rPr>
          <w:rFonts w:ascii="Aptos Display" w:hAnsi="Aptos Display" w:cs="Times New Roman"/>
          <w:strike/>
          <w:sz w:val="26"/>
          <w:szCs w:val="26"/>
        </w:rPr>
        <w:t xml:space="preserve">This would help determine whether the duties align with the Grade B profile and ensure the process remains fair, transparent and legally compliant. </w:t>
      </w:r>
      <w:r w:rsidR="00DB16A4" w:rsidRPr="00237F8C">
        <w:rPr>
          <w:rFonts w:ascii="Aptos Display" w:hAnsi="Aptos Display" w:cs="Times New Roman"/>
          <w:sz w:val="26"/>
          <w:szCs w:val="26"/>
        </w:rPr>
        <w:t>Applying grading decisions consistently across the organisation is essential in minimising legal risk and maintaining employee trust and confidence.</w:t>
      </w:r>
    </w:p>
    <w:p w14:paraId="60B1ACC0" w14:textId="77777777" w:rsidR="00DB16A4" w:rsidRPr="00237F8C" w:rsidRDefault="00DB16A4" w:rsidP="00DB16A4">
      <w:pPr>
        <w:rPr>
          <w:rFonts w:ascii="Aptos Display" w:eastAsia="Times New Roman" w:hAnsi="Aptos Display"/>
          <w:b/>
          <w:bCs/>
          <w:sz w:val="26"/>
          <w:szCs w:val="26"/>
        </w:rPr>
      </w:pPr>
      <w:r w:rsidRPr="00237F8C">
        <w:rPr>
          <w:rFonts w:ascii="Aptos Display" w:eastAsia="Times New Roman" w:hAnsi="Aptos Display"/>
          <w:b/>
          <w:bCs/>
          <w:sz w:val="26"/>
          <w:szCs w:val="26"/>
        </w:rPr>
        <w:t>AC 3.1</w:t>
      </w:r>
    </w:p>
    <w:p w14:paraId="0756B4E8" w14:textId="77777777" w:rsidR="00866D4A" w:rsidRPr="00237F8C" w:rsidRDefault="00DB16A4" w:rsidP="00DB16A4">
      <w:pPr>
        <w:pStyle w:val="NormalWeb"/>
        <w:spacing w:before="0" w:beforeAutospacing="0" w:after="180" w:afterAutospacing="0"/>
        <w:rPr>
          <w:rFonts w:ascii="Aptos Display" w:hAnsi="Aptos Display" w:cs="Times New Roman"/>
          <w:sz w:val="26"/>
          <w:szCs w:val="26"/>
        </w:rPr>
      </w:pPr>
      <w:r w:rsidRPr="00237F8C">
        <w:rPr>
          <w:rFonts w:ascii="Aptos Display" w:hAnsi="Aptos Display" w:cs="Times New Roman"/>
          <w:sz w:val="26"/>
          <w:szCs w:val="26"/>
        </w:rPr>
        <w:t>Further to your query regarding the radiographer who recently resigned following changes to his working hours, there is a possibility that he may seek to bring a constructive dismissal claim depending on the circumstances surrounding the change and how it was managed by the Trust.</w:t>
      </w:r>
    </w:p>
    <w:p w14:paraId="5C693EE6" w14:textId="77777777" w:rsidR="00866D4A" w:rsidRPr="00237F8C" w:rsidRDefault="0066760F" w:rsidP="00866D4A">
      <w:pPr>
        <w:pStyle w:val="NormalWeb"/>
        <w:spacing w:before="0" w:beforeAutospacing="0" w:after="180" w:afterAutospacing="0"/>
        <w:rPr>
          <w:rFonts w:ascii="Aptos Display" w:hAnsi="Aptos Display"/>
          <w:color w:val="EE0000"/>
          <w:sz w:val="26"/>
          <w:szCs w:val="26"/>
        </w:rPr>
      </w:pPr>
      <w:r w:rsidRPr="00237F8C">
        <w:rPr>
          <w:rFonts w:ascii="Aptos Display" w:hAnsi="Aptos Display"/>
          <w:sz w:val="26"/>
          <w:szCs w:val="26"/>
        </w:rPr>
        <w:br/>
      </w:r>
      <w:r w:rsidR="00DB16A4" w:rsidRPr="00237F8C">
        <w:rPr>
          <w:rFonts w:ascii="Aptos Display" w:hAnsi="Aptos Display" w:cs="Times New Roman"/>
          <w:sz w:val="26"/>
          <w:szCs w:val="26"/>
        </w:rPr>
        <w:t xml:space="preserve">Constructive dismissal occurs where an employee resigns in response to a serious breach of contract by their employer. </w:t>
      </w:r>
      <w:r w:rsidR="00866D4A" w:rsidRPr="00237F8C">
        <w:rPr>
          <w:rFonts w:ascii="Aptos Display" w:hAnsi="Aptos Display" w:cs="Times New Roman"/>
          <w:color w:val="EE0000"/>
          <w:sz w:val="26"/>
          <w:szCs w:val="26"/>
        </w:rPr>
        <w:t xml:space="preserve">Under section 95(1)(c) </w:t>
      </w:r>
      <w:r w:rsidR="00DB16A4" w:rsidRPr="00237F8C">
        <w:rPr>
          <w:rFonts w:ascii="Aptos Display" w:hAnsi="Aptos Display" w:cs="Times New Roman"/>
          <w:strike/>
          <w:sz w:val="26"/>
          <w:szCs w:val="26"/>
        </w:rPr>
        <w:t>Under</w:t>
      </w:r>
      <w:r w:rsidR="00DB16A4" w:rsidRPr="00237F8C">
        <w:rPr>
          <w:rFonts w:ascii="Aptos Display" w:hAnsi="Aptos Display" w:cs="Times New Roman"/>
          <w:sz w:val="26"/>
          <w:szCs w:val="26"/>
        </w:rPr>
        <w:t xml:space="preserve"> </w:t>
      </w:r>
      <w:r w:rsidR="00866D4A" w:rsidRPr="00237F8C">
        <w:rPr>
          <w:rFonts w:ascii="Aptos Display" w:hAnsi="Aptos Display" w:cs="Times New Roman"/>
          <w:color w:val="EE0000"/>
          <w:sz w:val="26"/>
          <w:szCs w:val="26"/>
        </w:rPr>
        <w:t xml:space="preserve">of </w:t>
      </w:r>
      <w:r w:rsidR="00DB16A4" w:rsidRPr="00237F8C">
        <w:rPr>
          <w:rFonts w:ascii="Aptos Display" w:hAnsi="Aptos Display" w:cs="Times New Roman"/>
          <w:sz w:val="26"/>
          <w:szCs w:val="26"/>
        </w:rPr>
        <w:t xml:space="preserve">the Employment Rights Act 1996, </w:t>
      </w:r>
      <w:r w:rsidR="00866D4A" w:rsidRPr="00237F8C">
        <w:rPr>
          <w:rFonts w:ascii="Aptos Display" w:hAnsi="Aptos Display" w:cs="Times New Roman"/>
          <w:color w:val="EE0000"/>
          <w:sz w:val="26"/>
          <w:szCs w:val="26"/>
        </w:rPr>
        <w:t>of the Employment Rights Act 1996, a resignation may be treated as a dismissal where the employer’s conduct amounts to a repudiatory breach of contract (</w:t>
      </w:r>
      <w:hyperlink r:id="rId12" w:history="1">
        <w:r w:rsidR="00866D4A" w:rsidRPr="00237F8C">
          <w:rPr>
            <w:rStyle w:val="Hyperlink"/>
            <w:rFonts w:ascii="Aptos Display" w:hAnsi="Aptos Display" w:cs="Times New Roman"/>
            <w:color w:val="EE0000"/>
            <w:sz w:val="26"/>
            <w:szCs w:val="26"/>
          </w:rPr>
          <w:t>Gov.uk</w:t>
        </w:r>
      </w:hyperlink>
      <w:r w:rsidR="00866D4A" w:rsidRPr="00237F8C">
        <w:rPr>
          <w:rFonts w:ascii="Aptos Display" w:hAnsi="Aptos Display" w:cs="Times New Roman"/>
          <w:color w:val="EE0000"/>
          <w:sz w:val="26"/>
          <w:szCs w:val="26"/>
        </w:rPr>
        <w:t>, 1996). This often includes breach of the implied term of mutual trust and confidence, which requires employers not to act in a manner likely to destroy or seriously damage the employment relationship (ACAS, 2024).</w:t>
      </w:r>
    </w:p>
    <w:p w14:paraId="16807942" w14:textId="79D408EC" w:rsidR="00866D4A" w:rsidRPr="00237F8C" w:rsidRDefault="00DB16A4" w:rsidP="00DB16A4">
      <w:pPr>
        <w:pStyle w:val="NormalWeb"/>
        <w:spacing w:before="0" w:beforeAutospacing="0" w:after="180" w:afterAutospacing="0"/>
        <w:rPr>
          <w:rFonts w:ascii="Aptos Display" w:hAnsi="Aptos Display" w:cs="Times New Roman"/>
          <w:sz w:val="26"/>
          <w:szCs w:val="26"/>
        </w:rPr>
      </w:pPr>
      <w:r w:rsidRPr="00237F8C">
        <w:rPr>
          <w:rFonts w:ascii="Aptos Display" w:hAnsi="Aptos Display" w:cs="Times New Roman"/>
          <w:strike/>
          <w:sz w:val="26"/>
          <w:szCs w:val="26"/>
        </w:rPr>
        <w:t>the employee must demonstrate that the employer fundamentally breached either an express contractual term or the implied term of mutual trust and confidence. In these situations, the resignation is treated legally as a dismissal even though the employee chose to resign.</w:t>
      </w:r>
      <w:r w:rsidR="0066760F" w:rsidRPr="00237F8C">
        <w:rPr>
          <w:rFonts w:ascii="Aptos Display" w:hAnsi="Aptos Display"/>
          <w:sz w:val="26"/>
          <w:szCs w:val="26"/>
        </w:rPr>
        <w:br/>
      </w:r>
      <w:r w:rsidRPr="00237F8C">
        <w:rPr>
          <w:rFonts w:ascii="Aptos Display" w:hAnsi="Aptos Display" w:cs="Times New Roman"/>
          <w:sz w:val="26"/>
          <w:szCs w:val="26"/>
        </w:rPr>
        <w:t>Changes to working hours can potentially form the basis of a constructive dismissal claim where the alteration is significant, imposed unreasonably, or introduced without proper consultation or agreement.</w:t>
      </w:r>
      <w:r w:rsidR="00866D4A" w:rsidRPr="00237F8C">
        <w:rPr>
          <w:rFonts w:ascii="Aptos Display" w:hAnsi="Aptos Display" w:cs="Times New Roman"/>
          <w:color w:val="EE0000"/>
          <w:sz w:val="26"/>
          <w:szCs w:val="26"/>
        </w:rPr>
        <w:t xml:space="preserve"> Case law such as </w:t>
      </w:r>
      <w:r w:rsidR="00866D4A" w:rsidRPr="00237F8C">
        <w:rPr>
          <w:rFonts w:ascii="Aptos Display" w:hAnsi="Aptos Display" w:cs="Times New Roman"/>
          <w:i/>
          <w:iCs/>
          <w:color w:val="EE0000"/>
          <w:sz w:val="26"/>
          <w:szCs w:val="26"/>
        </w:rPr>
        <w:t>Western Excavating v Sharp</w:t>
      </w:r>
      <w:r w:rsidR="00866D4A" w:rsidRPr="00237F8C">
        <w:rPr>
          <w:rFonts w:ascii="Aptos Display" w:hAnsi="Aptos Display" w:cs="Times New Roman"/>
          <w:color w:val="EE0000"/>
          <w:sz w:val="26"/>
          <w:szCs w:val="26"/>
        </w:rPr>
        <w:t xml:space="preserve"> </w:t>
      </w:r>
      <w:r w:rsidR="00866D4A" w:rsidRPr="00237F8C">
        <w:rPr>
          <w:rFonts w:ascii="Aptos Display" w:hAnsi="Aptos Display" w:cs="Times New Roman"/>
          <w:color w:val="EE0000"/>
          <w:sz w:val="26"/>
          <w:szCs w:val="26"/>
        </w:rPr>
        <w:lastRenderedPageBreak/>
        <w:t>[1978] highlights that the employee must show both a fundamental breach and that they resigned in response to it.</w:t>
      </w:r>
    </w:p>
    <w:p w14:paraId="116312C6" w14:textId="0FDBBE91" w:rsidR="00D47B9B" w:rsidRPr="00237F8C" w:rsidRDefault="00DB16A4" w:rsidP="00DB16A4">
      <w:pPr>
        <w:pStyle w:val="NormalWeb"/>
        <w:spacing w:before="0" w:beforeAutospacing="0" w:after="180" w:afterAutospacing="0"/>
        <w:rPr>
          <w:rFonts w:ascii="Aptos Display" w:hAnsi="Aptos Display" w:cs="Times New Roman"/>
          <w:sz w:val="26"/>
          <w:szCs w:val="26"/>
        </w:rPr>
      </w:pPr>
      <w:r w:rsidRPr="00237F8C">
        <w:rPr>
          <w:rFonts w:ascii="Aptos Display" w:hAnsi="Aptos Display" w:cs="Times New Roman"/>
          <w:sz w:val="26"/>
          <w:szCs w:val="26"/>
        </w:rPr>
        <w:t xml:space="preserve"> For example, if an employee’s contractual hours were changed substantially in a way that negatively affected their work-life balance, caring responsibilities, health, or pay, and the Trust implemented the change without consent, this could amount to a breach of contract</w:t>
      </w:r>
      <w:r w:rsidR="00D47B9B" w:rsidRPr="00237F8C">
        <w:rPr>
          <w:rFonts w:ascii="Aptos Display" w:hAnsi="Aptos Display" w:cs="Times New Roman"/>
          <w:sz w:val="26"/>
          <w:szCs w:val="26"/>
        </w:rPr>
        <w:t xml:space="preserve"> </w:t>
      </w:r>
      <w:r w:rsidR="00D47B9B" w:rsidRPr="00237F8C">
        <w:rPr>
          <w:rFonts w:ascii="Aptos Display" w:hAnsi="Aptos Display" w:cs="Times New Roman"/>
          <w:color w:val="EE0000"/>
          <w:sz w:val="26"/>
          <w:szCs w:val="26"/>
        </w:rPr>
        <w:t>and may support a claim (CIPD, 2024).</w:t>
      </w:r>
      <w:r w:rsidRPr="00237F8C">
        <w:rPr>
          <w:rFonts w:ascii="Aptos Display" w:hAnsi="Aptos Display" w:cs="Times New Roman"/>
          <w:sz w:val="26"/>
          <w:szCs w:val="26"/>
        </w:rPr>
        <w:t xml:space="preserve"> Similarly, where the employee feels they have been treated unfairly or pressured into accepting unreasonable changes, this may undermine trust and confidence in the employment relationship.</w:t>
      </w:r>
    </w:p>
    <w:p w14:paraId="2B14B004" w14:textId="47B8A371" w:rsidR="00866D4A" w:rsidRPr="00237F8C" w:rsidRDefault="0066760F" w:rsidP="00DB16A4">
      <w:pPr>
        <w:pStyle w:val="NormalWeb"/>
        <w:spacing w:before="0" w:beforeAutospacing="0" w:after="180" w:afterAutospacing="0"/>
        <w:rPr>
          <w:rFonts w:ascii="Aptos Display" w:hAnsi="Aptos Display" w:cs="Times New Roman"/>
          <w:strike/>
          <w:sz w:val="26"/>
          <w:szCs w:val="26"/>
        </w:rPr>
      </w:pPr>
      <w:r w:rsidRPr="00237F8C">
        <w:rPr>
          <w:rFonts w:ascii="Aptos Display" w:hAnsi="Aptos Display"/>
          <w:sz w:val="26"/>
          <w:szCs w:val="26"/>
        </w:rPr>
        <w:br/>
      </w:r>
      <w:r w:rsidR="00DB16A4" w:rsidRPr="00237F8C">
        <w:rPr>
          <w:rFonts w:ascii="Aptos Display" w:hAnsi="Aptos Display" w:cs="Times New Roman"/>
          <w:strike/>
          <w:sz w:val="26"/>
          <w:szCs w:val="26"/>
        </w:rPr>
        <w:t>However, not every change to working arrangements will result in a successful claim. The tribunal would consider factors such as whether the contract included flexibility clauses allowing changes to hours, whether consultation took place, whether the change was reasonable and necessary for service delivery, and whether the Trust acted fairly and proportionately throughout the process. Employers are generally expected to consult meaningfully with employees before implementing contractual changes and to explore alternatives where possible.</w:t>
      </w:r>
    </w:p>
    <w:p w14:paraId="3741A3CF" w14:textId="77777777" w:rsidR="00866D4A" w:rsidRPr="00237F8C" w:rsidRDefault="00866D4A" w:rsidP="00866D4A">
      <w:pPr>
        <w:pStyle w:val="NormalWeb"/>
        <w:spacing w:before="0" w:beforeAutospacing="0" w:after="180" w:afterAutospacing="0"/>
        <w:rPr>
          <w:rFonts w:ascii="Aptos Display" w:hAnsi="Aptos Display"/>
          <w:color w:val="EE0000"/>
          <w:sz w:val="26"/>
          <w:szCs w:val="26"/>
        </w:rPr>
      </w:pPr>
      <w:r w:rsidRPr="00237F8C">
        <w:rPr>
          <w:rFonts w:ascii="Aptos Display" w:hAnsi="Aptos Display" w:cs="Times New Roman"/>
          <w:color w:val="EE0000"/>
          <w:sz w:val="26"/>
          <w:szCs w:val="26"/>
        </w:rPr>
        <w:t>However, not all changes will amount to constructive dismissal. Employers may rely on express flexibility clauses within contracts, provided they are exercised reasonably and not in a way that undermines trust and confidence (ACAS, 2024). Tribunals will also consider whether meaningful consultation took place, whether alternatives were explored, and whether the employer acted proportionately in response to service needs (CIPD, 2024).</w:t>
      </w:r>
    </w:p>
    <w:p w14:paraId="7DF30238" w14:textId="72336214" w:rsidR="00E932C8" w:rsidRPr="00237F8C" w:rsidRDefault="0066760F" w:rsidP="00DB16A4">
      <w:pPr>
        <w:pStyle w:val="NormalWeb"/>
        <w:spacing w:before="0" w:beforeAutospacing="0" w:after="180" w:afterAutospacing="0"/>
        <w:rPr>
          <w:rFonts w:ascii="Aptos Display" w:hAnsi="Aptos Display" w:cs="Times New Roman"/>
          <w:sz w:val="26"/>
          <w:szCs w:val="26"/>
        </w:rPr>
      </w:pPr>
      <w:r w:rsidRPr="00237F8C">
        <w:rPr>
          <w:rFonts w:ascii="Aptos Display" w:hAnsi="Aptos Display"/>
          <w:sz w:val="26"/>
          <w:szCs w:val="26"/>
        </w:rPr>
        <w:br/>
      </w:r>
      <w:r w:rsidR="00DB16A4" w:rsidRPr="00237F8C">
        <w:rPr>
          <w:rFonts w:ascii="Aptos Display" w:hAnsi="Aptos Display" w:cs="Times New Roman"/>
          <w:sz w:val="26"/>
          <w:szCs w:val="26"/>
        </w:rPr>
        <w:t xml:space="preserve">In terms of timescales, an individual generally has three months less one day from the effective date of termination to submit a claim to the Employment Tribunal. Before lodging a claim, the former employee must normally contact ACAS for Early Conciliation, which can pause the limitation period while conciliation is </w:t>
      </w:r>
      <w:r w:rsidR="008E0729" w:rsidRPr="00237F8C">
        <w:rPr>
          <w:rFonts w:ascii="Aptos Display" w:hAnsi="Aptos Display" w:cs="Times New Roman"/>
          <w:sz w:val="26"/>
          <w:szCs w:val="26"/>
        </w:rPr>
        <w:t>attempted</w:t>
      </w:r>
      <w:r w:rsidR="008E0729" w:rsidRPr="00237F8C">
        <w:rPr>
          <w:rFonts w:ascii="Aptos Display" w:hAnsi="Aptos Display" w:cs="Times New Roman"/>
          <w:color w:val="EE0000"/>
          <w:sz w:val="26"/>
          <w:szCs w:val="26"/>
        </w:rPr>
        <w:t xml:space="preserve"> (</w:t>
      </w:r>
      <w:r w:rsidR="00E932C8" w:rsidRPr="00237F8C">
        <w:rPr>
          <w:rFonts w:ascii="Aptos Display" w:hAnsi="Aptos Display" w:cs="Times New Roman"/>
          <w:color w:val="EE0000"/>
          <w:sz w:val="26"/>
          <w:szCs w:val="26"/>
        </w:rPr>
        <w:t>ACAS, 2024).</w:t>
      </w:r>
      <w:r w:rsidR="00DB16A4" w:rsidRPr="00237F8C">
        <w:rPr>
          <w:rFonts w:ascii="Aptos Display" w:hAnsi="Aptos Display" w:cs="Times New Roman"/>
          <w:sz w:val="26"/>
          <w:szCs w:val="26"/>
        </w:rPr>
        <w:t xml:space="preserve"> If the claim is submitted outside the required timeframe, the tribunal will usually consider it out of time unless exceptional circumstances apply.</w:t>
      </w:r>
      <w:r w:rsidR="00E932C8" w:rsidRPr="00237F8C">
        <w:rPr>
          <w:rFonts w:ascii="Aptos Display" w:hAnsi="Aptos Display" w:cs="Times New Roman"/>
          <w:color w:val="EE0000"/>
          <w:sz w:val="26"/>
          <w:szCs w:val="26"/>
        </w:rPr>
        <w:t xml:space="preserve"> (Judiciary UK, 2024).</w:t>
      </w:r>
    </w:p>
    <w:p w14:paraId="07AC0ADD" w14:textId="3A44C307" w:rsidR="00DB16A4" w:rsidRPr="00237F8C" w:rsidRDefault="0066760F" w:rsidP="00DB16A4">
      <w:pPr>
        <w:pStyle w:val="NormalWeb"/>
        <w:spacing w:before="0" w:beforeAutospacing="0" w:after="180" w:afterAutospacing="0"/>
        <w:rPr>
          <w:rFonts w:ascii="Aptos Display" w:hAnsi="Aptos Display" w:cs="Times New Roman"/>
          <w:sz w:val="26"/>
          <w:szCs w:val="26"/>
        </w:rPr>
      </w:pPr>
      <w:r w:rsidRPr="00237F8C">
        <w:rPr>
          <w:rFonts w:ascii="Aptos Display" w:hAnsi="Aptos Display"/>
          <w:sz w:val="26"/>
          <w:szCs w:val="26"/>
        </w:rPr>
        <w:br/>
      </w:r>
      <w:r w:rsidR="00DB16A4" w:rsidRPr="00237F8C">
        <w:rPr>
          <w:rFonts w:ascii="Aptos Display" w:hAnsi="Aptos Display" w:cs="Times New Roman"/>
          <w:sz w:val="26"/>
          <w:szCs w:val="26"/>
        </w:rPr>
        <w:t>It would therefore be advisable to review the contractual position, consultation records, correspondence, and the reasons for the working hours change to assess the potential legal risk and whether the Trust acted reasonably and lawfully throughout the process.</w:t>
      </w:r>
    </w:p>
    <w:p w14:paraId="1E1C91CE" w14:textId="47FC2D34" w:rsidR="00DB16A4" w:rsidRPr="00237F8C" w:rsidRDefault="00DB16A4" w:rsidP="00DB16A4">
      <w:pPr>
        <w:pStyle w:val="NormalWeb"/>
        <w:spacing w:before="0" w:beforeAutospacing="0" w:after="180" w:afterAutospacing="0"/>
        <w:rPr>
          <w:rFonts w:ascii="Aptos Display" w:hAnsi="Aptos Display" w:cs="Times New Roman"/>
          <w:b/>
          <w:bCs/>
          <w:sz w:val="26"/>
          <w:szCs w:val="26"/>
        </w:rPr>
      </w:pPr>
      <w:r w:rsidRPr="00237F8C">
        <w:rPr>
          <w:rFonts w:ascii="Aptos Display" w:hAnsi="Aptos Display" w:cs="Times New Roman"/>
          <w:b/>
          <w:bCs/>
          <w:sz w:val="26"/>
          <w:szCs w:val="26"/>
        </w:rPr>
        <w:t>AC 3.2</w:t>
      </w:r>
    </w:p>
    <w:p w14:paraId="1E1B50E9" w14:textId="5AFB9F39" w:rsidR="00A4084B" w:rsidRPr="00A4084B" w:rsidRDefault="00DB16A4" w:rsidP="00DB16A4">
      <w:pPr>
        <w:pStyle w:val="NormalWeb"/>
        <w:spacing w:before="0" w:beforeAutospacing="0" w:after="180" w:afterAutospacing="0"/>
        <w:rPr>
          <w:rFonts w:ascii="Aptos Display" w:hAnsi="Aptos Display" w:cs="Times New Roman"/>
          <w:sz w:val="26"/>
          <w:szCs w:val="26"/>
        </w:rPr>
      </w:pPr>
      <w:r w:rsidRPr="00237F8C">
        <w:rPr>
          <w:rFonts w:ascii="Aptos Display" w:hAnsi="Aptos Display" w:cs="Times New Roman"/>
          <w:sz w:val="26"/>
          <w:szCs w:val="26"/>
        </w:rPr>
        <w:t xml:space="preserve">Further to your comments regarding the proposed reorganisation and potential compulsory redundancies within the directorate, it is important that the redundancy process is managed carefully and in accordance with employment law requirements. Although there may be pressure to progress quickly, simply dismissing employees </w:t>
      </w:r>
      <w:r w:rsidRPr="00237F8C">
        <w:rPr>
          <w:rFonts w:ascii="Aptos Display" w:hAnsi="Aptos Display" w:cs="Times New Roman"/>
          <w:sz w:val="26"/>
          <w:szCs w:val="26"/>
        </w:rPr>
        <w:lastRenderedPageBreak/>
        <w:t>considered to be the poorest performers without appropriate consultation or a fair process could expose the Trust to significant legal and employee relations risks</w:t>
      </w:r>
      <w:r w:rsidR="00A4084B">
        <w:rPr>
          <w:rFonts w:ascii="Aptos Display" w:hAnsi="Aptos Display" w:cs="Times New Roman"/>
          <w:sz w:val="26"/>
          <w:szCs w:val="26"/>
        </w:rPr>
        <w:t xml:space="preserve"> </w:t>
      </w:r>
      <w:r w:rsidR="00A4084B" w:rsidRPr="00237F8C">
        <w:rPr>
          <w:rFonts w:ascii="Aptos Display" w:hAnsi="Aptos Display"/>
          <w:color w:val="EE0000"/>
          <w:sz w:val="26"/>
          <w:szCs w:val="26"/>
        </w:rPr>
        <w:t>(ACAS, 2024).</w:t>
      </w:r>
      <w:r w:rsidR="0066760F" w:rsidRPr="00237F8C">
        <w:rPr>
          <w:rFonts w:ascii="Aptos Display" w:hAnsi="Aptos Display"/>
          <w:sz w:val="26"/>
          <w:szCs w:val="26"/>
        </w:rPr>
        <w:br/>
      </w:r>
      <w:r w:rsidRPr="00237F8C">
        <w:rPr>
          <w:rFonts w:ascii="Aptos Display" w:hAnsi="Aptos Display" w:cs="Times New Roman"/>
          <w:sz w:val="26"/>
          <w:szCs w:val="26"/>
        </w:rPr>
        <w:t>Under the Employment Rights Act 1996, redundancy is considered a potentially fair reason for dismissal where there is a genuine reduction in the requirement for employees to carry out work of a particular kind</w:t>
      </w:r>
      <w:r w:rsidR="00A4084B">
        <w:rPr>
          <w:rFonts w:ascii="Aptos Display" w:hAnsi="Aptos Display" w:cs="Times New Roman"/>
          <w:sz w:val="26"/>
          <w:szCs w:val="26"/>
        </w:rPr>
        <w:t xml:space="preserve"> </w:t>
      </w:r>
      <w:r w:rsidR="00A4084B" w:rsidRPr="00237F8C">
        <w:rPr>
          <w:rFonts w:ascii="Aptos Display" w:hAnsi="Aptos Display"/>
          <w:color w:val="EE0000"/>
          <w:sz w:val="26"/>
          <w:szCs w:val="26"/>
        </w:rPr>
        <w:t>(</w:t>
      </w:r>
      <w:hyperlink r:id="rId13" w:history="1">
        <w:r w:rsidR="00A4084B" w:rsidRPr="00A4084B">
          <w:rPr>
            <w:rStyle w:val="Hyperlink"/>
            <w:rFonts w:ascii="Aptos Display" w:hAnsi="Aptos Display"/>
            <w:color w:val="EE0000"/>
            <w:sz w:val="26"/>
            <w:szCs w:val="26"/>
            <w:u w:val="none"/>
          </w:rPr>
          <w:t>Gov.uk</w:t>
        </w:r>
      </w:hyperlink>
      <w:r w:rsidR="00A4084B" w:rsidRPr="00237F8C">
        <w:rPr>
          <w:rFonts w:ascii="Aptos Display" w:hAnsi="Aptos Display"/>
          <w:color w:val="EE0000"/>
          <w:sz w:val="26"/>
          <w:szCs w:val="26"/>
        </w:rPr>
        <w:t xml:space="preserve">, 1996). </w:t>
      </w:r>
      <w:r w:rsidRPr="00237F8C">
        <w:rPr>
          <w:rFonts w:ascii="Aptos Display" w:hAnsi="Aptos Display" w:cs="Times New Roman"/>
          <w:sz w:val="26"/>
          <w:szCs w:val="26"/>
        </w:rPr>
        <w:t xml:space="preserve"> However, employers must still follow a fair and reasonable procedure when selecting employees for redundancy</w:t>
      </w:r>
      <w:r w:rsidR="00A4084B">
        <w:rPr>
          <w:rFonts w:ascii="Aptos Display" w:hAnsi="Aptos Display" w:cs="Times New Roman"/>
          <w:sz w:val="26"/>
          <w:szCs w:val="26"/>
        </w:rPr>
        <w:t xml:space="preserve"> </w:t>
      </w:r>
      <w:r w:rsidR="00A4084B" w:rsidRPr="00237F8C">
        <w:rPr>
          <w:rFonts w:ascii="Aptos Display" w:hAnsi="Aptos Display"/>
          <w:color w:val="EE0000"/>
          <w:sz w:val="26"/>
          <w:szCs w:val="26"/>
        </w:rPr>
        <w:t>including objective selection criteria and meaningful consultation (CIPD, 2024).</w:t>
      </w:r>
    </w:p>
    <w:p w14:paraId="42F57A7C" w14:textId="0F77C740" w:rsidR="00237F8C" w:rsidRDefault="0066760F" w:rsidP="00DB16A4">
      <w:pPr>
        <w:pStyle w:val="NormalWeb"/>
        <w:spacing w:before="0" w:beforeAutospacing="0" w:after="180" w:afterAutospacing="0"/>
        <w:rPr>
          <w:rFonts w:ascii="Aptos Display" w:hAnsi="Aptos Display" w:cs="Times New Roman"/>
          <w:sz w:val="26"/>
          <w:szCs w:val="26"/>
        </w:rPr>
      </w:pPr>
      <w:r w:rsidRPr="00237F8C">
        <w:rPr>
          <w:rFonts w:ascii="Aptos Display" w:hAnsi="Aptos Display"/>
          <w:sz w:val="26"/>
          <w:szCs w:val="26"/>
        </w:rPr>
        <w:br/>
      </w:r>
      <w:r w:rsidR="00DB16A4" w:rsidRPr="00237F8C">
        <w:rPr>
          <w:rFonts w:ascii="Aptos Display" w:hAnsi="Aptos Display" w:cs="Times New Roman"/>
          <w:sz w:val="26"/>
          <w:szCs w:val="26"/>
        </w:rPr>
        <w:t>As 50 posts are proposed to be removed, the Trust will be required to undertake collective consultation obligations under the Trade Union and Labour Relations (Consolidation) Act 1992. Where 20 or more redundancies are proposed within a 90-day period, employers must consult appropriate employee representatives or recognised trade unions</w:t>
      </w:r>
      <w:r w:rsidR="00A4084B">
        <w:rPr>
          <w:rFonts w:ascii="Aptos Display" w:hAnsi="Aptos Display" w:cs="Times New Roman"/>
          <w:sz w:val="26"/>
          <w:szCs w:val="26"/>
        </w:rPr>
        <w:t xml:space="preserve"> </w:t>
      </w:r>
      <w:r w:rsidR="00A4084B" w:rsidRPr="00A4084B">
        <w:rPr>
          <w:rFonts w:ascii="Aptos Display" w:hAnsi="Aptos Display"/>
          <w:color w:val="EE0000"/>
          <w:sz w:val="26"/>
          <w:szCs w:val="26"/>
        </w:rPr>
        <w:t>(</w:t>
      </w:r>
      <w:hyperlink r:id="rId14" w:history="1">
        <w:r w:rsidR="00A4084B" w:rsidRPr="00A4084B">
          <w:rPr>
            <w:rStyle w:val="Hyperlink"/>
            <w:rFonts w:ascii="Aptos Display" w:hAnsi="Aptos Display"/>
            <w:color w:val="EE0000"/>
            <w:sz w:val="26"/>
            <w:szCs w:val="26"/>
            <w:u w:val="none"/>
          </w:rPr>
          <w:t>Gov.uk</w:t>
        </w:r>
      </w:hyperlink>
      <w:r w:rsidR="00A4084B" w:rsidRPr="00237F8C">
        <w:rPr>
          <w:rFonts w:ascii="Aptos Display" w:hAnsi="Aptos Display"/>
          <w:color w:val="EE0000"/>
          <w:sz w:val="26"/>
          <w:szCs w:val="26"/>
        </w:rPr>
        <w:t>, 1992).</w:t>
      </w:r>
      <w:r w:rsidR="00DB16A4" w:rsidRPr="00237F8C">
        <w:rPr>
          <w:rFonts w:ascii="Aptos Display" w:hAnsi="Aptos Display" w:cs="Times New Roman"/>
          <w:sz w:val="26"/>
          <w:szCs w:val="26"/>
        </w:rPr>
        <w:t xml:space="preserve"> In cases involving 100 or more redundancies, consultation must begin at least 45 days before the first dismissal takes effect.</w:t>
      </w:r>
      <w:r w:rsidR="00A4084B" w:rsidRPr="00A4084B">
        <w:rPr>
          <w:rFonts w:ascii="Aptos Display" w:hAnsi="Aptos Display"/>
          <w:color w:val="EE0000"/>
          <w:sz w:val="26"/>
          <w:szCs w:val="26"/>
        </w:rPr>
        <w:t xml:space="preserve"> </w:t>
      </w:r>
      <w:r w:rsidR="00A4084B" w:rsidRPr="00237F8C">
        <w:rPr>
          <w:rFonts w:ascii="Aptos Display" w:hAnsi="Aptos Display"/>
          <w:color w:val="EE0000"/>
          <w:sz w:val="26"/>
          <w:szCs w:val="26"/>
        </w:rPr>
        <w:t xml:space="preserve">(ACAS, 2024). </w:t>
      </w:r>
      <w:r w:rsidR="00DB16A4" w:rsidRPr="00237F8C">
        <w:rPr>
          <w:rFonts w:ascii="Aptos Display" w:hAnsi="Aptos Display" w:cs="Times New Roman"/>
          <w:sz w:val="26"/>
          <w:szCs w:val="26"/>
        </w:rPr>
        <w:t xml:space="preserve"> Although the current proposal involves 50 redundancies, consultation must still begin at least 30 days before any dismissals occur</w:t>
      </w:r>
      <w:r w:rsidR="00A4084B" w:rsidRPr="00A4084B">
        <w:rPr>
          <w:rFonts w:ascii="Aptos Display" w:hAnsi="Aptos Display"/>
          <w:color w:val="EE0000"/>
          <w:sz w:val="26"/>
          <w:szCs w:val="26"/>
        </w:rPr>
        <w:t xml:space="preserve"> </w:t>
      </w:r>
      <w:r w:rsidR="00A4084B">
        <w:rPr>
          <w:rFonts w:ascii="Aptos Display" w:hAnsi="Aptos Display"/>
          <w:color w:val="EE0000"/>
          <w:sz w:val="26"/>
          <w:szCs w:val="26"/>
        </w:rPr>
        <w:t xml:space="preserve">and </w:t>
      </w:r>
      <w:r w:rsidR="00A4084B" w:rsidRPr="00237F8C">
        <w:rPr>
          <w:rFonts w:ascii="Aptos Display" w:hAnsi="Aptos Display"/>
          <w:color w:val="EE0000"/>
          <w:sz w:val="26"/>
          <w:szCs w:val="26"/>
        </w:rPr>
        <w:t>consultation</w:t>
      </w:r>
      <w:r w:rsidR="00A4084B">
        <w:rPr>
          <w:rFonts w:ascii="Aptos Display" w:hAnsi="Aptos Display"/>
          <w:color w:val="EE0000"/>
          <w:sz w:val="26"/>
          <w:szCs w:val="26"/>
        </w:rPr>
        <w:t>s</w:t>
      </w:r>
      <w:r w:rsidR="00A4084B" w:rsidRPr="00237F8C">
        <w:rPr>
          <w:rFonts w:ascii="Aptos Display" w:hAnsi="Aptos Display"/>
          <w:color w:val="EE0000"/>
          <w:sz w:val="26"/>
          <w:szCs w:val="26"/>
        </w:rPr>
        <w:t xml:space="preserve"> must still be genuine and meaningful rather than a procedural formality</w:t>
      </w:r>
      <w:r w:rsidR="00DB16A4" w:rsidRPr="00237F8C">
        <w:rPr>
          <w:rFonts w:ascii="Aptos Display" w:hAnsi="Aptos Display" w:cs="Times New Roman"/>
          <w:sz w:val="26"/>
          <w:szCs w:val="26"/>
        </w:rPr>
        <w:t>.</w:t>
      </w:r>
      <w:r w:rsidR="00A4084B" w:rsidRPr="00A4084B">
        <w:rPr>
          <w:rFonts w:ascii="Aptos Display" w:hAnsi="Aptos Display"/>
          <w:color w:val="EE0000"/>
          <w:sz w:val="26"/>
          <w:szCs w:val="26"/>
        </w:rPr>
        <w:t xml:space="preserve"> </w:t>
      </w:r>
      <w:r w:rsidR="00A4084B" w:rsidRPr="00237F8C">
        <w:rPr>
          <w:rFonts w:ascii="Aptos Display" w:hAnsi="Aptos Display"/>
          <w:color w:val="EE0000"/>
          <w:sz w:val="26"/>
          <w:szCs w:val="26"/>
        </w:rPr>
        <w:t>(CIPD, 2024)</w:t>
      </w:r>
    </w:p>
    <w:p w14:paraId="76DBC4A5" w14:textId="515F4E31" w:rsidR="00237F8C" w:rsidRDefault="00DB16A4" w:rsidP="00237F8C">
      <w:pPr>
        <w:pStyle w:val="NormalWeb"/>
        <w:spacing w:before="0" w:beforeAutospacing="0" w:after="0" w:afterAutospacing="0"/>
        <w:rPr>
          <w:rFonts w:ascii="Aptos Display" w:hAnsi="Aptos Display"/>
          <w:color w:val="EE0000"/>
          <w:sz w:val="26"/>
          <w:szCs w:val="26"/>
        </w:rPr>
      </w:pPr>
      <w:r w:rsidRPr="00237F8C">
        <w:rPr>
          <w:rFonts w:ascii="Aptos Display" w:hAnsi="Aptos Display" w:cs="Times New Roman"/>
          <w:sz w:val="26"/>
          <w:szCs w:val="26"/>
        </w:rPr>
        <w:t>The purpose of consultation is not simply to inform employees of decisions already made. Employers are legally expected to consult meaningfully about ways to avoid redundancies, reduce the number of dismissals, and mitigate the impact on affected employees</w:t>
      </w:r>
      <w:r w:rsidR="00A4084B">
        <w:rPr>
          <w:rFonts w:ascii="Aptos Display" w:hAnsi="Aptos Display" w:cs="Times New Roman"/>
          <w:sz w:val="26"/>
          <w:szCs w:val="26"/>
        </w:rPr>
        <w:t xml:space="preserve"> </w:t>
      </w:r>
      <w:r w:rsidR="00A4084B" w:rsidRPr="00237F8C">
        <w:rPr>
          <w:rFonts w:ascii="Aptos Display" w:hAnsi="Aptos Display"/>
          <w:color w:val="EE0000"/>
          <w:sz w:val="26"/>
          <w:szCs w:val="26"/>
        </w:rPr>
        <w:t>(ACAS, 2024).</w:t>
      </w:r>
      <w:r w:rsidRPr="00237F8C">
        <w:rPr>
          <w:rFonts w:ascii="Aptos Display" w:hAnsi="Aptos Display" w:cs="Times New Roman"/>
          <w:sz w:val="26"/>
          <w:szCs w:val="26"/>
        </w:rPr>
        <w:t xml:space="preserve"> </w:t>
      </w:r>
      <w:r w:rsidRPr="00A4084B">
        <w:rPr>
          <w:rFonts w:ascii="Aptos Display" w:hAnsi="Aptos Display" w:cs="Times New Roman"/>
          <w:strike/>
          <w:sz w:val="26"/>
          <w:szCs w:val="26"/>
        </w:rPr>
        <w:t>Failure to consult appropriately can lead to protective awards being made by employment tribunals.</w:t>
      </w:r>
      <w:r w:rsidR="00237F8C" w:rsidRPr="00237F8C">
        <w:rPr>
          <w:rFonts w:ascii="Aptos Display" w:hAnsi="Aptos Display"/>
          <w:color w:val="EE0000"/>
          <w:sz w:val="26"/>
          <w:szCs w:val="26"/>
        </w:rPr>
        <w:t xml:space="preserve"> </w:t>
      </w:r>
    </w:p>
    <w:p w14:paraId="03FD0340" w14:textId="358DF45E" w:rsidR="00237F8C" w:rsidRPr="00237F8C" w:rsidRDefault="00237F8C" w:rsidP="00237F8C">
      <w:pPr>
        <w:pStyle w:val="NormalWeb"/>
        <w:spacing w:before="0" w:beforeAutospacing="0" w:after="0" w:afterAutospacing="0"/>
        <w:rPr>
          <w:rFonts w:ascii="Aptos Display" w:hAnsi="Aptos Display"/>
          <w:color w:val="EE0000"/>
          <w:sz w:val="26"/>
          <w:szCs w:val="26"/>
        </w:rPr>
      </w:pPr>
      <w:r w:rsidRPr="00237F8C">
        <w:rPr>
          <w:rFonts w:ascii="Aptos Display" w:hAnsi="Aptos Display"/>
          <w:color w:val="EE0000"/>
          <w:sz w:val="26"/>
          <w:szCs w:val="26"/>
        </w:rPr>
        <w:t xml:space="preserve">Failure to consult properly can result in protective awards of up to 90 days’ pay per affected employee </w:t>
      </w:r>
      <w:r w:rsidRPr="00A4084B">
        <w:rPr>
          <w:rFonts w:ascii="Aptos Display" w:hAnsi="Aptos Display"/>
          <w:color w:val="EE0000"/>
          <w:sz w:val="26"/>
          <w:szCs w:val="26"/>
        </w:rPr>
        <w:t>(</w:t>
      </w:r>
      <w:hyperlink r:id="rId15" w:history="1">
        <w:r w:rsidRPr="00A4084B">
          <w:rPr>
            <w:rStyle w:val="Hyperlink"/>
            <w:rFonts w:ascii="Aptos Display" w:hAnsi="Aptos Display"/>
            <w:color w:val="EE0000"/>
            <w:sz w:val="26"/>
            <w:szCs w:val="26"/>
            <w:u w:val="none"/>
          </w:rPr>
          <w:t>Gov.uk</w:t>
        </w:r>
      </w:hyperlink>
      <w:r w:rsidRPr="00A4084B">
        <w:rPr>
          <w:rFonts w:ascii="Aptos Display" w:hAnsi="Aptos Display"/>
          <w:color w:val="EE0000"/>
          <w:sz w:val="26"/>
          <w:szCs w:val="26"/>
        </w:rPr>
        <w:t>, 1992).</w:t>
      </w:r>
    </w:p>
    <w:p w14:paraId="0537298E" w14:textId="44673FB8" w:rsidR="00A4084B" w:rsidRPr="00237F8C" w:rsidRDefault="0066760F" w:rsidP="00A4084B">
      <w:pPr>
        <w:pStyle w:val="NormalWeb"/>
        <w:spacing w:before="0" w:beforeAutospacing="0" w:after="0" w:afterAutospacing="0"/>
        <w:rPr>
          <w:rFonts w:ascii="Aptos Display" w:hAnsi="Aptos Display"/>
          <w:color w:val="EE0000"/>
          <w:sz w:val="26"/>
          <w:szCs w:val="26"/>
        </w:rPr>
      </w:pPr>
      <w:r w:rsidRPr="00237F8C">
        <w:rPr>
          <w:rFonts w:ascii="Aptos Display" w:hAnsi="Aptos Display"/>
          <w:sz w:val="26"/>
          <w:szCs w:val="26"/>
        </w:rPr>
        <w:br/>
      </w:r>
      <w:r w:rsidR="00DB16A4" w:rsidRPr="00237F8C">
        <w:rPr>
          <w:rFonts w:ascii="Aptos Display" w:hAnsi="Aptos Display" w:cs="Times New Roman"/>
          <w:sz w:val="26"/>
          <w:szCs w:val="26"/>
        </w:rPr>
        <w:t xml:space="preserve">Selection processes must also be fair, objective and non-discriminatory. While performance can form part of redundancy selection criteria, relying solely on managers’ opinions or targeting “poor performers” without objective evidence could lead to claims of unfair dismissal or discrimination. </w:t>
      </w:r>
      <w:r w:rsidR="00A4084B" w:rsidRPr="00237F8C">
        <w:rPr>
          <w:rFonts w:ascii="Aptos Display" w:hAnsi="Aptos Display"/>
          <w:color w:val="EE0000"/>
          <w:sz w:val="26"/>
          <w:szCs w:val="26"/>
        </w:rPr>
        <w:t>ACAS (2024) recommends using measurable criteria such as appraisal scores, attendance records and skills matrices to ensure fairness and transparency.</w:t>
      </w:r>
    </w:p>
    <w:p w14:paraId="1BFED6F6" w14:textId="77777777" w:rsidR="00A4084B" w:rsidRDefault="00DB16A4" w:rsidP="00DB16A4">
      <w:pPr>
        <w:pStyle w:val="NormalWeb"/>
        <w:spacing w:before="0" w:beforeAutospacing="0" w:after="180" w:afterAutospacing="0"/>
        <w:rPr>
          <w:rFonts w:ascii="Aptos Display" w:hAnsi="Aptos Display" w:cs="Times New Roman"/>
          <w:strike/>
          <w:sz w:val="26"/>
          <w:szCs w:val="26"/>
        </w:rPr>
      </w:pPr>
      <w:r w:rsidRPr="00A4084B">
        <w:rPr>
          <w:rFonts w:ascii="Aptos Display" w:hAnsi="Aptos Display" w:cs="Times New Roman"/>
          <w:strike/>
          <w:sz w:val="26"/>
          <w:szCs w:val="26"/>
        </w:rPr>
        <w:t>Selection criteria should be measurable, consistently applied and supported by evidence such as appraisals, attendance records or skills assessments.</w:t>
      </w:r>
    </w:p>
    <w:p w14:paraId="229FCC35" w14:textId="77777777" w:rsidR="00A4084B" w:rsidRDefault="0066760F" w:rsidP="00DB16A4">
      <w:pPr>
        <w:pStyle w:val="NormalWeb"/>
        <w:spacing w:before="0" w:beforeAutospacing="0" w:after="180" w:afterAutospacing="0"/>
        <w:rPr>
          <w:rFonts w:ascii="Aptos Display" w:hAnsi="Aptos Display" w:cs="Times New Roman"/>
          <w:strike/>
          <w:sz w:val="26"/>
          <w:szCs w:val="26"/>
        </w:rPr>
      </w:pPr>
      <w:r w:rsidRPr="00237F8C">
        <w:rPr>
          <w:rFonts w:ascii="Aptos Display" w:hAnsi="Aptos Display"/>
          <w:sz w:val="26"/>
          <w:szCs w:val="26"/>
        </w:rPr>
        <w:br/>
      </w:r>
      <w:r w:rsidR="00DB16A4" w:rsidRPr="00237F8C">
        <w:rPr>
          <w:rFonts w:ascii="Aptos Display" w:hAnsi="Aptos Display" w:cs="Times New Roman"/>
          <w:sz w:val="26"/>
          <w:szCs w:val="26"/>
        </w:rPr>
        <w:t>In addition, employees selected for redundancy should be individually consulted, provided with notice, considered for suitable alternative employment where possible, and informed of their right to appeal. Employees with sufficient service may also be entitled to statutory redundancy pay.</w:t>
      </w:r>
      <w:r w:rsidR="00A4084B" w:rsidRPr="00A4084B">
        <w:rPr>
          <w:rFonts w:ascii="Aptos Display" w:hAnsi="Aptos Display"/>
          <w:color w:val="EE0000"/>
          <w:sz w:val="26"/>
          <w:szCs w:val="26"/>
        </w:rPr>
        <w:t xml:space="preserve"> (</w:t>
      </w:r>
      <w:hyperlink r:id="rId16" w:history="1">
        <w:r w:rsidR="00A4084B" w:rsidRPr="00A4084B">
          <w:rPr>
            <w:rStyle w:val="Hyperlink"/>
            <w:rFonts w:ascii="Aptos Display" w:hAnsi="Aptos Display"/>
            <w:color w:val="EE0000"/>
            <w:sz w:val="26"/>
            <w:szCs w:val="26"/>
            <w:u w:val="none"/>
          </w:rPr>
          <w:t>Gov.uk</w:t>
        </w:r>
      </w:hyperlink>
      <w:r w:rsidR="00A4084B" w:rsidRPr="00237F8C">
        <w:rPr>
          <w:rFonts w:ascii="Aptos Display" w:hAnsi="Aptos Display"/>
          <w:color w:val="EE0000"/>
          <w:sz w:val="26"/>
          <w:szCs w:val="26"/>
        </w:rPr>
        <w:t>, 1996).</w:t>
      </w:r>
    </w:p>
    <w:p w14:paraId="587BCF8E" w14:textId="2D041D15" w:rsidR="00DB16A4" w:rsidRPr="00A4084B" w:rsidRDefault="0066760F" w:rsidP="00DB16A4">
      <w:pPr>
        <w:pStyle w:val="NormalWeb"/>
        <w:spacing w:before="0" w:beforeAutospacing="0" w:after="180" w:afterAutospacing="0"/>
        <w:rPr>
          <w:rFonts w:ascii="Aptos Display" w:hAnsi="Aptos Display" w:cs="Times New Roman"/>
          <w:strike/>
          <w:sz w:val="26"/>
          <w:szCs w:val="26"/>
        </w:rPr>
      </w:pPr>
      <w:r w:rsidRPr="00237F8C">
        <w:rPr>
          <w:rFonts w:ascii="Aptos Display" w:hAnsi="Aptos Display"/>
          <w:sz w:val="26"/>
          <w:szCs w:val="26"/>
        </w:rPr>
        <w:lastRenderedPageBreak/>
        <w:br/>
      </w:r>
      <w:r w:rsidR="00DB16A4" w:rsidRPr="00237F8C">
        <w:rPr>
          <w:rFonts w:ascii="Aptos Display" w:hAnsi="Aptos Display" w:cs="Times New Roman"/>
          <w:sz w:val="26"/>
          <w:szCs w:val="26"/>
        </w:rPr>
        <w:t>Overall, although a quicker process may appear operationally attractive, failing to follow legal redundancy requirements could result in costly tribunal claims, reputational damage and reduced employee trust. A fair, transparent and properly consulted process is therefore essential.</w:t>
      </w:r>
      <w:r w:rsidR="00A4084B" w:rsidRPr="00A4084B">
        <w:rPr>
          <w:rFonts w:ascii="Aptos Display" w:hAnsi="Aptos Display"/>
          <w:color w:val="EE0000"/>
          <w:sz w:val="26"/>
          <w:szCs w:val="26"/>
        </w:rPr>
        <w:t xml:space="preserve"> </w:t>
      </w:r>
      <w:r w:rsidR="00A4084B" w:rsidRPr="00237F8C">
        <w:rPr>
          <w:rFonts w:ascii="Aptos Display" w:hAnsi="Aptos Display"/>
          <w:color w:val="EE0000"/>
          <w:sz w:val="26"/>
          <w:szCs w:val="26"/>
        </w:rPr>
        <w:t>(CIPD, 2024).</w:t>
      </w:r>
    </w:p>
    <w:p w14:paraId="497E51CA" w14:textId="7E1D4AE2" w:rsidR="00DB16A4" w:rsidRPr="00237F8C" w:rsidRDefault="00DB16A4" w:rsidP="00DB16A4">
      <w:pPr>
        <w:pStyle w:val="NormalWeb"/>
        <w:spacing w:before="0" w:beforeAutospacing="0" w:after="180" w:afterAutospacing="0"/>
        <w:rPr>
          <w:rFonts w:ascii="Aptos Display" w:hAnsi="Aptos Display" w:cs="Times New Roman"/>
          <w:b/>
          <w:bCs/>
          <w:sz w:val="26"/>
          <w:szCs w:val="26"/>
        </w:rPr>
      </w:pPr>
      <w:r w:rsidRPr="00237F8C">
        <w:rPr>
          <w:rFonts w:ascii="Aptos Display" w:hAnsi="Aptos Display" w:cs="Times New Roman"/>
          <w:b/>
          <w:bCs/>
          <w:sz w:val="26"/>
          <w:szCs w:val="26"/>
        </w:rPr>
        <w:t>AC 3.3</w:t>
      </w:r>
    </w:p>
    <w:p w14:paraId="4503D8E3" w14:textId="77777777" w:rsidR="002427C9" w:rsidRDefault="00DB16A4" w:rsidP="00DB16A4">
      <w:pPr>
        <w:pStyle w:val="NormalWeb"/>
        <w:spacing w:before="0" w:beforeAutospacing="0" w:after="0" w:afterAutospacing="0"/>
        <w:rPr>
          <w:rFonts w:ascii="Aptos Display" w:hAnsi="Aptos Display"/>
          <w:sz w:val="26"/>
          <w:szCs w:val="26"/>
        </w:rPr>
      </w:pPr>
      <w:r w:rsidRPr="00237F8C">
        <w:rPr>
          <w:rFonts w:ascii="Aptos Display" w:hAnsi="Aptos Display"/>
          <w:sz w:val="26"/>
          <w:szCs w:val="26"/>
        </w:rPr>
        <w:t>Further to your request regarding the proposed merger of the two pharmacy operations, it is important to consider the potential implications of the Transfer of Undertakings (Protection of Employment) Regulations 2006 (TUPE) should the merger proceed in the future.</w:t>
      </w:r>
    </w:p>
    <w:p w14:paraId="3B6E8F60" w14:textId="3B4AAE73" w:rsidR="002427C9" w:rsidRPr="00614B0F" w:rsidRDefault="0066760F" w:rsidP="00614B0F">
      <w:pPr>
        <w:pStyle w:val="NormalWeb"/>
        <w:spacing w:before="0" w:beforeAutospacing="0" w:after="0" w:afterAutospacing="0"/>
        <w:rPr>
          <w:rFonts w:ascii="Aptos Display" w:hAnsi="Aptos Display"/>
          <w:sz w:val="26"/>
          <w:szCs w:val="26"/>
        </w:rPr>
      </w:pPr>
      <w:r w:rsidRPr="00237F8C">
        <w:rPr>
          <w:rFonts w:ascii="Aptos Display" w:hAnsi="Aptos Display"/>
          <w:sz w:val="26"/>
          <w:szCs w:val="26"/>
        </w:rPr>
        <w:br/>
      </w:r>
      <w:r w:rsidR="00DB16A4" w:rsidRPr="00237F8C">
        <w:rPr>
          <w:rFonts w:ascii="Aptos Display" w:hAnsi="Aptos Display"/>
          <w:sz w:val="26"/>
          <w:szCs w:val="26"/>
        </w:rPr>
        <w:t>TUPE regulations are designed to protect employees when a business, service, or part of an organisation transfers from one employer to another. In this case, if pharmacy services from the neighbouring trust were transferred into an expanded operation managed by our Trust, TUPE may apply because responsibility for delivering the service would effectively transfer between employers</w:t>
      </w:r>
      <w:r w:rsidR="002427C9" w:rsidRPr="00237F8C">
        <w:rPr>
          <w:rFonts w:ascii="Aptos Display" w:hAnsi="Aptos Display" w:cs="Times New Roman"/>
          <w:color w:val="EE0000"/>
          <w:sz w:val="26"/>
          <w:szCs w:val="26"/>
        </w:rPr>
        <w:t xml:space="preserve"> (ACAS, 2024). The purpose of TUPE is to ensure continuity of employment and prevent employees being disadvantaged due to organisational restructuring (CIPD, 2024).</w:t>
      </w:r>
    </w:p>
    <w:p w14:paraId="3379A059" w14:textId="77777777" w:rsidR="002427C9" w:rsidRPr="00237F8C" w:rsidRDefault="002427C9" w:rsidP="00DB16A4">
      <w:pPr>
        <w:pStyle w:val="NormalWeb"/>
        <w:spacing w:before="0" w:beforeAutospacing="0" w:after="0" w:afterAutospacing="0"/>
        <w:rPr>
          <w:rFonts w:ascii="Aptos Display" w:hAnsi="Aptos Display"/>
          <w:sz w:val="26"/>
          <w:szCs w:val="26"/>
        </w:rPr>
      </w:pPr>
    </w:p>
    <w:p w14:paraId="76A19051" w14:textId="2CC25A86" w:rsidR="002427C9" w:rsidRDefault="00DB16A4" w:rsidP="00DB16A4">
      <w:pPr>
        <w:pStyle w:val="NormalWeb"/>
        <w:spacing w:before="0" w:beforeAutospacing="0" w:after="0" w:afterAutospacing="0"/>
        <w:rPr>
          <w:rFonts w:ascii="Aptos Display" w:hAnsi="Aptos Display"/>
          <w:sz w:val="26"/>
          <w:szCs w:val="26"/>
        </w:rPr>
      </w:pPr>
      <w:r w:rsidRPr="00237F8C">
        <w:rPr>
          <w:rFonts w:ascii="Aptos Display" w:hAnsi="Aptos Display"/>
          <w:sz w:val="26"/>
          <w:szCs w:val="26"/>
        </w:rPr>
        <w:t>The main principle of TUPE is that employees assigned to the transferring service move automatically to the new employer on their existing terms and conditions of employment</w:t>
      </w:r>
      <w:r w:rsidR="00614B0F">
        <w:rPr>
          <w:rFonts w:ascii="Aptos Display" w:hAnsi="Aptos Display"/>
          <w:sz w:val="26"/>
          <w:szCs w:val="26"/>
        </w:rPr>
        <w:t xml:space="preserve"> </w:t>
      </w:r>
      <w:r w:rsidR="00614B0F" w:rsidRPr="00237F8C">
        <w:rPr>
          <w:rFonts w:ascii="Aptos Display" w:hAnsi="Aptos Display" w:cs="Times New Roman"/>
          <w:color w:val="EE0000"/>
          <w:sz w:val="26"/>
          <w:szCs w:val="26"/>
        </w:rPr>
        <w:t>(</w:t>
      </w:r>
      <w:hyperlink r:id="rId17" w:history="1">
        <w:r w:rsidR="00614B0F" w:rsidRPr="00614B0F">
          <w:rPr>
            <w:rStyle w:val="Hyperlink"/>
            <w:rFonts w:ascii="Aptos Display" w:hAnsi="Aptos Display" w:cs="Times New Roman"/>
            <w:color w:val="EE0000"/>
            <w:sz w:val="26"/>
            <w:szCs w:val="26"/>
            <w:u w:val="none"/>
          </w:rPr>
          <w:t>Gov.uk</w:t>
        </w:r>
      </w:hyperlink>
      <w:r w:rsidR="00614B0F" w:rsidRPr="00237F8C">
        <w:rPr>
          <w:rFonts w:ascii="Aptos Display" w:hAnsi="Aptos Display" w:cs="Times New Roman"/>
          <w:color w:val="EE0000"/>
          <w:sz w:val="26"/>
          <w:szCs w:val="26"/>
        </w:rPr>
        <w:t xml:space="preserve">, 2006). </w:t>
      </w:r>
      <w:r w:rsidRPr="00237F8C">
        <w:rPr>
          <w:rFonts w:ascii="Aptos Display" w:hAnsi="Aptos Display"/>
          <w:sz w:val="26"/>
          <w:szCs w:val="26"/>
        </w:rPr>
        <w:t>This means affected employees would generally retain continuity of service, pay, annual leave entitlement, contractual hours, pension protections in certain respects, and other contractual rights. Their employment transfers as though their contract had originally been made with the new employer</w:t>
      </w:r>
      <w:r w:rsidR="00614B0F" w:rsidRPr="00614B0F">
        <w:rPr>
          <w:rFonts w:ascii="Aptos Display" w:hAnsi="Aptos Display" w:cs="Times New Roman"/>
          <w:color w:val="EE0000"/>
          <w:sz w:val="26"/>
          <w:szCs w:val="26"/>
        </w:rPr>
        <w:t xml:space="preserve"> </w:t>
      </w:r>
      <w:r w:rsidR="00614B0F" w:rsidRPr="00237F8C">
        <w:rPr>
          <w:rFonts w:ascii="Aptos Display" w:hAnsi="Aptos Display" w:cs="Times New Roman"/>
          <w:color w:val="EE0000"/>
          <w:sz w:val="26"/>
          <w:szCs w:val="26"/>
        </w:rPr>
        <w:t>ensuring legal continuity (CIPD, 2024).</w:t>
      </w:r>
    </w:p>
    <w:p w14:paraId="1E6D9766" w14:textId="77777777" w:rsidR="00614B0F" w:rsidRPr="00237F8C" w:rsidRDefault="00614B0F" w:rsidP="00DB16A4">
      <w:pPr>
        <w:pStyle w:val="NormalWeb"/>
        <w:spacing w:before="0" w:beforeAutospacing="0" w:after="0" w:afterAutospacing="0"/>
        <w:rPr>
          <w:rFonts w:ascii="Aptos Display" w:hAnsi="Aptos Display"/>
          <w:sz w:val="26"/>
          <w:szCs w:val="26"/>
        </w:rPr>
      </w:pPr>
    </w:p>
    <w:p w14:paraId="2B89C678" w14:textId="761C3C1B" w:rsidR="00DB16A4" w:rsidRDefault="00DB16A4" w:rsidP="00DB16A4">
      <w:pPr>
        <w:pStyle w:val="NormalWeb"/>
        <w:spacing w:before="0" w:beforeAutospacing="0" w:after="0" w:afterAutospacing="0"/>
        <w:rPr>
          <w:rFonts w:ascii="Aptos Display" w:hAnsi="Aptos Display" w:cs="Times New Roman"/>
          <w:color w:val="EE0000"/>
          <w:sz w:val="26"/>
          <w:szCs w:val="26"/>
        </w:rPr>
      </w:pPr>
      <w:r w:rsidRPr="00237F8C">
        <w:rPr>
          <w:rFonts w:ascii="Aptos Display" w:hAnsi="Aptos Display"/>
          <w:sz w:val="26"/>
          <w:szCs w:val="26"/>
        </w:rPr>
        <w:t xml:space="preserve">Employees also have protection against dismissal connected to the transfer. Under </w:t>
      </w:r>
      <w:r w:rsidR="00614B0F" w:rsidRPr="00237F8C">
        <w:rPr>
          <w:rFonts w:ascii="Aptos Display" w:hAnsi="Aptos Display" w:cs="Times New Roman"/>
          <w:color w:val="EE0000"/>
          <w:sz w:val="26"/>
          <w:szCs w:val="26"/>
        </w:rPr>
        <w:t>Regulation 7</w:t>
      </w:r>
      <w:r w:rsidR="00614B0F">
        <w:rPr>
          <w:rFonts w:ascii="Aptos Display" w:hAnsi="Aptos Display" w:cs="Times New Roman"/>
          <w:color w:val="EE0000"/>
          <w:sz w:val="26"/>
          <w:szCs w:val="26"/>
        </w:rPr>
        <w:t xml:space="preserve"> </w:t>
      </w:r>
      <w:r w:rsidRPr="00237F8C">
        <w:rPr>
          <w:rFonts w:ascii="Aptos Display" w:hAnsi="Aptos Display"/>
          <w:sz w:val="26"/>
          <w:szCs w:val="26"/>
        </w:rPr>
        <w:t xml:space="preserve">TUPE, dismissals where the sole or principal reason is the transfer itself are generally automatically unfair unless there is an “economic, technical or organisational” (ETO) reason involving changes in the </w:t>
      </w:r>
      <w:r w:rsidRPr="00614B0F">
        <w:rPr>
          <w:rFonts w:ascii="Aptos Display" w:hAnsi="Aptos Display"/>
          <w:sz w:val="26"/>
          <w:szCs w:val="26"/>
        </w:rPr>
        <w:t>workforce</w:t>
      </w:r>
      <w:r w:rsidR="00614B0F" w:rsidRPr="00614B0F">
        <w:rPr>
          <w:rFonts w:ascii="Aptos Display" w:hAnsi="Aptos Display"/>
          <w:sz w:val="26"/>
          <w:szCs w:val="26"/>
        </w:rPr>
        <w:t xml:space="preserve"> </w:t>
      </w:r>
      <w:r w:rsidR="00614B0F" w:rsidRPr="00614B0F">
        <w:rPr>
          <w:rFonts w:ascii="Aptos Display" w:hAnsi="Aptos Display" w:cs="Times New Roman"/>
          <w:color w:val="EE0000"/>
          <w:sz w:val="26"/>
          <w:szCs w:val="26"/>
        </w:rPr>
        <w:t>(</w:t>
      </w:r>
      <w:hyperlink r:id="rId18" w:history="1">
        <w:r w:rsidR="00614B0F" w:rsidRPr="00614B0F">
          <w:rPr>
            <w:rStyle w:val="Hyperlink"/>
            <w:rFonts w:ascii="Aptos Display" w:hAnsi="Aptos Display" w:cs="Times New Roman"/>
            <w:color w:val="EE0000"/>
            <w:sz w:val="26"/>
            <w:szCs w:val="26"/>
            <w:u w:val="none"/>
          </w:rPr>
          <w:t>Gov.uk</w:t>
        </w:r>
      </w:hyperlink>
      <w:r w:rsidR="00614B0F" w:rsidRPr="00614B0F">
        <w:rPr>
          <w:rFonts w:ascii="Aptos Display" w:hAnsi="Aptos Display" w:cs="Times New Roman"/>
          <w:color w:val="EE0000"/>
          <w:sz w:val="26"/>
          <w:szCs w:val="26"/>
        </w:rPr>
        <w:t>,</w:t>
      </w:r>
      <w:r w:rsidR="00614B0F" w:rsidRPr="00237F8C">
        <w:rPr>
          <w:rFonts w:ascii="Aptos Display" w:hAnsi="Aptos Display" w:cs="Times New Roman"/>
          <w:color w:val="EE0000"/>
          <w:sz w:val="26"/>
          <w:szCs w:val="26"/>
        </w:rPr>
        <w:t xml:space="preserve"> 2006).</w:t>
      </w:r>
      <w:r w:rsidRPr="00237F8C">
        <w:rPr>
          <w:rFonts w:ascii="Aptos Display" w:hAnsi="Aptos Display"/>
          <w:sz w:val="26"/>
          <w:szCs w:val="26"/>
        </w:rPr>
        <w:t xml:space="preserve"> For example, if redundancies became necessary due to duplication of roles following the merger, these may potentially be lawful if supported by a genuine organisational reason and a fair redundancy process</w:t>
      </w:r>
      <w:r w:rsidR="00614B0F" w:rsidRPr="00614B0F">
        <w:rPr>
          <w:rFonts w:ascii="Aptos Display" w:hAnsi="Aptos Display" w:cs="Times New Roman"/>
          <w:color w:val="EE0000"/>
          <w:sz w:val="26"/>
          <w:szCs w:val="26"/>
        </w:rPr>
        <w:t xml:space="preserve"> </w:t>
      </w:r>
      <w:r w:rsidR="00614B0F" w:rsidRPr="00237F8C">
        <w:rPr>
          <w:rFonts w:ascii="Aptos Display" w:hAnsi="Aptos Display" w:cs="Times New Roman"/>
          <w:color w:val="EE0000"/>
          <w:sz w:val="26"/>
          <w:szCs w:val="26"/>
        </w:rPr>
        <w:t>(ACAS, 2024).</w:t>
      </w:r>
    </w:p>
    <w:p w14:paraId="6F56B3C2" w14:textId="77777777" w:rsidR="00614B0F" w:rsidRPr="00237F8C" w:rsidRDefault="00614B0F" w:rsidP="00DB16A4">
      <w:pPr>
        <w:pStyle w:val="NormalWeb"/>
        <w:spacing w:before="0" w:beforeAutospacing="0" w:after="0" w:afterAutospacing="0"/>
        <w:rPr>
          <w:rFonts w:ascii="Aptos Display" w:hAnsi="Aptos Display"/>
          <w:sz w:val="26"/>
          <w:szCs w:val="26"/>
        </w:rPr>
      </w:pPr>
    </w:p>
    <w:p w14:paraId="27C6D4EE" w14:textId="3609C49B" w:rsidR="002427C9" w:rsidRDefault="00DB16A4" w:rsidP="00DB16A4">
      <w:pPr>
        <w:pStyle w:val="NormalWeb"/>
        <w:spacing w:before="0" w:beforeAutospacing="0" w:after="0" w:afterAutospacing="0"/>
        <w:rPr>
          <w:rFonts w:ascii="Aptos Display" w:hAnsi="Aptos Display"/>
          <w:sz w:val="26"/>
          <w:szCs w:val="26"/>
        </w:rPr>
      </w:pPr>
      <w:r w:rsidRPr="00237F8C">
        <w:rPr>
          <w:rFonts w:ascii="Aptos Display" w:hAnsi="Aptos Display"/>
          <w:sz w:val="26"/>
          <w:szCs w:val="26"/>
        </w:rPr>
        <w:t xml:space="preserve">Another key requirement under TUPE is the duty to inform and, where appropriate, consult with affected employees or their representatives before the transfer takes place. Employers must provide information regarding the reasons for the transfer, the likely implications for employees, and any measures proposed following the transfer </w:t>
      </w:r>
      <w:r w:rsidR="00614B0F" w:rsidRPr="00237F8C">
        <w:rPr>
          <w:rFonts w:ascii="Aptos Display" w:hAnsi="Aptos Display" w:cs="Times New Roman"/>
          <w:color w:val="EE0000"/>
          <w:sz w:val="26"/>
          <w:szCs w:val="26"/>
        </w:rPr>
        <w:t xml:space="preserve">(ACAS, 2024). </w:t>
      </w:r>
      <w:r w:rsidRPr="00237F8C">
        <w:rPr>
          <w:rFonts w:ascii="Aptos Display" w:hAnsi="Aptos Display"/>
          <w:sz w:val="26"/>
          <w:szCs w:val="26"/>
        </w:rPr>
        <w:t>Failure to meet consultation obligations can result in claims and financial penalties at an employment tribunal.</w:t>
      </w:r>
      <w:r w:rsidR="00614B0F" w:rsidRPr="00614B0F">
        <w:rPr>
          <w:rFonts w:ascii="Aptos Display" w:hAnsi="Aptos Display" w:cs="Times New Roman"/>
          <w:color w:val="EE0000"/>
          <w:sz w:val="26"/>
          <w:szCs w:val="26"/>
        </w:rPr>
        <w:t xml:space="preserve"> </w:t>
      </w:r>
      <w:r w:rsidR="00614B0F" w:rsidRPr="00237F8C">
        <w:rPr>
          <w:rFonts w:ascii="Aptos Display" w:hAnsi="Aptos Display" w:cs="Times New Roman"/>
          <w:color w:val="EE0000"/>
          <w:sz w:val="26"/>
          <w:szCs w:val="26"/>
        </w:rPr>
        <w:t>(CIPD, 2024).</w:t>
      </w:r>
    </w:p>
    <w:p w14:paraId="35412F40" w14:textId="77777777" w:rsidR="002427C9" w:rsidRPr="00237F8C" w:rsidRDefault="002427C9" w:rsidP="00DB16A4">
      <w:pPr>
        <w:pStyle w:val="NormalWeb"/>
        <w:spacing w:before="0" w:beforeAutospacing="0" w:after="0" w:afterAutospacing="0"/>
        <w:rPr>
          <w:rFonts w:ascii="Aptos Display" w:hAnsi="Aptos Display"/>
          <w:sz w:val="26"/>
          <w:szCs w:val="26"/>
        </w:rPr>
      </w:pPr>
    </w:p>
    <w:p w14:paraId="07E53084" w14:textId="1FE35D19" w:rsidR="00DB16A4" w:rsidRPr="00614B0F" w:rsidRDefault="00DB16A4" w:rsidP="00614B0F">
      <w:pPr>
        <w:pStyle w:val="NormalWeb"/>
        <w:spacing w:before="0" w:beforeAutospacing="0" w:after="180" w:afterAutospacing="0"/>
        <w:rPr>
          <w:rFonts w:ascii="Aptos Display" w:hAnsi="Aptos Display"/>
          <w:color w:val="EE0000"/>
          <w:sz w:val="26"/>
          <w:szCs w:val="26"/>
        </w:rPr>
      </w:pPr>
      <w:r w:rsidRPr="00237F8C">
        <w:rPr>
          <w:rFonts w:ascii="Aptos Display" w:hAnsi="Aptos Display"/>
          <w:sz w:val="26"/>
          <w:szCs w:val="26"/>
        </w:rPr>
        <w:lastRenderedPageBreak/>
        <w:t xml:space="preserve">It is also important to note that TUPE limits the ability of employers to change employees’ terms and conditions where the reason for the change is the transfer itself. Even where employees agree to changes, these may still be unenforceable if they are </w:t>
      </w:r>
      <w:r w:rsidR="00614B0F" w:rsidRPr="00237F8C">
        <w:rPr>
          <w:rFonts w:ascii="Aptos Display" w:hAnsi="Aptos Display" w:cs="Times New Roman"/>
          <w:color w:val="EE0000"/>
          <w:sz w:val="26"/>
          <w:szCs w:val="26"/>
        </w:rPr>
        <w:t xml:space="preserve">transfer-related rather than justified by an ETO reason </w:t>
      </w:r>
      <w:r w:rsidR="00614B0F" w:rsidRPr="00614B0F">
        <w:rPr>
          <w:rFonts w:ascii="Aptos Display" w:hAnsi="Aptos Display" w:cs="Times New Roman"/>
          <w:color w:val="EE0000"/>
          <w:sz w:val="26"/>
          <w:szCs w:val="26"/>
        </w:rPr>
        <w:t>(</w:t>
      </w:r>
      <w:hyperlink r:id="rId19" w:history="1">
        <w:r w:rsidR="00614B0F" w:rsidRPr="00614B0F">
          <w:rPr>
            <w:rStyle w:val="Hyperlink"/>
            <w:rFonts w:ascii="Aptos Display" w:hAnsi="Aptos Display" w:cs="Times New Roman"/>
            <w:color w:val="EE0000"/>
            <w:sz w:val="26"/>
            <w:szCs w:val="26"/>
            <w:u w:val="none"/>
          </w:rPr>
          <w:t>Gov.uk</w:t>
        </w:r>
      </w:hyperlink>
      <w:r w:rsidR="00614B0F" w:rsidRPr="00237F8C">
        <w:rPr>
          <w:rFonts w:ascii="Aptos Display" w:hAnsi="Aptos Display" w:cs="Times New Roman"/>
          <w:color w:val="EE0000"/>
          <w:sz w:val="26"/>
          <w:szCs w:val="26"/>
        </w:rPr>
        <w:t>, 2006).</w:t>
      </w:r>
      <w:r w:rsidR="00614B0F">
        <w:rPr>
          <w:rFonts w:ascii="Aptos Display" w:hAnsi="Aptos Display"/>
          <w:color w:val="EE0000"/>
          <w:sz w:val="26"/>
          <w:szCs w:val="26"/>
        </w:rPr>
        <w:t xml:space="preserve"> </w:t>
      </w:r>
      <w:r w:rsidRPr="00614B0F">
        <w:rPr>
          <w:rFonts w:ascii="Aptos Display" w:hAnsi="Aptos Display"/>
          <w:strike/>
          <w:sz w:val="26"/>
          <w:szCs w:val="26"/>
        </w:rPr>
        <w:t>directly linked to the transfer rather than a genuine business reason unrelated to TUPE.</w:t>
      </w:r>
    </w:p>
    <w:p w14:paraId="21E4F4E2" w14:textId="0E5EDD87" w:rsidR="00DB16A4" w:rsidRPr="00614B0F" w:rsidRDefault="00DB16A4" w:rsidP="00614B0F">
      <w:pPr>
        <w:pStyle w:val="NormalWeb"/>
        <w:spacing w:before="0" w:beforeAutospacing="0" w:after="0" w:afterAutospacing="0"/>
        <w:rPr>
          <w:rFonts w:ascii="Aptos Display" w:hAnsi="Aptos Display"/>
          <w:sz w:val="26"/>
          <w:szCs w:val="26"/>
        </w:rPr>
      </w:pPr>
      <w:r w:rsidRPr="00237F8C">
        <w:rPr>
          <w:rFonts w:ascii="Aptos Display" w:hAnsi="Aptos Display"/>
          <w:sz w:val="26"/>
          <w:szCs w:val="26"/>
        </w:rPr>
        <w:t>Overall, TUPE regulations aim to provide stability, fairness and protection for employees during organisational restructures and service transfers. Early workforce planning, legal advice and meaningful consultation would therefore be essential if merger discussions progress further.</w:t>
      </w:r>
    </w:p>
    <w:p w14:paraId="47336A6F" w14:textId="77777777" w:rsidR="00DB16A4" w:rsidRPr="00237F8C" w:rsidRDefault="00DB16A4" w:rsidP="00DB16A4">
      <w:pPr>
        <w:pStyle w:val="NormalWeb"/>
        <w:spacing w:before="0" w:beforeAutospacing="0" w:after="180" w:afterAutospacing="0"/>
        <w:rPr>
          <w:rFonts w:ascii="Aptos Display" w:hAnsi="Aptos Display" w:cs="Times New Roman"/>
          <w:sz w:val="26"/>
          <w:szCs w:val="26"/>
        </w:rPr>
      </w:pPr>
    </w:p>
    <w:p w14:paraId="43F02A3E" w14:textId="77777777" w:rsidR="0066760F" w:rsidRPr="00237F8C" w:rsidRDefault="0066760F" w:rsidP="00DB16A4">
      <w:pPr>
        <w:rPr>
          <w:rFonts w:ascii="Aptos Display" w:eastAsia="Times New Roman" w:hAnsi="Aptos Display"/>
          <w:b/>
          <w:bCs/>
          <w:sz w:val="26"/>
          <w:szCs w:val="26"/>
        </w:rPr>
      </w:pPr>
      <w:r w:rsidRPr="00237F8C">
        <w:rPr>
          <w:rFonts w:ascii="Aptos Display" w:eastAsia="Times New Roman" w:hAnsi="Aptos Display"/>
          <w:b/>
          <w:bCs/>
          <w:sz w:val="26"/>
          <w:szCs w:val="26"/>
        </w:rPr>
        <w:t>AC 4.1</w:t>
      </w:r>
    </w:p>
    <w:p w14:paraId="0171B3E3" w14:textId="07DE8B24" w:rsidR="00EC0CB8" w:rsidRDefault="0066760F" w:rsidP="0066760F">
      <w:pPr>
        <w:pStyle w:val="NormalWeb"/>
        <w:spacing w:before="0" w:beforeAutospacing="0" w:after="180" w:afterAutospacing="0"/>
        <w:rPr>
          <w:rFonts w:ascii="Aptos Display" w:hAnsi="Aptos Display" w:cs="Times New Roman"/>
          <w:sz w:val="26"/>
          <w:szCs w:val="26"/>
        </w:rPr>
      </w:pPr>
      <w:r w:rsidRPr="00237F8C">
        <w:rPr>
          <w:rFonts w:ascii="Aptos Display" w:hAnsi="Aptos Display" w:cs="Times New Roman"/>
          <w:sz w:val="26"/>
          <w:szCs w:val="26"/>
        </w:rPr>
        <w:t>Further to your query regarding holiday pay arrangements for bank staff within your department, it is important to ensure that holiday entitlement and holiday pay are calculated fairly and in accordance with current employment legislation. Although bank staff may work on a casual basis, they are still entitled to statutory paid annual leave under the Working Time Regulations 1998.</w:t>
      </w:r>
      <w:r w:rsidR="00EC0CB8" w:rsidRPr="00EC0CB8">
        <w:rPr>
          <w:rFonts w:ascii="Aptos Display" w:hAnsi="Aptos Display" w:cs="Times New Roman"/>
          <w:color w:val="EE0000"/>
          <w:sz w:val="26"/>
          <w:szCs w:val="26"/>
        </w:rPr>
        <w:t xml:space="preserve"> </w:t>
      </w:r>
      <w:r w:rsidR="00EC0CB8" w:rsidRPr="00237F8C">
        <w:rPr>
          <w:rFonts w:ascii="Aptos Display" w:hAnsi="Aptos Display" w:cs="Times New Roman"/>
          <w:color w:val="EE0000"/>
          <w:sz w:val="26"/>
          <w:szCs w:val="26"/>
        </w:rPr>
        <w:t>(</w:t>
      </w:r>
      <w:hyperlink r:id="rId20" w:history="1">
        <w:r w:rsidR="00EC0CB8" w:rsidRPr="00EC0CB8">
          <w:rPr>
            <w:rStyle w:val="Hyperlink"/>
            <w:rFonts w:ascii="Aptos Display" w:hAnsi="Aptos Display" w:cs="Times New Roman"/>
            <w:color w:val="EE0000"/>
            <w:sz w:val="26"/>
            <w:szCs w:val="26"/>
            <w:u w:val="none"/>
          </w:rPr>
          <w:t>Gov.uk</w:t>
        </w:r>
      </w:hyperlink>
      <w:r w:rsidR="00EC0CB8" w:rsidRPr="00EC0CB8">
        <w:rPr>
          <w:rFonts w:ascii="Aptos Display" w:hAnsi="Aptos Display" w:cs="Times New Roman"/>
          <w:color w:val="EE0000"/>
          <w:sz w:val="26"/>
          <w:szCs w:val="26"/>
        </w:rPr>
        <w:t>, 1998).</w:t>
      </w:r>
    </w:p>
    <w:p w14:paraId="49F464B8" w14:textId="77777777" w:rsidR="00EC0CB8" w:rsidRDefault="00EC0CB8" w:rsidP="0066760F">
      <w:pPr>
        <w:pStyle w:val="NormalWeb"/>
        <w:spacing w:before="0" w:beforeAutospacing="0" w:after="180" w:afterAutospacing="0"/>
        <w:rPr>
          <w:rFonts w:ascii="Aptos Display" w:hAnsi="Aptos Display" w:cs="Times New Roman"/>
          <w:sz w:val="26"/>
          <w:szCs w:val="26"/>
        </w:rPr>
      </w:pPr>
    </w:p>
    <w:p w14:paraId="708F93B6" w14:textId="1EA0A593" w:rsidR="00EC0CB8" w:rsidRPr="00EC0CB8" w:rsidRDefault="0066760F" w:rsidP="00EC0CB8">
      <w:pPr>
        <w:pStyle w:val="NormalWeb"/>
        <w:spacing w:before="0" w:beforeAutospacing="0" w:after="180" w:afterAutospacing="0"/>
        <w:rPr>
          <w:rFonts w:ascii="Aptos Display" w:hAnsi="Aptos Display" w:cs="Times New Roman"/>
          <w:sz w:val="26"/>
          <w:szCs w:val="26"/>
        </w:rPr>
      </w:pPr>
      <w:r w:rsidRPr="00237F8C">
        <w:rPr>
          <w:rFonts w:ascii="Aptos Display" w:hAnsi="Aptos Display"/>
          <w:sz w:val="26"/>
          <w:szCs w:val="26"/>
        </w:rPr>
        <w:br/>
      </w:r>
      <w:r w:rsidRPr="00237F8C">
        <w:rPr>
          <w:rFonts w:ascii="Aptos Display" w:hAnsi="Aptos Display" w:cs="Times New Roman"/>
          <w:sz w:val="26"/>
          <w:szCs w:val="26"/>
        </w:rPr>
        <w:t xml:space="preserve">In the UK, workers are generally entitled to 5.6 weeks of paid holiday per leave year, including bank holidays where </w:t>
      </w:r>
      <w:r w:rsidR="008E0729" w:rsidRPr="00237F8C">
        <w:rPr>
          <w:rFonts w:ascii="Aptos Display" w:hAnsi="Aptos Display" w:cs="Times New Roman"/>
          <w:sz w:val="26"/>
          <w:szCs w:val="26"/>
        </w:rPr>
        <w:t>applicable</w:t>
      </w:r>
      <w:r w:rsidR="008E0729" w:rsidRPr="00237F8C">
        <w:rPr>
          <w:rFonts w:ascii="Aptos Display" w:hAnsi="Aptos Display" w:cs="Times New Roman"/>
          <w:color w:val="EE0000"/>
          <w:sz w:val="26"/>
          <w:szCs w:val="26"/>
        </w:rPr>
        <w:t xml:space="preserve"> (</w:t>
      </w:r>
      <w:r w:rsidR="00EC0CB8" w:rsidRPr="00237F8C">
        <w:rPr>
          <w:rFonts w:ascii="Aptos Display" w:hAnsi="Aptos Display" w:cs="Times New Roman"/>
          <w:color w:val="EE0000"/>
          <w:sz w:val="26"/>
          <w:szCs w:val="26"/>
        </w:rPr>
        <w:t>ACAS, 2024)</w:t>
      </w:r>
      <w:r w:rsidRPr="00237F8C">
        <w:rPr>
          <w:rFonts w:ascii="Aptos Display" w:hAnsi="Aptos Display" w:cs="Times New Roman"/>
          <w:sz w:val="26"/>
          <w:szCs w:val="26"/>
        </w:rPr>
        <w:t>. For casual or irregular-hours workers such as bank staff, holiday entitlement is typically accrued based on the hours they work. Employers must ensure that workers receive holiday pay that reflects their normal remuneration and not simply basic contractual pay</w:t>
      </w:r>
      <w:r w:rsidR="00EC0CB8">
        <w:rPr>
          <w:rFonts w:ascii="Aptos Display" w:hAnsi="Aptos Display" w:cs="Times New Roman"/>
          <w:sz w:val="26"/>
          <w:szCs w:val="26"/>
        </w:rPr>
        <w:t xml:space="preserve">, </w:t>
      </w:r>
      <w:r w:rsidR="00EC0CB8" w:rsidRPr="00237F8C">
        <w:rPr>
          <w:rFonts w:ascii="Aptos Display" w:hAnsi="Aptos Display" w:cs="Times New Roman"/>
          <w:color w:val="EE0000"/>
          <w:sz w:val="26"/>
          <w:szCs w:val="26"/>
        </w:rPr>
        <w:t xml:space="preserve">in line with European case law </w:t>
      </w:r>
      <w:r w:rsidR="00EC0CB8" w:rsidRPr="008E0729">
        <w:rPr>
          <w:rFonts w:ascii="Aptos Display" w:hAnsi="Aptos Display" w:cs="Times New Roman"/>
          <w:color w:val="EE0000"/>
          <w:sz w:val="26"/>
          <w:szCs w:val="26"/>
        </w:rPr>
        <w:t>principles such as Williams v British Airways plc</w:t>
      </w:r>
      <w:r w:rsidR="00EC0CB8" w:rsidRPr="00237F8C">
        <w:rPr>
          <w:rFonts w:ascii="Aptos Display" w:hAnsi="Aptos Display" w:cs="Times New Roman"/>
          <w:color w:val="EE0000"/>
          <w:sz w:val="26"/>
          <w:szCs w:val="26"/>
        </w:rPr>
        <w:t xml:space="preserve"> (C-155/10), which established that holiday pay must not place workers at a financial disadvantage when taking leave (CJEU, 2011).</w:t>
      </w:r>
    </w:p>
    <w:p w14:paraId="6BC27944" w14:textId="77777777" w:rsidR="00EC0CB8" w:rsidRDefault="0066760F" w:rsidP="0066760F">
      <w:pPr>
        <w:pStyle w:val="NormalWeb"/>
        <w:spacing w:before="0" w:beforeAutospacing="0" w:after="180" w:afterAutospacing="0"/>
        <w:rPr>
          <w:rFonts w:ascii="Aptos Display" w:hAnsi="Aptos Display" w:cs="Times New Roman"/>
          <w:sz w:val="26"/>
          <w:szCs w:val="26"/>
        </w:rPr>
      </w:pPr>
      <w:r w:rsidRPr="00237F8C">
        <w:rPr>
          <w:rFonts w:ascii="Aptos Display" w:hAnsi="Aptos Display"/>
          <w:sz w:val="26"/>
          <w:szCs w:val="26"/>
        </w:rPr>
        <w:br/>
      </w:r>
      <w:r w:rsidRPr="00237F8C">
        <w:rPr>
          <w:rFonts w:ascii="Aptos Display" w:hAnsi="Aptos Display" w:cs="Times New Roman"/>
          <w:sz w:val="26"/>
          <w:szCs w:val="26"/>
        </w:rPr>
        <w:t xml:space="preserve">Recent legal developments and case law have reinforced the principle that holiday pay should fairly represent what a worker would normally earn if they had been working. This means that regular overtime, enhancements, shift allowances and </w:t>
      </w:r>
      <w:r w:rsidR="00EC0CB8" w:rsidRPr="00237F8C">
        <w:rPr>
          <w:rFonts w:ascii="Aptos Display" w:hAnsi="Aptos Display" w:cs="Times New Roman"/>
          <w:color w:val="EE0000"/>
          <w:sz w:val="26"/>
          <w:szCs w:val="26"/>
        </w:rPr>
        <w:t xml:space="preserve">other payments that are intrinsically linked to the performance of duties, as confirmed in </w:t>
      </w:r>
      <w:r w:rsidR="00EC0CB8" w:rsidRPr="00237F8C">
        <w:rPr>
          <w:rFonts w:ascii="Aptos Display" w:hAnsi="Aptos Display" w:cs="Times New Roman"/>
          <w:i/>
          <w:iCs/>
          <w:color w:val="EE0000"/>
          <w:sz w:val="26"/>
          <w:szCs w:val="26"/>
        </w:rPr>
        <w:t>Bear Scotland Ltd v Fulton</w:t>
      </w:r>
      <w:r w:rsidR="00EC0CB8" w:rsidRPr="00237F8C">
        <w:rPr>
          <w:rFonts w:ascii="Aptos Display" w:hAnsi="Aptos Display" w:cs="Times New Roman"/>
          <w:color w:val="EE0000"/>
          <w:sz w:val="26"/>
          <w:szCs w:val="26"/>
        </w:rPr>
        <w:t xml:space="preserve"> [2015] ICR 221 (CIPD, 2024). </w:t>
      </w:r>
      <w:r w:rsidRPr="00EC0CB8">
        <w:rPr>
          <w:rFonts w:ascii="Aptos Display" w:hAnsi="Aptos Display" w:cs="Times New Roman"/>
          <w:strike/>
          <w:sz w:val="26"/>
          <w:szCs w:val="26"/>
        </w:rPr>
        <w:t xml:space="preserve">commission payments may need to be included where they form part of normal pay. </w:t>
      </w:r>
      <w:r w:rsidRPr="00237F8C">
        <w:rPr>
          <w:rFonts w:ascii="Aptos Display" w:hAnsi="Aptos Display" w:cs="Times New Roman"/>
          <w:sz w:val="26"/>
          <w:szCs w:val="26"/>
        </w:rPr>
        <w:t>For bank staff covering shifts regularly, holiday pay calculations should therefore take account of average earnings rather than using a fixed or reduced rate.</w:t>
      </w:r>
    </w:p>
    <w:p w14:paraId="7D2506A4" w14:textId="77777777" w:rsidR="00EC0CB8" w:rsidRDefault="0066760F" w:rsidP="0066760F">
      <w:pPr>
        <w:pStyle w:val="NormalWeb"/>
        <w:spacing w:before="0" w:beforeAutospacing="0" w:after="180" w:afterAutospacing="0"/>
        <w:rPr>
          <w:rFonts w:ascii="Aptos Display" w:hAnsi="Aptos Display" w:cs="Times New Roman"/>
          <w:sz w:val="26"/>
          <w:szCs w:val="26"/>
        </w:rPr>
      </w:pPr>
      <w:r w:rsidRPr="00237F8C">
        <w:rPr>
          <w:rFonts w:ascii="Aptos Display" w:hAnsi="Aptos Display"/>
          <w:sz w:val="26"/>
          <w:szCs w:val="26"/>
        </w:rPr>
        <w:br/>
      </w:r>
      <w:r w:rsidRPr="00237F8C">
        <w:rPr>
          <w:rFonts w:ascii="Aptos Display" w:hAnsi="Aptos Display" w:cs="Times New Roman"/>
          <w:sz w:val="26"/>
          <w:szCs w:val="26"/>
        </w:rPr>
        <w:t xml:space="preserve">For irregular-hours and part-year workers, current guidance generally requires employers to calculate holiday pay using an average of earnings over the previous 52 paid weeks in which the worker received pay. Weeks where no pay was received are </w:t>
      </w:r>
      <w:r w:rsidRPr="00237F8C">
        <w:rPr>
          <w:rFonts w:ascii="Aptos Display" w:hAnsi="Aptos Display" w:cs="Times New Roman"/>
          <w:sz w:val="26"/>
          <w:szCs w:val="26"/>
        </w:rPr>
        <w:lastRenderedPageBreak/>
        <w:t>excluded from the calculation and earlier weeks are used instead, up to a maximum reference period where necessary</w:t>
      </w:r>
      <w:r w:rsidRPr="00EC0CB8">
        <w:rPr>
          <w:rFonts w:ascii="Aptos Display" w:hAnsi="Aptos Display" w:cs="Times New Roman"/>
          <w:sz w:val="26"/>
          <w:szCs w:val="26"/>
        </w:rPr>
        <w:t>.</w:t>
      </w:r>
      <w:r w:rsidR="00EC0CB8" w:rsidRPr="00EC0CB8">
        <w:rPr>
          <w:rFonts w:ascii="Aptos Display" w:hAnsi="Aptos Display" w:cs="Times New Roman"/>
          <w:color w:val="EE0000"/>
          <w:sz w:val="26"/>
          <w:szCs w:val="26"/>
        </w:rPr>
        <w:t xml:space="preserve"> (</w:t>
      </w:r>
      <w:hyperlink r:id="rId21" w:history="1">
        <w:r w:rsidR="00EC0CB8" w:rsidRPr="008E0729">
          <w:rPr>
            <w:rStyle w:val="Hyperlink"/>
            <w:rFonts w:ascii="Aptos Display" w:hAnsi="Aptos Display" w:cs="Times New Roman"/>
            <w:color w:val="EE0000"/>
            <w:sz w:val="26"/>
            <w:szCs w:val="26"/>
            <w:u w:val="none"/>
          </w:rPr>
          <w:t>Gov.uk</w:t>
        </w:r>
      </w:hyperlink>
      <w:r w:rsidR="00EC0CB8" w:rsidRPr="008E0729">
        <w:rPr>
          <w:rFonts w:ascii="Aptos Display" w:hAnsi="Aptos Display" w:cs="Times New Roman"/>
          <w:color w:val="EE0000"/>
          <w:sz w:val="26"/>
          <w:szCs w:val="26"/>
        </w:rPr>
        <w:t>,</w:t>
      </w:r>
      <w:r w:rsidR="00EC0CB8" w:rsidRPr="00237F8C">
        <w:rPr>
          <w:rFonts w:ascii="Aptos Display" w:hAnsi="Aptos Display" w:cs="Times New Roman"/>
          <w:color w:val="EE0000"/>
          <w:sz w:val="26"/>
          <w:szCs w:val="26"/>
        </w:rPr>
        <w:t xml:space="preserve"> 2024). </w:t>
      </w:r>
      <w:r w:rsidRPr="00237F8C">
        <w:rPr>
          <w:rFonts w:ascii="Aptos Display" w:hAnsi="Aptos Display" w:cs="Times New Roman"/>
          <w:sz w:val="26"/>
          <w:szCs w:val="26"/>
        </w:rPr>
        <w:t xml:space="preserve"> </w:t>
      </w:r>
      <w:r w:rsidRPr="00EC0CB8">
        <w:rPr>
          <w:rFonts w:ascii="Aptos Display" w:hAnsi="Aptos Display" w:cs="Times New Roman"/>
          <w:strike/>
          <w:sz w:val="26"/>
          <w:szCs w:val="26"/>
        </w:rPr>
        <w:t>This approach is intended to ensure that holiday pay reflects typical earnings and prevents workers from being financially disadvantaged when taking annual leave.</w:t>
      </w:r>
      <w:r w:rsidR="00EC0CB8">
        <w:rPr>
          <w:rFonts w:ascii="Aptos Display" w:hAnsi="Aptos Display" w:cs="Times New Roman"/>
          <w:sz w:val="26"/>
          <w:szCs w:val="26"/>
        </w:rPr>
        <w:t xml:space="preserve"> </w:t>
      </w:r>
      <w:r w:rsidR="00EC0CB8" w:rsidRPr="00237F8C">
        <w:rPr>
          <w:rFonts w:ascii="Aptos Display" w:hAnsi="Aptos Display" w:cs="Times New Roman"/>
          <w:color w:val="EE0000"/>
          <w:sz w:val="26"/>
          <w:szCs w:val="26"/>
        </w:rPr>
        <w:t>This approach ensures compliance with the Employment Rights Act 1996 and prevents underpayment during annual leave periods.</w:t>
      </w:r>
    </w:p>
    <w:p w14:paraId="537F9398" w14:textId="77777777" w:rsidR="00EC0CB8" w:rsidRDefault="0066760F" w:rsidP="0066760F">
      <w:pPr>
        <w:pStyle w:val="NormalWeb"/>
        <w:spacing w:before="0" w:beforeAutospacing="0" w:after="180" w:afterAutospacing="0"/>
        <w:rPr>
          <w:rFonts w:ascii="Aptos Display" w:hAnsi="Aptos Display"/>
          <w:color w:val="EE0000"/>
          <w:sz w:val="26"/>
          <w:szCs w:val="26"/>
        </w:rPr>
      </w:pPr>
      <w:r w:rsidRPr="00237F8C">
        <w:rPr>
          <w:rFonts w:ascii="Aptos Display" w:hAnsi="Aptos Display"/>
          <w:sz w:val="26"/>
          <w:szCs w:val="26"/>
        </w:rPr>
        <w:br/>
      </w:r>
      <w:r w:rsidRPr="00237F8C">
        <w:rPr>
          <w:rFonts w:ascii="Aptos Display" w:hAnsi="Aptos Display" w:cs="Times New Roman"/>
          <w:sz w:val="26"/>
          <w:szCs w:val="26"/>
        </w:rPr>
        <w:t xml:space="preserve">It is also important that holiday accrual and payment processes are applied consistently across all bank workers to minimise the risk of unlawful deductions from wages </w:t>
      </w:r>
      <w:r w:rsidR="00EC0CB8" w:rsidRPr="00237F8C">
        <w:rPr>
          <w:rFonts w:ascii="Aptos Display" w:hAnsi="Aptos Display" w:cs="Times New Roman"/>
          <w:color w:val="EE0000"/>
          <w:sz w:val="26"/>
          <w:szCs w:val="26"/>
        </w:rPr>
        <w:t xml:space="preserve">under the Employment Rights Act 1996 (s.13) and to ensure compliance with Working Time Regulations obligations. </w:t>
      </w:r>
      <w:r w:rsidRPr="00EC0CB8">
        <w:rPr>
          <w:rFonts w:ascii="Aptos Display" w:hAnsi="Aptos Display" w:cs="Times New Roman"/>
          <w:strike/>
          <w:sz w:val="26"/>
          <w:szCs w:val="26"/>
        </w:rPr>
        <w:t>or breach of working time regulations.</w:t>
      </w:r>
      <w:r w:rsidRPr="00237F8C">
        <w:rPr>
          <w:rFonts w:ascii="Aptos Display" w:hAnsi="Aptos Display" w:cs="Times New Roman"/>
          <w:sz w:val="26"/>
          <w:szCs w:val="26"/>
        </w:rPr>
        <w:t xml:space="preserve"> Accurate record keeping of hours worked, payments made and leave taken is therefore essential</w:t>
      </w:r>
      <w:r w:rsidR="00EC0CB8">
        <w:rPr>
          <w:rFonts w:ascii="Aptos Display" w:hAnsi="Aptos Display" w:cs="Times New Roman"/>
          <w:sz w:val="26"/>
          <w:szCs w:val="26"/>
        </w:rPr>
        <w:t xml:space="preserve"> </w:t>
      </w:r>
      <w:r w:rsidR="00EC0CB8" w:rsidRPr="00237F8C">
        <w:rPr>
          <w:rFonts w:ascii="Aptos Display" w:hAnsi="Aptos Display" w:cs="Times New Roman"/>
          <w:color w:val="EE0000"/>
          <w:sz w:val="26"/>
          <w:szCs w:val="26"/>
        </w:rPr>
        <w:t>in the event of audit or dispute (ACAS, 2024).</w:t>
      </w:r>
    </w:p>
    <w:p w14:paraId="22A02D5B" w14:textId="09557512" w:rsidR="00EC0CB8" w:rsidRDefault="0066760F" w:rsidP="0066760F">
      <w:pPr>
        <w:pStyle w:val="NormalWeb"/>
        <w:spacing w:before="0" w:beforeAutospacing="0" w:after="180" w:afterAutospacing="0"/>
        <w:rPr>
          <w:rFonts w:ascii="Aptos Display" w:hAnsi="Aptos Display"/>
          <w:color w:val="EE0000"/>
          <w:sz w:val="26"/>
          <w:szCs w:val="26"/>
        </w:rPr>
      </w:pPr>
      <w:r w:rsidRPr="00237F8C">
        <w:rPr>
          <w:rFonts w:ascii="Aptos Display" w:hAnsi="Aptos Display"/>
          <w:sz w:val="26"/>
          <w:szCs w:val="26"/>
        </w:rPr>
        <w:br/>
      </w:r>
      <w:r w:rsidRPr="00237F8C">
        <w:rPr>
          <w:rFonts w:ascii="Aptos Display" w:hAnsi="Aptos Display" w:cs="Times New Roman"/>
          <w:sz w:val="26"/>
          <w:szCs w:val="26"/>
        </w:rPr>
        <w:t>Overall, although bank staff work flexibly and on a casual basis, they remain legally entitled to paid annual leave that reflects their normal earnings. Ensuring calculations are fair, transparent and compliant with legislation will help reduce legal risk and support positive employee relations within the department.</w:t>
      </w:r>
    </w:p>
    <w:p w14:paraId="61C33D4F" w14:textId="77777777" w:rsidR="00EC0CB8" w:rsidRPr="00EC0CB8" w:rsidRDefault="00EC0CB8" w:rsidP="0066760F">
      <w:pPr>
        <w:pStyle w:val="NormalWeb"/>
        <w:spacing w:before="0" w:beforeAutospacing="0" w:after="180" w:afterAutospacing="0"/>
        <w:rPr>
          <w:rFonts w:ascii="Aptos Display" w:hAnsi="Aptos Display"/>
          <w:color w:val="EE0000"/>
          <w:sz w:val="26"/>
          <w:szCs w:val="26"/>
        </w:rPr>
      </w:pPr>
    </w:p>
    <w:p w14:paraId="2079702D" w14:textId="62334261" w:rsidR="0066760F" w:rsidRPr="00237F8C" w:rsidRDefault="0066760F" w:rsidP="0066760F">
      <w:pPr>
        <w:pStyle w:val="NormalWeb"/>
        <w:spacing w:before="0" w:beforeAutospacing="0" w:after="180" w:afterAutospacing="0"/>
        <w:rPr>
          <w:rFonts w:ascii="Aptos Display" w:hAnsi="Aptos Display" w:cs="Times New Roman"/>
          <w:b/>
          <w:bCs/>
          <w:sz w:val="26"/>
          <w:szCs w:val="26"/>
        </w:rPr>
      </w:pPr>
      <w:r w:rsidRPr="00237F8C">
        <w:rPr>
          <w:rFonts w:ascii="Aptos Display" w:hAnsi="Aptos Display" w:cs="Times New Roman"/>
          <w:b/>
          <w:bCs/>
          <w:sz w:val="26"/>
          <w:szCs w:val="26"/>
        </w:rPr>
        <w:t>AC 4.2</w:t>
      </w:r>
    </w:p>
    <w:p w14:paraId="65052611" w14:textId="6E935B89" w:rsidR="00EC0CB8" w:rsidRDefault="0066760F" w:rsidP="0066760F">
      <w:pPr>
        <w:pStyle w:val="NormalWeb"/>
        <w:spacing w:before="0" w:beforeAutospacing="0" w:after="180" w:afterAutospacing="0"/>
        <w:rPr>
          <w:rFonts w:ascii="Aptos Display" w:hAnsi="Aptos Display" w:cs="Times New Roman"/>
          <w:sz w:val="26"/>
          <w:szCs w:val="26"/>
        </w:rPr>
      </w:pPr>
      <w:r w:rsidRPr="00237F8C">
        <w:rPr>
          <w:rFonts w:ascii="Aptos Display" w:hAnsi="Aptos Display" w:cs="Times New Roman"/>
          <w:sz w:val="26"/>
          <w:szCs w:val="26"/>
        </w:rPr>
        <w:t>Thank you for your query regarding maternity leave and shared parental leave (SPL). Both options provide important rights and protections for parents, but they differ significantly in terms of flexibility, eligibility and how leave can be shared between parents.</w:t>
      </w:r>
      <w:r w:rsidR="00ED4AEC" w:rsidRPr="00ED4AEC">
        <w:rPr>
          <w:rFonts w:ascii="Aptos Display" w:hAnsi="Aptos Display" w:cs="Times New Roman"/>
          <w:color w:val="EE0000"/>
          <w:sz w:val="26"/>
          <w:szCs w:val="26"/>
        </w:rPr>
        <w:t xml:space="preserve"> </w:t>
      </w:r>
      <w:r w:rsidR="00ED4AEC" w:rsidRPr="00237F8C">
        <w:rPr>
          <w:rFonts w:ascii="Aptos Display" w:hAnsi="Aptos Display" w:cs="Times New Roman"/>
          <w:color w:val="EE0000"/>
          <w:sz w:val="26"/>
          <w:szCs w:val="26"/>
        </w:rPr>
        <w:t>(ACAS, 2024).</w:t>
      </w:r>
    </w:p>
    <w:p w14:paraId="1014C59C" w14:textId="7415A7B6" w:rsidR="00ED4AEC" w:rsidRDefault="0066760F" w:rsidP="0066760F">
      <w:pPr>
        <w:pStyle w:val="NormalWeb"/>
        <w:spacing w:before="0" w:beforeAutospacing="0" w:after="180" w:afterAutospacing="0"/>
        <w:rPr>
          <w:rFonts w:ascii="Aptos Display" w:hAnsi="Aptos Display"/>
          <w:color w:val="EE0000"/>
          <w:sz w:val="26"/>
          <w:szCs w:val="26"/>
        </w:rPr>
      </w:pPr>
      <w:r w:rsidRPr="00237F8C">
        <w:rPr>
          <w:rFonts w:ascii="Aptos Display" w:hAnsi="Aptos Display"/>
          <w:sz w:val="26"/>
          <w:szCs w:val="26"/>
        </w:rPr>
        <w:br/>
      </w:r>
      <w:r w:rsidRPr="00237F8C">
        <w:rPr>
          <w:rFonts w:ascii="Aptos Display" w:hAnsi="Aptos Display" w:cs="Times New Roman"/>
          <w:sz w:val="26"/>
          <w:szCs w:val="26"/>
        </w:rPr>
        <w:t xml:space="preserve">Maternity leave is a legal entitlement available to employees who are pregnant, regardless of length of </w:t>
      </w:r>
      <w:r w:rsidR="008E0729" w:rsidRPr="00237F8C">
        <w:rPr>
          <w:rFonts w:ascii="Aptos Display" w:hAnsi="Aptos Display" w:cs="Times New Roman"/>
          <w:sz w:val="26"/>
          <w:szCs w:val="26"/>
        </w:rPr>
        <w:t>service</w:t>
      </w:r>
      <w:r w:rsidR="008E0729" w:rsidRPr="00ED4AEC">
        <w:rPr>
          <w:rFonts w:ascii="Aptos Display" w:hAnsi="Aptos Display" w:cs="Times New Roman"/>
          <w:color w:val="EE0000"/>
          <w:sz w:val="26"/>
          <w:szCs w:val="26"/>
        </w:rPr>
        <w:t xml:space="preserve"> (</w:t>
      </w:r>
      <w:hyperlink r:id="rId22" w:history="1">
        <w:r w:rsidR="00ED4AEC" w:rsidRPr="00ED4AEC">
          <w:rPr>
            <w:rStyle w:val="Hyperlink"/>
            <w:rFonts w:ascii="Aptos Display" w:hAnsi="Aptos Display" w:cs="Times New Roman"/>
            <w:color w:val="EE0000"/>
            <w:sz w:val="26"/>
            <w:szCs w:val="26"/>
            <w:u w:val="none"/>
          </w:rPr>
          <w:t>Gov.uk</w:t>
        </w:r>
      </w:hyperlink>
      <w:r w:rsidR="00ED4AEC" w:rsidRPr="00ED4AEC">
        <w:rPr>
          <w:rFonts w:ascii="Aptos Display" w:hAnsi="Aptos Display" w:cs="Times New Roman"/>
          <w:color w:val="EE0000"/>
          <w:sz w:val="26"/>
          <w:szCs w:val="26"/>
        </w:rPr>
        <w:t>,</w:t>
      </w:r>
      <w:r w:rsidR="00ED4AEC" w:rsidRPr="00237F8C">
        <w:rPr>
          <w:rFonts w:ascii="Aptos Display" w:hAnsi="Aptos Display" w:cs="Times New Roman"/>
          <w:color w:val="EE0000"/>
          <w:sz w:val="26"/>
          <w:szCs w:val="26"/>
        </w:rPr>
        <w:t xml:space="preserve"> 2024a).</w:t>
      </w:r>
      <w:r w:rsidRPr="00237F8C">
        <w:rPr>
          <w:rFonts w:ascii="Aptos Display" w:hAnsi="Aptos Display" w:cs="Times New Roman"/>
          <w:sz w:val="26"/>
          <w:szCs w:val="26"/>
        </w:rPr>
        <w:t xml:space="preserve"> Eligible employees can take up to 52 weeks of maternity leave, consisting of 26 weeks of Ordinary Maternity Leave and 26 weeks of Additional Maternity Leave. Statutory Maternity Pay (SMP) is generally available for up to 39 weeks for employees who meet the qualifying criteria relating to earnings and continuous </w:t>
      </w:r>
      <w:r w:rsidR="008E0729" w:rsidRPr="00237F8C">
        <w:rPr>
          <w:rFonts w:ascii="Aptos Display" w:hAnsi="Aptos Display" w:cs="Times New Roman"/>
          <w:sz w:val="26"/>
          <w:szCs w:val="26"/>
        </w:rPr>
        <w:t>service</w:t>
      </w:r>
      <w:r w:rsidR="008E0729" w:rsidRPr="00237F8C">
        <w:rPr>
          <w:rFonts w:ascii="Aptos Display" w:hAnsi="Aptos Display" w:cs="Times New Roman"/>
          <w:color w:val="EE0000"/>
          <w:sz w:val="26"/>
          <w:szCs w:val="26"/>
        </w:rPr>
        <w:t xml:space="preserve"> (</w:t>
      </w:r>
      <w:r w:rsidR="00ED4AEC" w:rsidRPr="00237F8C">
        <w:rPr>
          <w:rFonts w:ascii="Aptos Display" w:hAnsi="Aptos Display" w:cs="Times New Roman"/>
          <w:color w:val="EE0000"/>
          <w:sz w:val="26"/>
          <w:szCs w:val="26"/>
        </w:rPr>
        <w:t>CIPD, 2024).</w:t>
      </w:r>
      <w:r w:rsidRPr="00237F8C">
        <w:rPr>
          <w:rFonts w:ascii="Aptos Display" w:hAnsi="Aptos Display" w:cs="Times New Roman"/>
          <w:sz w:val="26"/>
          <w:szCs w:val="26"/>
        </w:rPr>
        <w:t xml:space="preserve"> Importantly, the first two weeks following childbirth are compulsory maternity leave, during which the employee cannot return to work.</w:t>
      </w:r>
      <w:r w:rsidR="00ED4AEC" w:rsidRPr="00ED4AEC">
        <w:rPr>
          <w:rFonts w:ascii="Aptos Display" w:hAnsi="Aptos Display" w:cs="Times New Roman"/>
          <w:color w:val="EE0000"/>
          <w:sz w:val="26"/>
          <w:szCs w:val="26"/>
        </w:rPr>
        <w:t xml:space="preserve"> (</w:t>
      </w:r>
      <w:hyperlink r:id="rId23" w:history="1">
        <w:r w:rsidR="00ED4AEC" w:rsidRPr="00ED4AEC">
          <w:rPr>
            <w:rStyle w:val="Hyperlink"/>
            <w:rFonts w:ascii="Aptos Display" w:hAnsi="Aptos Display" w:cs="Times New Roman"/>
            <w:color w:val="EE0000"/>
            <w:sz w:val="26"/>
            <w:szCs w:val="26"/>
            <w:u w:val="none"/>
          </w:rPr>
          <w:t>Gov.uk</w:t>
        </w:r>
      </w:hyperlink>
      <w:r w:rsidR="00ED4AEC" w:rsidRPr="00ED4AEC">
        <w:rPr>
          <w:rFonts w:ascii="Aptos Display" w:hAnsi="Aptos Display" w:cs="Times New Roman"/>
          <w:color w:val="EE0000"/>
          <w:sz w:val="26"/>
          <w:szCs w:val="26"/>
        </w:rPr>
        <w:t>, 2024a). Research from ACAS (2024) highlights that maternity leave remains the most used option due to its simplicity and predictable pay structure.</w:t>
      </w:r>
    </w:p>
    <w:p w14:paraId="447EB621" w14:textId="6E88C5AF" w:rsidR="00EC0CB8" w:rsidRPr="00ED4AEC" w:rsidRDefault="0066760F" w:rsidP="0066760F">
      <w:pPr>
        <w:pStyle w:val="NormalWeb"/>
        <w:spacing w:before="0" w:beforeAutospacing="0" w:after="180" w:afterAutospacing="0"/>
        <w:rPr>
          <w:rFonts w:ascii="Aptos Display" w:hAnsi="Aptos Display"/>
          <w:strike/>
          <w:color w:val="EE0000"/>
          <w:sz w:val="26"/>
          <w:szCs w:val="26"/>
        </w:rPr>
      </w:pPr>
      <w:r w:rsidRPr="00237F8C">
        <w:rPr>
          <w:rFonts w:ascii="Aptos Display" w:hAnsi="Aptos Display"/>
          <w:sz w:val="26"/>
          <w:szCs w:val="26"/>
        </w:rPr>
        <w:br/>
      </w:r>
      <w:r w:rsidRPr="00ED4AEC">
        <w:rPr>
          <w:rFonts w:ascii="Aptos Display" w:hAnsi="Aptos Display" w:cs="Times New Roman"/>
          <w:strike/>
          <w:sz w:val="26"/>
          <w:szCs w:val="26"/>
        </w:rPr>
        <w:t xml:space="preserve">Shared Parental Leave operates differently as it allows eligible parents to share leave and pay following the birth or adoption of a child. To access SPL, the mother must choose to end maternity leave and maternity pay early, and the remaining entitlement </w:t>
      </w:r>
      <w:r w:rsidRPr="00ED4AEC">
        <w:rPr>
          <w:rFonts w:ascii="Aptos Display" w:hAnsi="Aptos Display" w:cs="Times New Roman"/>
          <w:strike/>
          <w:sz w:val="26"/>
          <w:szCs w:val="26"/>
        </w:rPr>
        <w:lastRenderedPageBreak/>
        <w:t>can then be shared between both parents. Eligible parents may share up to 50 weeks of leave and up to 37 weeks of statutory pay.</w:t>
      </w:r>
    </w:p>
    <w:p w14:paraId="092D96EB" w14:textId="743440D5" w:rsidR="00EC0CB8" w:rsidRPr="00237F8C" w:rsidRDefault="00EC0CB8" w:rsidP="00EC0CB8">
      <w:pPr>
        <w:pStyle w:val="NormalWeb"/>
        <w:spacing w:before="0" w:beforeAutospacing="0" w:after="180" w:afterAutospacing="0"/>
        <w:rPr>
          <w:rFonts w:ascii="Aptos Display" w:hAnsi="Aptos Display"/>
          <w:color w:val="EE0000"/>
          <w:sz w:val="26"/>
          <w:szCs w:val="26"/>
        </w:rPr>
      </w:pPr>
      <w:r w:rsidRPr="00237F8C">
        <w:rPr>
          <w:rFonts w:ascii="Aptos Display" w:hAnsi="Aptos Display" w:cs="Times New Roman"/>
          <w:color w:val="EE0000"/>
          <w:sz w:val="26"/>
          <w:szCs w:val="26"/>
        </w:rPr>
        <w:t>Shared Parental Leave (SPL), by contrast, is designed to increase flexibility and promote shared childcare responsibilities between parents (CIPD, 2024). SPL allows eligible parents to share up to 50 weeks of leave and up to 37 weeks of statutory pay, provided the mother curtails her maternity leave early (</w:t>
      </w:r>
      <w:hyperlink r:id="rId24" w:history="1">
        <w:r w:rsidRPr="00ED4AEC">
          <w:rPr>
            <w:rStyle w:val="Hyperlink"/>
            <w:rFonts w:ascii="Aptos Display" w:hAnsi="Aptos Display" w:cs="Times New Roman"/>
            <w:color w:val="EE0000"/>
            <w:sz w:val="26"/>
            <w:szCs w:val="26"/>
            <w:u w:val="none"/>
          </w:rPr>
          <w:t>Gov.uk</w:t>
        </w:r>
      </w:hyperlink>
      <w:r w:rsidRPr="00237F8C">
        <w:rPr>
          <w:rFonts w:ascii="Aptos Display" w:hAnsi="Aptos Display" w:cs="Times New Roman"/>
          <w:color w:val="EE0000"/>
          <w:sz w:val="26"/>
          <w:szCs w:val="26"/>
        </w:rPr>
        <w:t>, 2024b). This system enables parents to take leave concurrently, separately, or in alternating blocks, depending on personal preference and operational needs (ACAS, 2024). However, CIPD (2024) notes that uptake of SPL remains relatively low due to administrative complexity and financial considerations.</w:t>
      </w:r>
      <w:r w:rsidR="00ED4AEC" w:rsidRPr="00ED4AEC">
        <w:rPr>
          <w:rFonts w:ascii="Aptos Display" w:hAnsi="Aptos Display" w:cs="Times New Roman"/>
          <w:color w:val="EE0000"/>
          <w:sz w:val="26"/>
          <w:szCs w:val="26"/>
        </w:rPr>
        <w:t xml:space="preserve"> </w:t>
      </w:r>
      <w:r w:rsidR="00ED4AEC" w:rsidRPr="00237F8C">
        <w:rPr>
          <w:rFonts w:ascii="Aptos Display" w:hAnsi="Aptos Display" w:cs="Times New Roman"/>
          <w:color w:val="EE0000"/>
          <w:sz w:val="26"/>
          <w:szCs w:val="26"/>
        </w:rPr>
        <w:t>A key difference is therefore flexibility versus certainty. SPL is often considered more adaptable, allowing both parents to remain engaged in childcare while maintaining a stronger link to the workplace (CIPD, 2024).</w:t>
      </w:r>
    </w:p>
    <w:p w14:paraId="4460E368" w14:textId="77777777" w:rsidR="00ED4AEC" w:rsidRDefault="0066760F" w:rsidP="0066760F">
      <w:pPr>
        <w:pStyle w:val="NormalWeb"/>
        <w:spacing w:before="0" w:beforeAutospacing="0" w:after="180" w:afterAutospacing="0"/>
        <w:rPr>
          <w:rFonts w:ascii="Aptos Display" w:hAnsi="Aptos Display"/>
          <w:sz w:val="26"/>
          <w:szCs w:val="26"/>
        </w:rPr>
      </w:pPr>
      <w:r w:rsidRPr="00237F8C">
        <w:rPr>
          <w:rFonts w:ascii="Aptos Display" w:hAnsi="Aptos Display"/>
          <w:sz w:val="26"/>
          <w:szCs w:val="26"/>
        </w:rPr>
        <w:br/>
      </w:r>
      <w:r w:rsidRPr="00ED4AEC">
        <w:rPr>
          <w:rFonts w:ascii="Aptos Display" w:hAnsi="Aptos Display" w:cs="Times New Roman"/>
          <w:strike/>
          <w:sz w:val="26"/>
          <w:szCs w:val="26"/>
        </w:rPr>
        <w:t>One of the main advantages of SPL is flexibility. Parents can choose to take leave at different times, take leave together, or alternate periods of leave to suit childcare arrangements and work commitments. This can provide greater balance between partners and allow both parents to spend time caring for their child. In contrast, maternity leave is generally taken by one parent continuously and provides less flexibility in how leave is arranged.</w:t>
      </w:r>
    </w:p>
    <w:p w14:paraId="4C5468B3" w14:textId="07EDAF0B" w:rsidR="00EC0CB8" w:rsidRPr="00ED4AEC" w:rsidRDefault="0066760F" w:rsidP="0066760F">
      <w:pPr>
        <w:pStyle w:val="NormalWeb"/>
        <w:spacing w:before="0" w:beforeAutospacing="0" w:after="180" w:afterAutospacing="0"/>
        <w:rPr>
          <w:rFonts w:ascii="Aptos Display" w:hAnsi="Aptos Display" w:cs="Times New Roman"/>
          <w:strike/>
          <w:sz w:val="26"/>
          <w:szCs w:val="26"/>
        </w:rPr>
      </w:pPr>
      <w:r w:rsidRPr="00237F8C">
        <w:rPr>
          <w:rFonts w:ascii="Aptos Display" w:hAnsi="Aptos Display"/>
          <w:sz w:val="26"/>
          <w:szCs w:val="26"/>
        </w:rPr>
        <w:br/>
      </w:r>
      <w:r w:rsidRPr="00ED4AEC">
        <w:rPr>
          <w:rFonts w:ascii="Aptos Display" w:hAnsi="Aptos Display" w:cs="Times New Roman"/>
          <w:strike/>
          <w:sz w:val="26"/>
          <w:szCs w:val="26"/>
        </w:rPr>
        <w:t>However, maternity leave may provide greater simplicity and financial certainty, particularly where enhanced maternity pay schemes are available through the employer. Some organisations offer enhanced maternity benefits that are more generous than shared parental pay. Employees should therefore compare organisational policies carefully before deciding which arrangement is most beneficial financially and practically.</w:t>
      </w:r>
    </w:p>
    <w:p w14:paraId="5D418413" w14:textId="4082801C" w:rsidR="00EC0CB8" w:rsidRPr="00237F8C" w:rsidRDefault="00EC0CB8" w:rsidP="00EC0CB8">
      <w:pPr>
        <w:pStyle w:val="NormalWeb"/>
        <w:spacing w:before="0" w:beforeAutospacing="0" w:after="180" w:afterAutospacing="0"/>
        <w:rPr>
          <w:rFonts w:ascii="Aptos Display" w:hAnsi="Aptos Display"/>
          <w:color w:val="EE0000"/>
          <w:sz w:val="26"/>
          <w:szCs w:val="26"/>
        </w:rPr>
      </w:pPr>
      <w:r w:rsidRPr="00237F8C">
        <w:rPr>
          <w:rFonts w:ascii="Aptos Display" w:hAnsi="Aptos Display" w:cs="Times New Roman"/>
          <w:color w:val="EE0000"/>
          <w:sz w:val="26"/>
          <w:szCs w:val="26"/>
        </w:rPr>
        <w:t xml:space="preserve">However, maternity leave is typically more straightforward administratively and may be financially more advantageous where employers offer enhanced maternity pay schemes, which are not always mirrored in SPL arrangements (ACAS, 2024). This is supported by government guidance, which emphasises that SPL pay is often less generous than enhanced maternity packages </w:t>
      </w:r>
      <w:r w:rsidRPr="00ED4AEC">
        <w:rPr>
          <w:rFonts w:ascii="Aptos Display" w:hAnsi="Aptos Display" w:cs="Times New Roman"/>
          <w:color w:val="EE0000"/>
          <w:sz w:val="26"/>
          <w:szCs w:val="26"/>
        </w:rPr>
        <w:t>(</w:t>
      </w:r>
      <w:hyperlink r:id="rId25" w:history="1">
        <w:r w:rsidRPr="00ED4AEC">
          <w:rPr>
            <w:rStyle w:val="Hyperlink"/>
            <w:rFonts w:ascii="Aptos Display" w:hAnsi="Aptos Display" w:cs="Times New Roman"/>
            <w:color w:val="EE0000"/>
            <w:sz w:val="26"/>
            <w:szCs w:val="26"/>
            <w:u w:val="none"/>
          </w:rPr>
          <w:t>Gov.uk</w:t>
        </w:r>
      </w:hyperlink>
      <w:r w:rsidRPr="00ED4AEC">
        <w:rPr>
          <w:rFonts w:ascii="Aptos Display" w:hAnsi="Aptos Display" w:cs="Times New Roman"/>
          <w:color w:val="EE0000"/>
          <w:sz w:val="26"/>
          <w:szCs w:val="26"/>
        </w:rPr>
        <w:t>, 2024b).</w:t>
      </w:r>
    </w:p>
    <w:p w14:paraId="5AF92CFB" w14:textId="4F0F002B" w:rsidR="00EC0CB8" w:rsidRDefault="0066760F" w:rsidP="0066760F">
      <w:pPr>
        <w:pStyle w:val="NormalWeb"/>
        <w:spacing w:before="0" w:beforeAutospacing="0" w:after="180" w:afterAutospacing="0"/>
        <w:rPr>
          <w:rFonts w:ascii="Aptos Display" w:hAnsi="Aptos Display" w:cs="Times New Roman"/>
          <w:sz w:val="26"/>
          <w:szCs w:val="26"/>
        </w:rPr>
      </w:pPr>
      <w:r w:rsidRPr="00237F8C">
        <w:rPr>
          <w:rFonts w:ascii="Aptos Display" w:hAnsi="Aptos Display"/>
          <w:sz w:val="26"/>
          <w:szCs w:val="26"/>
        </w:rPr>
        <w:br/>
      </w:r>
      <w:r w:rsidRPr="00237F8C">
        <w:rPr>
          <w:rFonts w:ascii="Aptos Display" w:hAnsi="Aptos Display" w:cs="Times New Roman"/>
          <w:sz w:val="26"/>
          <w:szCs w:val="26"/>
        </w:rPr>
        <w:t>Both maternity leave and SPL provide employees with protection from unfair treatment, discrimination and dismissal connected to pregnancy, childbirth or taking family-related leave</w:t>
      </w:r>
      <w:r w:rsidR="00ED4AEC" w:rsidRPr="00ED4AEC">
        <w:rPr>
          <w:rFonts w:ascii="Aptos Display" w:hAnsi="Aptos Display" w:cs="Times New Roman"/>
          <w:color w:val="EE0000"/>
          <w:sz w:val="26"/>
          <w:szCs w:val="26"/>
        </w:rPr>
        <w:t xml:space="preserve"> </w:t>
      </w:r>
      <w:r w:rsidR="00ED4AEC" w:rsidRPr="00237F8C">
        <w:rPr>
          <w:rFonts w:ascii="Aptos Display" w:hAnsi="Aptos Display" w:cs="Times New Roman"/>
          <w:color w:val="EE0000"/>
          <w:sz w:val="26"/>
          <w:szCs w:val="26"/>
        </w:rPr>
        <w:t xml:space="preserve">under the Equality Act </w:t>
      </w:r>
      <w:r w:rsidR="00ED4AEC" w:rsidRPr="00ED4AEC">
        <w:rPr>
          <w:rFonts w:ascii="Aptos Display" w:hAnsi="Aptos Display" w:cs="Times New Roman"/>
          <w:color w:val="EE0000"/>
          <w:sz w:val="26"/>
          <w:szCs w:val="26"/>
        </w:rPr>
        <w:t>2010 (</w:t>
      </w:r>
      <w:hyperlink r:id="rId26" w:history="1">
        <w:r w:rsidR="00ED4AEC" w:rsidRPr="00ED4AEC">
          <w:rPr>
            <w:rStyle w:val="Hyperlink"/>
            <w:rFonts w:ascii="Aptos Display" w:hAnsi="Aptos Display" w:cs="Times New Roman"/>
            <w:color w:val="EE0000"/>
            <w:sz w:val="26"/>
            <w:szCs w:val="26"/>
            <w:u w:val="none"/>
          </w:rPr>
          <w:t>Gov.uk</w:t>
        </w:r>
      </w:hyperlink>
      <w:r w:rsidR="00ED4AEC" w:rsidRPr="00ED4AEC">
        <w:rPr>
          <w:rFonts w:ascii="Aptos Display" w:hAnsi="Aptos Display" w:cs="Times New Roman"/>
          <w:color w:val="EE0000"/>
          <w:sz w:val="26"/>
          <w:szCs w:val="26"/>
        </w:rPr>
        <w:t>,</w:t>
      </w:r>
      <w:r w:rsidR="00ED4AEC" w:rsidRPr="00237F8C">
        <w:rPr>
          <w:rFonts w:ascii="Aptos Display" w:hAnsi="Aptos Display" w:cs="Times New Roman"/>
          <w:color w:val="EE0000"/>
          <w:sz w:val="26"/>
          <w:szCs w:val="26"/>
        </w:rPr>
        <w:t xml:space="preserve"> 2024a).</w:t>
      </w:r>
      <w:r w:rsidRPr="00237F8C">
        <w:rPr>
          <w:rFonts w:ascii="Aptos Display" w:hAnsi="Aptos Display" w:cs="Times New Roman"/>
          <w:sz w:val="26"/>
          <w:szCs w:val="26"/>
        </w:rPr>
        <w:t xml:space="preserve"> Employees are also generally entitled to return to their role following leave, subject to statutory provisions.</w:t>
      </w:r>
    </w:p>
    <w:p w14:paraId="7A9CC1B5" w14:textId="3574C011" w:rsidR="0066760F" w:rsidRPr="00237F8C" w:rsidRDefault="0066760F" w:rsidP="0066760F">
      <w:pPr>
        <w:pStyle w:val="NormalWeb"/>
        <w:spacing w:before="0" w:beforeAutospacing="0" w:after="180" w:afterAutospacing="0"/>
        <w:rPr>
          <w:rFonts w:ascii="Aptos Display" w:hAnsi="Aptos Display" w:cs="Times New Roman"/>
          <w:sz w:val="26"/>
          <w:szCs w:val="26"/>
        </w:rPr>
      </w:pPr>
      <w:r w:rsidRPr="00237F8C">
        <w:rPr>
          <w:rFonts w:ascii="Aptos Display" w:hAnsi="Aptos Display"/>
          <w:sz w:val="26"/>
          <w:szCs w:val="26"/>
        </w:rPr>
        <w:br/>
      </w:r>
      <w:r w:rsidRPr="00237F8C">
        <w:rPr>
          <w:rFonts w:ascii="Aptos Display" w:hAnsi="Aptos Display" w:cs="Times New Roman"/>
          <w:sz w:val="26"/>
          <w:szCs w:val="26"/>
        </w:rPr>
        <w:t>Overall, the most suitable option will depend on personal circumstances, financial considerations and how you and your partner wish to balance childcare and work responsibilities.</w:t>
      </w:r>
    </w:p>
    <w:p w14:paraId="23A8CD01" w14:textId="77777777" w:rsidR="00EC0CB8" w:rsidRPr="00237F8C" w:rsidRDefault="00EC0CB8" w:rsidP="009F6D45">
      <w:pPr>
        <w:pStyle w:val="NormalWeb"/>
        <w:spacing w:before="0" w:beforeAutospacing="0" w:after="180" w:afterAutospacing="0"/>
        <w:rPr>
          <w:rFonts w:ascii="Aptos Display" w:hAnsi="Aptos Display"/>
          <w:color w:val="EE0000"/>
          <w:sz w:val="26"/>
          <w:szCs w:val="26"/>
        </w:rPr>
      </w:pPr>
    </w:p>
    <w:p w14:paraId="6AC043C6" w14:textId="7124F988" w:rsidR="0066760F" w:rsidRPr="00237F8C" w:rsidRDefault="00530C58" w:rsidP="0066760F">
      <w:pPr>
        <w:pStyle w:val="NormalWeb"/>
        <w:spacing w:before="0" w:beforeAutospacing="0" w:after="180" w:afterAutospacing="0"/>
        <w:rPr>
          <w:rFonts w:ascii="Aptos Display" w:hAnsi="Aptos Display" w:cs="Times New Roman"/>
          <w:b/>
          <w:bCs/>
          <w:sz w:val="26"/>
          <w:szCs w:val="26"/>
        </w:rPr>
      </w:pPr>
      <w:r w:rsidRPr="00237F8C">
        <w:rPr>
          <w:rFonts w:ascii="Aptos Display" w:hAnsi="Aptos Display" w:cs="Times New Roman"/>
          <w:b/>
          <w:bCs/>
          <w:sz w:val="26"/>
          <w:szCs w:val="26"/>
        </w:rPr>
        <w:t xml:space="preserve">AC 4.3 </w:t>
      </w:r>
    </w:p>
    <w:p w14:paraId="1AE44D15" w14:textId="77777777" w:rsidR="00ED4AEC" w:rsidRDefault="00530C58" w:rsidP="00ED4AEC">
      <w:pPr>
        <w:pStyle w:val="NormalWeb"/>
        <w:rPr>
          <w:rFonts w:ascii="Aptos Display" w:hAnsi="Aptos Display"/>
          <w:sz w:val="26"/>
          <w:szCs w:val="26"/>
        </w:rPr>
      </w:pPr>
      <w:r w:rsidRPr="00237F8C">
        <w:rPr>
          <w:rFonts w:ascii="Aptos Display" w:hAnsi="Aptos Display"/>
          <w:sz w:val="26"/>
          <w:szCs w:val="26"/>
        </w:rPr>
        <w:t>In relation to the recent flexible working request submitted by the newly appointed Administrative Officer, it is important that the organisation handles the request in accordance with current employment legislation and follows a fair and reasonable process.</w:t>
      </w:r>
    </w:p>
    <w:p w14:paraId="28C76E59" w14:textId="548A3E14" w:rsidR="00530C58" w:rsidRDefault="0038285D" w:rsidP="00ED4AEC">
      <w:pPr>
        <w:pStyle w:val="NormalWeb"/>
        <w:rPr>
          <w:rFonts w:ascii="Aptos Display" w:hAnsi="Aptos Display"/>
          <w:sz w:val="26"/>
          <w:szCs w:val="26"/>
        </w:rPr>
      </w:pPr>
      <w:r w:rsidRPr="00237F8C">
        <w:rPr>
          <w:rFonts w:ascii="Aptos Display" w:hAnsi="Aptos Display"/>
          <w:sz w:val="26"/>
          <w:szCs w:val="26"/>
        </w:rPr>
        <w:br/>
      </w:r>
      <w:r w:rsidR="00530C58" w:rsidRPr="00237F8C">
        <w:rPr>
          <w:rFonts w:ascii="Aptos Display" w:hAnsi="Aptos Display"/>
          <w:sz w:val="26"/>
          <w:szCs w:val="26"/>
        </w:rPr>
        <w:t>Under the Employment Relations (Flexible Working) Act 2023, employees in the UK have the statutory right to request flexible working from the first day of employment</w:t>
      </w:r>
      <w:r w:rsidR="00ED4AEC">
        <w:rPr>
          <w:rFonts w:ascii="Aptos Display" w:hAnsi="Aptos Display"/>
          <w:sz w:val="26"/>
          <w:szCs w:val="26"/>
        </w:rPr>
        <w:t xml:space="preserve"> </w:t>
      </w:r>
      <w:r w:rsidR="00ED4AEC" w:rsidRPr="00EC0CB8">
        <w:rPr>
          <w:rFonts w:ascii="Aptos Display" w:hAnsi="Aptos Display" w:cs="Times New Roman"/>
          <w:color w:val="EE0000"/>
          <w:sz w:val="26"/>
          <w:szCs w:val="26"/>
        </w:rPr>
        <w:t>(</w:t>
      </w:r>
      <w:hyperlink r:id="rId27" w:history="1">
        <w:r w:rsidR="00ED4AEC" w:rsidRPr="00EC0CB8">
          <w:rPr>
            <w:rStyle w:val="Hyperlink"/>
            <w:rFonts w:ascii="Aptos Display" w:hAnsi="Aptos Display" w:cs="Times New Roman"/>
            <w:color w:val="EE0000"/>
            <w:sz w:val="26"/>
            <w:szCs w:val="26"/>
            <w:u w:val="none"/>
          </w:rPr>
          <w:t>Gov.uk</w:t>
        </w:r>
      </w:hyperlink>
      <w:r w:rsidR="00ED4AEC" w:rsidRPr="00EC0CB8">
        <w:rPr>
          <w:rFonts w:ascii="Aptos Display" w:hAnsi="Aptos Display" w:cs="Times New Roman"/>
          <w:color w:val="EE0000"/>
          <w:sz w:val="26"/>
          <w:szCs w:val="26"/>
        </w:rPr>
        <w:t>, 2023).</w:t>
      </w:r>
      <w:r w:rsidR="00530C58" w:rsidRPr="00237F8C">
        <w:rPr>
          <w:rFonts w:ascii="Aptos Display" w:hAnsi="Aptos Display"/>
          <w:sz w:val="26"/>
          <w:szCs w:val="26"/>
        </w:rPr>
        <w:t xml:space="preserve"> Flexible working may include requests to work from home, amend working hours, or alter working patterns. Whilst employees have the right to request flexible working, there is no automatic entitlement for the request to be approved. Employers must, however, deal with requests in a reasonable manner and provide a decision within two months unless an extension is agreed</w:t>
      </w:r>
      <w:r w:rsidR="00ED4AEC" w:rsidRPr="00ED4AEC">
        <w:rPr>
          <w:rFonts w:ascii="Aptos Display" w:hAnsi="Aptos Display" w:cs="Times New Roman"/>
          <w:color w:val="EE0000"/>
          <w:sz w:val="26"/>
          <w:szCs w:val="26"/>
        </w:rPr>
        <w:t xml:space="preserve"> </w:t>
      </w:r>
      <w:r w:rsidR="00ED4AEC" w:rsidRPr="00EC0CB8">
        <w:rPr>
          <w:rFonts w:ascii="Aptos Display" w:hAnsi="Aptos Display" w:cs="Times New Roman"/>
          <w:color w:val="EE0000"/>
          <w:sz w:val="26"/>
          <w:szCs w:val="26"/>
        </w:rPr>
        <w:t>(ACAS, 2024).</w:t>
      </w:r>
    </w:p>
    <w:p w14:paraId="0F38D417" w14:textId="77777777" w:rsidR="00EC0CB8" w:rsidRPr="00EC0CB8" w:rsidRDefault="00EC0CB8" w:rsidP="00EC0CB8">
      <w:pPr>
        <w:pStyle w:val="NormalWeb"/>
        <w:spacing w:before="0" w:beforeAutospacing="0" w:after="180" w:afterAutospacing="0"/>
        <w:rPr>
          <w:rFonts w:ascii="Aptos Display" w:hAnsi="Aptos Display"/>
          <w:color w:val="EE0000"/>
          <w:sz w:val="26"/>
          <w:szCs w:val="26"/>
        </w:rPr>
      </w:pPr>
    </w:p>
    <w:p w14:paraId="05E11DEF" w14:textId="77777777" w:rsidR="00530C58" w:rsidRPr="00237F8C" w:rsidRDefault="00530C58" w:rsidP="00530C58">
      <w:pPr>
        <w:pStyle w:val="NormalWeb"/>
        <w:rPr>
          <w:rFonts w:ascii="Aptos Display" w:hAnsi="Aptos Display"/>
          <w:sz w:val="26"/>
          <w:szCs w:val="26"/>
        </w:rPr>
      </w:pPr>
      <w:r w:rsidRPr="00237F8C">
        <w:rPr>
          <w:rFonts w:ascii="Aptos Display" w:hAnsi="Aptos Display"/>
          <w:sz w:val="26"/>
          <w:szCs w:val="26"/>
        </w:rPr>
        <w:t>The organisation may refuse a flexible working request provided there is a legitimate business reason for doing so. Acceptable statutory reasons include:</w:t>
      </w:r>
    </w:p>
    <w:p w14:paraId="284605E2" w14:textId="77777777" w:rsidR="00530C58" w:rsidRPr="00237F8C" w:rsidRDefault="00530C58" w:rsidP="00530C58">
      <w:pPr>
        <w:numPr>
          <w:ilvl w:val="0"/>
          <w:numId w:val="1"/>
        </w:numPr>
        <w:spacing w:before="100" w:beforeAutospacing="1" w:after="100" w:afterAutospacing="1" w:line="240" w:lineRule="auto"/>
        <w:rPr>
          <w:rFonts w:ascii="Aptos Display" w:eastAsia="Times New Roman" w:hAnsi="Aptos Display" w:cs="Times New Roman"/>
          <w:sz w:val="26"/>
          <w:szCs w:val="26"/>
        </w:rPr>
      </w:pPr>
      <w:r w:rsidRPr="00237F8C">
        <w:rPr>
          <w:rFonts w:ascii="Aptos Display" w:eastAsia="Times New Roman" w:hAnsi="Aptos Display" w:cs="Times New Roman"/>
          <w:sz w:val="26"/>
          <w:szCs w:val="26"/>
        </w:rPr>
        <w:t>Detrimental impact on quality or performance</w:t>
      </w:r>
    </w:p>
    <w:p w14:paraId="215C8173" w14:textId="77777777" w:rsidR="00530C58" w:rsidRPr="00237F8C" w:rsidRDefault="00530C58" w:rsidP="00530C58">
      <w:pPr>
        <w:numPr>
          <w:ilvl w:val="0"/>
          <w:numId w:val="1"/>
        </w:numPr>
        <w:spacing w:before="100" w:beforeAutospacing="1" w:after="100" w:afterAutospacing="1" w:line="240" w:lineRule="auto"/>
        <w:rPr>
          <w:rFonts w:ascii="Aptos Display" w:eastAsia="Times New Roman" w:hAnsi="Aptos Display" w:cs="Times New Roman"/>
          <w:sz w:val="26"/>
          <w:szCs w:val="26"/>
        </w:rPr>
      </w:pPr>
      <w:r w:rsidRPr="00237F8C">
        <w:rPr>
          <w:rFonts w:ascii="Aptos Display" w:eastAsia="Times New Roman" w:hAnsi="Aptos Display" w:cs="Times New Roman"/>
          <w:sz w:val="26"/>
          <w:szCs w:val="26"/>
        </w:rPr>
        <w:t>Detrimental effect on ability to meet customer or service demand</w:t>
      </w:r>
    </w:p>
    <w:p w14:paraId="74DEE427" w14:textId="77777777" w:rsidR="00530C58" w:rsidRPr="00237F8C" w:rsidRDefault="00530C58" w:rsidP="00530C58">
      <w:pPr>
        <w:numPr>
          <w:ilvl w:val="0"/>
          <w:numId w:val="1"/>
        </w:numPr>
        <w:spacing w:before="100" w:beforeAutospacing="1" w:after="100" w:afterAutospacing="1" w:line="240" w:lineRule="auto"/>
        <w:rPr>
          <w:rFonts w:ascii="Aptos Display" w:eastAsia="Times New Roman" w:hAnsi="Aptos Display" w:cs="Times New Roman"/>
          <w:sz w:val="26"/>
          <w:szCs w:val="26"/>
        </w:rPr>
      </w:pPr>
      <w:r w:rsidRPr="00237F8C">
        <w:rPr>
          <w:rFonts w:ascii="Aptos Display" w:eastAsia="Times New Roman" w:hAnsi="Aptos Display" w:cs="Times New Roman"/>
          <w:sz w:val="26"/>
          <w:szCs w:val="26"/>
        </w:rPr>
        <w:t>Inability to reorganise work amongst existing staff</w:t>
      </w:r>
    </w:p>
    <w:p w14:paraId="25E3A208" w14:textId="77777777" w:rsidR="00530C58" w:rsidRPr="00237F8C" w:rsidRDefault="00530C58" w:rsidP="00530C58">
      <w:pPr>
        <w:numPr>
          <w:ilvl w:val="0"/>
          <w:numId w:val="1"/>
        </w:numPr>
        <w:spacing w:before="100" w:beforeAutospacing="1" w:after="100" w:afterAutospacing="1" w:line="240" w:lineRule="auto"/>
        <w:rPr>
          <w:rFonts w:ascii="Aptos Display" w:eastAsia="Times New Roman" w:hAnsi="Aptos Display" w:cs="Times New Roman"/>
          <w:sz w:val="26"/>
          <w:szCs w:val="26"/>
        </w:rPr>
      </w:pPr>
      <w:r w:rsidRPr="00237F8C">
        <w:rPr>
          <w:rFonts w:ascii="Aptos Display" w:eastAsia="Times New Roman" w:hAnsi="Aptos Display" w:cs="Times New Roman"/>
          <w:sz w:val="26"/>
          <w:szCs w:val="26"/>
        </w:rPr>
        <w:t>Insufficient work available during the periods proposed</w:t>
      </w:r>
    </w:p>
    <w:p w14:paraId="28CBDC1B" w14:textId="77777777" w:rsidR="00530C58" w:rsidRDefault="00530C58" w:rsidP="00530C58">
      <w:pPr>
        <w:numPr>
          <w:ilvl w:val="0"/>
          <w:numId w:val="1"/>
        </w:numPr>
        <w:spacing w:before="100" w:beforeAutospacing="1" w:after="100" w:afterAutospacing="1" w:line="240" w:lineRule="auto"/>
        <w:rPr>
          <w:rFonts w:ascii="Aptos Display" w:eastAsia="Times New Roman" w:hAnsi="Aptos Display" w:cs="Times New Roman"/>
          <w:sz w:val="26"/>
          <w:szCs w:val="26"/>
        </w:rPr>
      </w:pPr>
      <w:r w:rsidRPr="00237F8C">
        <w:rPr>
          <w:rFonts w:ascii="Aptos Display" w:eastAsia="Times New Roman" w:hAnsi="Aptos Display" w:cs="Times New Roman"/>
          <w:sz w:val="26"/>
          <w:szCs w:val="26"/>
        </w:rPr>
        <w:t>Planned structural changes</w:t>
      </w:r>
    </w:p>
    <w:p w14:paraId="7E44D991" w14:textId="77777777" w:rsidR="00ED4AEC" w:rsidRPr="00237F8C" w:rsidRDefault="00ED4AEC" w:rsidP="00ED4AEC">
      <w:pPr>
        <w:numPr>
          <w:ilvl w:val="0"/>
          <w:numId w:val="1"/>
        </w:numPr>
        <w:spacing w:after="0" w:line="240" w:lineRule="auto"/>
        <w:rPr>
          <w:rFonts w:ascii="Aptos Display" w:hAnsi="Aptos Display"/>
          <w:color w:val="EE0000"/>
          <w:sz w:val="26"/>
          <w:szCs w:val="26"/>
        </w:rPr>
      </w:pPr>
      <w:r w:rsidRPr="00237F8C">
        <w:rPr>
          <w:rFonts w:ascii="Aptos Display" w:eastAsia="Times New Roman" w:hAnsi="Aptos Display" w:cs="Times New Roman"/>
          <w:color w:val="EE0000"/>
          <w:sz w:val="26"/>
          <w:szCs w:val="26"/>
        </w:rPr>
        <w:t>The burden of additional costs or an inability to recruit additional staff (</w:t>
      </w:r>
      <w:hyperlink r:id="rId28" w:history="1">
        <w:r w:rsidRPr="00ED4AEC">
          <w:rPr>
            <w:rStyle w:val="Hyperlink"/>
            <w:rFonts w:ascii="Aptos Display" w:eastAsia="Times New Roman" w:hAnsi="Aptos Display" w:cs="Times New Roman"/>
            <w:color w:val="EE0000"/>
            <w:sz w:val="26"/>
            <w:szCs w:val="26"/>
            <w:u w:val="none"/>
          </w:rPr>
          <w:t>Gov.uk</w:t>
        </w:r>
      </w:hyperlink>
      <w:r w:rsidRPr="00ED4AEC">
        <w:rPr>
          <w:rFonts w:ascii="Aptos Display" w:eastAsia="Times New Roman" w:hAnsi="Aptos Display" w:cs="Times New Roman"/>
          <w:color w:val="EE0000"/>
          <w:sz w:val="26"/>
          <w:szCs w:val="26"/>
        </w:rPr>
        <w:t>,</w:t>
      </w:r>
      <w:r w:rsidRPr="00237F8C">
        <w:rPr>
          <w:rFonts w:ascii="Aptos Display" w:eastAsia="Times New Roman" w:hAnsi="Aptos Display" w:cs="Times New Roman"/>
          <w:color w:val="EE0000"/>
          <w:sz w:val="26"/>
          <w:szCs w:val="26"/>
        </w:rPr>
        <w:t xml:space="preserve"> 2023).</w:t>
      </w:r>
    </w:p>
    <w:p w14:paraId="6FE6A495" w14:textId="77777777" w:rsidR="00ED4AEC" w:rsidRPr="00237F8C" w:rsidRDefault="00ED4AEC" w:rsidP="00ED4AEC">
      <w:pPr>
        <w:spacing w:before="100" w:beforeAutospacing="1" w:after="100" w:afterAutospacing="1" w:line="240" w:lineRule="auto"/>
        <w:ind w:left="720"/>
        <w:rPr>
          <w:rFonts w:ascii="Aptos Display" w:eastAsia="Times New Roman" w:hAnsi="Aptos Display" w:cs="Times New Roman"/>
          <w:sz w:val="26"/>
          <w:szCs w:val="26"/>
        </w:rPr>
      </w:pPr>
    </w:p>
    <w:p w14:paraId="4DE2DA47" w14:textId="37493142" w:rsidR="00EC0CB8" w:rsidRDefault="00530C58" w:rsidP="00530C58">
      <w:pPr>
        <w:pStyle w:val="NormalWeb"/>
        <w:rPr>
          <w:rFonts w:ascii="Aptos Display" w:hAnsi="Aptos Display"/>
          <w:sz w:val="26"/>
          <w:szCs w:val="26"/>
        </w:rPr>
      </w:pPr>
      <w:r w:rsidRPr="00237F8C">
        <w:rPr>
          <w:rFonts w:ascii="Aptos Display" w:hAnsi="Aptos Display"/>
          <w:sz w:val="26"/>
          <w:szCs w:val="26"/>
        </w:rPr>
        <w:t>In this case, concerns regarding reduced service quality, reduced collaboration within the team, and the potential impact on the effectiveness of administrative support across the hospital site could potentially form part of a reasonable business justification. However, it is important that the request is considered individually and objectively rather than refused solely due to concerns that other employees may submit similar requests in future. Rejecting a request on this basis alone could be viewed as unreasonable and may expose the organisation to employee relations issues or legal challenge</w:t>
      </w:r>
      <w:r w:rsidR="00ED4AEC">
        <w:rPr>
          <w:rFonts w:ascii="Aptos Display" w:hAnsi="Aptos Display"/>
          <w:sz w:val="26"/>
          <w:szCs w:val="26"/>
        </w:rPr>
        <w:t xml:space="preserve"> </w:t>
      </w:r>
      <w:r w:rsidR="00ED4AEC" w:rsidRPr="00237F8C">
        <w:rPr>
          <w:rFonts w:ascii="Aptos Display" w:hAnsi="Aptos Display" w:cs="Times New Roman"/>
          <w:color w:val="EE0000"/>
          <w:sz w:val="26"/>
          <w:szCs w:val="26"/>
        </w:rPr>
        <w:t>(CIPD, 2024).</w:t>
      </w:r>
    </w:p>
    <w:p w14:paraId="46C0290A" w14:textId="22D77557" w:rsidR="00527C7A" w:rsidRDefault="0038285D" w:rsidP="00694691">
      <w:pPr>
        <w:pStyle w:val="NormalWeb"/>
        <w:spacing w:before="0" w:beforeAutospacing="0" w:after="180" w:afterAutospacing="0"/>
        <w:rPr>
          <w:rFonts w:ascii="Aptos Display" w:hAnsi="Aptos Display"/>
          <w:sz w:val="26"/>
          <w:szCs w:val="26"/>
        </w:rPr>
      </w:pPr>
      <w:r w:rsidRPr="00237F8C">
        <w:rPr>
          <w:rFonts w:ascii="Aptos Display" w:hAnsi="Aptos Display"/>
          <w:sz w:val="26"/>
          <w:szCs w:val="26"/>
        </w:rPr>
        <w:br/>
      </w:r>
      <w:r w:rsidR="00530C58" w:rsidRPr="00237F8C">
        <w:rPr>
          <w:rFonts w:ascii="Aptos Display" w:hAnsi="Aptos Display"/>
          <w:sz w:val="26"/>
          <w:szCs w:val="26"/>
        </w:rPr>
        <w:t xml:space="preserve">I would recommend arranging a meeting with the employee to discuss the request further, explore the operational impact, and consider whether alternative </w:t>
      </w:r>
      <w:r w:rsidR="00530C58" w:rsidRPr="00237F8C">
        <w:rPr>
          <w:rFonts w:ascii="Aptos Display" w:hAnsi="Aptos Display"/>
          <w:sz w:val="26"/>
          <w:szCs w:val="26"/>
        </w:rPr>
        <w:lastRenderedPageBreak/>
        <w:t xml:space="preserve">arrangements could be appropriate, such as a trial period or fewer home-working days. </w:t>
      </w:r>
      <w:r w:rsidR="00ED4AEC" w:rsidRPr="00237F8C">
        <w:rPr>
          <w:rFonts w:ascii="Aptos Display" w:hAnsi="Aptos Display" w:cs="Times New Roman"/>
          <w:color w:val="EE0000"/>
          <w:sz w:val="26"/>
          <w:szCs w:val="26"/>
        </w:rPr>
        <w:t>ACAS (2024)</w:t>
      </w:r>
      <w:r w:rsidR="00ED4AEC" w:rsidRPr="00ED4AEC">
        <w:rPr>
          <w:rFonts w:ascii="Aptos Display" w:hAnsi="Aptos Display" w:cs="Times New Roman"/>
          <w:color w:val="EE0000"/>
          <w:sz w:val="26"/>
          <w:szCs w:val="26"/>
        </w:rPr>
        <w:t xml:space="preserve"> </w:t>
      </w:r>
      <w:r w:rsidR="00ED4AEC" w:rsidRPr="00237F8C">
        <w:rPr>
          <w:rFonts w:ascii="Aptos Display" w:hAnsi="Aptos Display" w:cs="Times New Roman"/>
          <w:color w:val="EE0000"/>
          <w:sz w:val="26"/>
          <w:szCs w:val="26"/>
        </w:rPr>
        <w:t xml:space="preserve">recommends discussing alternative options before making a final decision, as this demonstrates that the employer has acted reasonably and considered the request fairly. </w:t>
      </w:r>
      <w:r w:rsidR="00530C58" w:rsidRPr="00237F8C">
        <w:rPr>
          <w:rFonts w:ascii="Aptos Display" w:hAnsi="Aptos Display"/>
          <w:sz w:val="26"/>
          <w:szCs w:val="26"/>
        </w:rPr>
        <w:t>Following this discussion, a formal written outcome should be provided outlining the decision and the rationale behind it.</w:t>
      </w:r>
      <w:r w:rsidR="00694691">
        <w:rPr>
          <w:rFonts w:ascii="Aptos Display" w:hAnsi="Aptos Display"/>
          <w:sz w:val="26"/>
          <w:szCs w:val="26"/>
        </w:rPr>
        <w:br/>
      </w:r>
      <w:r w:rsidR="00694691" w:rsidRPr="00237F8C">
        <w:rPr>
          <w:rFonts w:ascii="Aptos Display" w:hAnsi="Aptos Display" w:cs="Times New Roman"/>
          <w:color w:val="EE0000"/>
          <w:sz w:val="26"/>
          <w:szCs w:val="26"/>
        </w:rPr>
        <w:t>Overall, handling the request fairly and consistently will help ensure compliance with employment legislation while maintaining positive employee relations and minimising the risk of grievances or discrimination claims (CIPD, 2024)</w:t>
      </w:r>
      <w:r w:rsidR="00694691">
        <w:rPr>
          <w:rFonts w:eastAsia="Times New Roman"/>
        </w:rPr>
        <w:br/>
      </w:r>
      <w:r w:rsidR="00530C58" w:rsidRPr="00237F8C">
        <w:rPr>
          <w:rFonts w:ascii="Aptos Display" w:hAnsi="Aptos Display"/>
          <w:sz w:val="26"/>
          <w:szCs w:val="26"/>
        </w:rPr>
        <w:t>Please let me know if you would like support in drafting the formal response to the employee or arranging the consultation meeting.</w:t>
      </w:r>
    </w:p>
    <w:p w14:paraId="01814993" w14:textId="77777777" w:rsidR="00694691" w:rsidRDefault="00694691" w:rsidP="00694691">
      <w:pPr>
        <w:pStyle w:val="NormalWeb"/>
        <w:spacing w:before="0" w:beforeAutospacing="0" w:after="180" w:afterAutospacing="0"/>
        <w:rPr>
          <w:rFonts w:ascii="Aptos Display" w:hAnsi="Aptos Display"/>
          <w:sz w:val="26"/>
          <w:szCs w:val="26"/>
        </w:rPr>
      </w:pPr>
    </w:p>
    <w:p w14:paraId="36EC2B1E" w14:textId="77777777" w:rsidR="00694691" w:rsidRDefault="00694691" w:rsidP="00694691">
      <w:pPr>
        <w:pStyle w:val="NormalWeb"/>
        <w:spacing w:before="0" w:beforeAutospacing="0" w:after="180" w:afterAutospacing="0"/>
        <w:rPr>
          <w:rFonts w:ascii="Aptos Display" w:hAnsi="Aptos Display"/>
          <w:sz w:val="26"/>
          <w:szCs w:val="26"/>
        </w:rPr>
      </w:pPr>
    </w:p>
    <w:p w14:paraId="14EC313D" w14:textId="77777777" w:rsidR="00694691" w:rsidRDefault="00694691" w:rsidP="00694691">
      <w:pPr>
        <w:pStyle w:val="NormalWeb"/>
        <w:spacing w:before="0" w:beforeAutospacing="0" w:after="180" w:afterAutospacing="0"/>
        <w:rPr>
          <w:rFonts w:ascii="Aptos Display" w:hAnsi="Aptos Display"/>
          <w:sz w:val="26"/>
          <w:szCs w:val="26"/>
        </w:rPr>
      </w:pPr>
    </w:p>
    <w:p w14:paraId="0E38E065" w14:textId="4054469D" w:rsidR="00694691" w:rsidRDefault="00694691" w:rsidP="00694691">
      <w:pPr>
        <w:pStyle w:val="NormalWeb"/>
        <w:spacing w:before="0" w:beforeAutospacing="0" w:after="180" w:afterAutospacing="0"/>
        <w:rPr>
          <w:rFonts w:ascii="Aptos Display" w:hAnsi="Aptos Display"/>
          <w:sz w:val="26"/>
          <w:szCs w:val="26"/>
        </w:rPr>
      </w:pPr>
    </w:p>
    <w:p w14:paraId="4FB24DBD" w14:textId="77777777" w:rsidR="00BF5249" w:rsidRDefault="00BF5249" w:rsidP="00694691">
      <w:pPr>
        <w:pStyle w:val="NormalWeb"/>
        <w:spacing w:before="0" w:beforeAutospacing="0" w:after="180" w:afterAutospacing="0"/>
        <w:rPr>
          <w:rFonts w:ascii="Aptos Display" w:hAnsi="Aptos Display"/>
          <w:sz w:val="26"/>
          <w:szCs w:val="26"/>
        </w:rPr>
      </w:pPr>
    </w:p>
    <w:p w14:paraId="3F7CE546" w14:textId="77777777" w:rsidR="00BF5249" w:rsidRDefault="00BF5249" w:rsidP="00694691">
      <w:pPr>
        <w:pStyle w:val="NormalWeb"/>
        <w:spacing w:before="0" w:beforeAutospacing="0" w:after="180" w:afterAutospacing="0"/>
        <w:rPr>
          <w:rFonts w:ascii="Aptos Display" w:hAnsi="Aptos Display"/>
          <w:sz w:val="26"/>
          <w:szCs w:val="26"/>
        </w:rPr>
      </w:pPr>
    </w:p>
    <w:p w14:paraId="5337C9C1" w14:textId="77777777" w:rsidR="00BF5249" w:rsidRDefault="00BF5249" w:rsidP="00694691">
      <w:pPr>
        <w:pStyle w:val="NormalWeb"/>
        <w:spacing w:before="0" w:beforeAutospacing="0" w:after="180" w:afterAutospacing="0"/>
        <w:rPr>
          <w:rFonts w:ascii="Aptos Display" w:hAnsi="Aptos Display"/>
          <w:sz w:val="26"/>
          <w:szCs w:val="26"/>
        </w:rPr>
      </w:pPr>
    </w:p>
    <w:p w14:paraId="2AE1B7E6" w14:textId="77777777" w:rsidR="00BF5249" w:rsidRDefault="00BF5249" w:rsidP="00694691">
      <w:pPr>
        <w:pStyle w:val="NormalWeb"/>
        <w:spacing w:before="0" w:beforeAutospacing="0" w:after="180" w:afterAutospacing="0"/>
        <w:rPr>
          <w:rFonts w:ascii="Aptos Display" w:hAnsi="Aptos Display"/>
          <w:sz w:val="26"/>
          <w:szCs w:val="26"/>
        </w:rPr>
      </w:pPr>
    </w:p>
    <w:p w14:paraId="57C8E5D5" w14:textId="77777777" w:rsidR="00BF5249" w:rsidRDefault="00BF5249" w:rsidP="00694691">
      <w:pPr>
        <w:pStyle w:val="NormalWeb"/>
        <w:spacing w:before="0" w:beforeAutospacing="0" w:after="180" w:afterAutospacing="0"/>
        <w:rPr>
          <w:rFonts w:ascii="Aptos Display" w:hAnsi="Aptos Display"/>
          <w:sz w:val="26"/>
          <w:szCs w:val="26"/>
        </w:rPr>
      </w:pPr>
    </w:p>
    <w:p w14:paraId="375B1FEA" w14:textId="77777777" w:rsidR="00BF5249" w:rsidRDefault="00BF5249" w:rsidP="00694691">
      <w:pPr>
        <w:pStyle w:val="NormalWeb"/>
        <w:spacing w:before="0" w:beforeAutospacing="0" w:after="180" w:afterAutospacing="0"/>
        <w:rPr>
          <w:rFonts w:ascii="Aptos Display" w:hAnsi="Aptos Display"/>
          <w:sz w:val="26"/>
          <w:szCs w:val="26"/>
        </w:rPr>
      </w:pPr>
    </w:p>
    <w:p w14:paraId="7501F809" w14:textId="77777777" w:rsidR="00BF5249" w:rsidRDefault="00BF5249" w:rsidP="00694691">
      <w:pPr>
        <w:pStyle w:val="NormalWeb"/>
        <w:spacing w:before="0" w:beforeAutospacing="0" w:after="180" w:afterAutospacing="0"/>
        <w:rPr>
          <w:rFonts w:ascii="Aptos Display" w:hAnsi="Aptos Display"/>
          <w:sz w:val="26"/>
          <w:szCs w:val="26"/>
        </w:rPr>
      </w:pPr>
    </w:p>
    <w:p w14:paraId="6BA1FB87" w14:textId="77777777" w:rsidR="00BF5249" w:rsidRDefault="00BF5249" w:rsidP="00694691">
      <w:pPr>
        <w:pStyle w:val="NormalWeb"/>
        <w:spacing w:before="0" w:beforeAutospacing="0" w:after="180" w:afterAutospacing="0"/>
        <w:rPr>
          <w:rFonts w:ascii="Aptos Display" w:hAnsi="Aptos Display"/>
          <w:sz w:val="26"/>
          <w:szCs w:val="26"/>
        </w:rPr>
      </w:pPr>
    </w:p>
    <w:p w14:paraId="41ACED1D" w14:textId="77777777" w:rsidR="00BF5249" w:rsidRDefault="00BF5249" w:rsidP="00694691">
      <w:pPr>
        <w:pStyle w:val="NormalWeb"/>
        <w:spacing w:before="0" w:beforeAutospacing="0" w:after="180" w:afterAutospacing="0"/>
        <w:rPr>
          <w:rFonts w:ascii="Aptos Display" w:hAnsi="Aptos Display"/>
          <w:sz w:val="26"/>
          <w:szCs w:val="26"/>
        </w:rPr>
      </w:pPr>
    </w:p>
    <w:p w14:paraId="0E70FD6F" w14:textId="77777777" w:rsidR="00BF5249" w:rsidRDefault="00BF5249" w:rsidP="00694691">
      <w:pPr>
        <w:pStyle w:val="NormalWeb"/>
        <w:spacing w:before="0" w:beforeAutospacing="0" w:after="180" w:afterAutospacing="0"/>
        <w:rPr>
          <w:rFonts w:ascii="Aptos Display" w:hAnsi="Aptos Display"/>
          <w:sz w:val="26"/>
          <w:szCs w:val="26"/>
        </w:rPr>
      </w:pPr>
    </w:p>
    <w:p w14:paraId="63428CE1" w14:textId="77777777" w:rsidR="00BF5249" w:rsidRDefault="00BF5249" w:rsidP="00694691">
      <w:pPr>
        <w:pStyle w:val="NormalWeb"/>
        <w:spacing w:before="0" w:beforeAutospacing="0" w:after="180" w:afterAutospacing="0"/>
        <w:rPr>
          <w:rFonts w:ascii="Aptos Display" w:hAnsi="Aptos Display"/>
          <w:sz w:val="26"/>
          <w:szCs w:val="26"/>
        </w:rPr>
      </w:pPr>
    </w:p>
    <w:p w14:paraId="6D26EE70" w14:textId="77777777" w:rsidR="00645232" w:rsidRDefault="00645232" w:rsidP="00694691">
      <w:pPr>
        <w:pStyle w:val="NormalWeb"/>
        <w:spacing w:before="0" w:beforeAutospacing="0" w:after="180" w:afterAutospacing="0"/>
        <w:rPr>
          <w:rFonts w:ascii="Aptos Display" w:hAnsi="Aptos Display"/>
          <w:sz w:val="26"/>
          <w:szCs w:val="26"/>
        </w:rPr>
      </w:pPr>
    </w:p>
    <w:p w14:paraId="5F45F8A2" w14:textId="77777777" w:rsidR="00645232" w:rsidRDefault="00645232" w:rsidP="00694691">
      <w:pPr>
        <w:pStyle w:val="NormalWeb"/>
        <w:spacing w:before="0" w:beforeAutospacing="0" w:after="180" w:afterAutospacing="0"/>
        <w:rPr>
          <w:rFonts w:ascii="Aptos Display" w:hAnsi="Aptos Display"/>
          <w:sz w:val="26"/>
          <w:szCs w:val="26"/>
        </w:rPr>
      </w:pPr>
    </w:p>
    <w:p w14:paraId="78D60B2F" w14:textId="77777777" w:rsidR="00645232" w:rsidRDefault="00645232" w:rsidP="00694691">
      <w:pPr>
        <w:pStyle w:val="NormalWeb"/>
        <w:spacing w:before="0" w:beforeAutospacing="0" w:after="180" w:afterAutospacing="0"/>
        <w:rPr>
          <w:rFonts w:ascii="Aptos Display" w:hAnsi="Aptos Display"/>
          <w:sz w:val="26"/>
          <w:szCs w:val="26"/>
        </w:rPr>
      </w:pPr>
    </w:p>
    <w:p w14:paraId="064336B7" w14:textId="77777777" w:rsidR="00645232" w:rsidRDefault="00645232" w:rsidP="00694691">
      <w:pPr>
        <w:pStyle w:val="NormalWeb"/>
        <w:spacing w:before="0" w:beforeAutospacing="0" w:after="180" w:afterAutospacing="0"/>
        <w:rPr>
          <w:rFonts w:ascii="Aptos Display" w:hAnsi="Aptos Display"/>
          <w:sz w:val="26"/>
          <w:szCs w:val="26"/>
        </w:rPr>
      </w:pPr>
    </w:p>
    <w:p w14:paraId="576F5468" w14:textId="77777777" w:rsidR="00BF5249" w:rsidRDefault="00BF5249" w:rsidP="00694691">
      <w:pPr>
        <w:pStyle w:val="NormalWeb"/>
        <w:spacing w:before="0" w:beforeAutospacing="0" w:after="180" w:afterAutospacing="0"/>
        <w:rPr>
          <w:rFonts w:ascii="Aptos Display" w:hAnsi="Aptos Display"/>
          <w:sz w:val="26"/>
          <w:szCs w:val="26"/>
        </w:rPr>
      </w:pPr>
    </w:p>
    <w:p w14:paraId="619697C7" w14:textId="77777777" w:rsidR="00694691" w:rsidRPr="00694691" w:rsidRDefault="00694691" w:rsidP="00694691">
      <w:pPr>
        <w:pStyle w:val="NormalWeb"/>
        <w:spacing w:before="0" w:beforeAutospacing="0" w:after="180" w:afterAutospacing="0"/>
        <w:rPr>
          <w:rFonts w:ascii="Aptos Display" w:hAnsi="Aptos Display"/>
          <w:sz w:val="26"/>
          <w:szCs w:val="26"/>
        </w:rPr>
      </w:pPr>
    </w:p>
    <w:p w14:paraId="2E25BBA6" w14:textId="48A5B7D7" w:rsidR="00AA7339" w:rsidRPr="002272AE" w:rsidRDefault="00891701" w:rsidP="002272AE">
      <w:pPr>
        <w:pStyle w:val="NormalWeb"/>
        <w:rPr>
          <w:rFonts w:ascii="Aptos Display" w:hAnsi="Aptos Display"/>
          <w:b/>
          <w:bCs/>
          <w:sz w:val="26"/>
          <w:szCs w:val="26"/>
        </w:rPr>
      </w:pPr>
      <w:r w:rsidRPr="0038285D">
        <w:rPr>
          <w:rFonts w:ascii="Aptos Display" w:hAnsi="Aptos Display"/>
          <w:b/>
          <w:bCs/>
          <w:sz w:val="26"/>
          <w:szCs w:val="26"/>
        </w:rPr>
        <w:lastRenderedPageBreak/>
        <w:t>References</w:t>
      </w:r>
    </w:p>
    <w:p w14:paraId="484E6D28" w14:textId="77777777" w:rsidR="00BF5249" w:rsidRPr="004F71D7" w:rsidRDefault="00BF5249" w:rsidP="00BF5249">
      <w:pPr>
        <w:rPr>
          <w:rFonts w:asciiTheme="majorHAnsi" w:eastAsia="Times New Roman" w:hAnsiTheme="majorHAnsi"/>
          <w:color w:val="EE0000"/>
          <w:sz w:val="26"/>
          <w:szCs w:val="26"/>
        </w:rPr>
      </w:pPr>
      <w:r w:rsidRPr="004F71D7">
        <w:rPr>
          <w:rFonts w:asciiTheme="majorHAnsi" w:hAnsiTheme="majorHAnsi" w:cs="Times New Roman"/>
          <w:sz w:val="26"/>
          <w:szCs w:val="26"/>
        </w:rPr>
        <w:t xml:space="preserve">ACAS (2024) Constructive dismissal. Available at: </w:t>
      </w:r>
      <w:hyperlink r:id="rId29" w:history="1">
        <w:r w:rsidRPr="004F71D7">
          <w:rPr>
            <w:rStyle w:val="Hyperlink"/>
            <w:rFonts w:asciiTheme="majorHAnsi" w:hAnsiTheme="majorHAnsi" w:cs="Times New Roman"/>
            <w:color w:val="auto"/>
            <w:sz w:val="26"/>
            <w:szCs w:val="26"/>
            <w:u w:val="none"/>
          </w:rPr>
          <w:t>https://www.acas.org.uk/dismissals/constructive-dismissal</w:t>
        </w:r>
      </w:hyperlink>
      <w:r w:rsidRPr="004F71D7">
        <w:rPr>
          <w:rFonts w:asciiTheme="majorHAnsi" w:hAnsiTheme="majorHAnsi" w:cs="Times New Roman"/>
          <w:sz w:val="26"/>
          <w:szCs w:val="26"/>
        </w:rPr>
        <w:t xml:space="preserve"> </w:t>
      </w:r>
    </w:p>
    <w:p w14:paraId="03BE7246" w14:textId="77777777" w:rsidR="00BF5249" w:rsidRPr="004F71D7" w:rsidRDefault="00BF5249" w:rsidP="00BF5249">
      <w:pPr>
        <w:pStyle w:val="NormalWeb"/>
        <w:spacing w:before="0" w:beforeAutospacing="0" w:after="180" w:afterAutospacing="0"/>
        <w:rPr>
          <w:rFonts w:asciiTheme="majorHAnsi" w:hAnsiTheme="majorHAnsi"/>
          <w:sz w:val="26"/>
          <w:szCs w:val="26"/>
        </w:rPr>
      </w:pPr>
      <w:r w:rsidRPr="004F71D7">
        <w:rPr>
          <w:rFonts w:asciiTheme="majorHAnsi" w:hAnsiTheme="majorHAnsi" w:cs="Times New Roman"/>
          <w:sz w:val="26"/>
          <w:szCs w:val="26"/>
        </w:rPr>
        <w:t xml:space="preserve">ACAS (2024) Discrimination and the law. Available at: </w:t>
      </w:r>
      <w:hyperlink r:id="rId30" w:history="1">
        <w:r w:rsidRPr="004F71D7">
          <w:rPr>
            <w:rStyle w:val="Hyperlink"/>
            <w:rFonts w:asciiTheme="majorHAnsi" w:hAnsiTheme="majorHAnsi" w:cs="Times New Roman"/>
            <w:color w:val="auto"/>
            <w:sz w:val="26"/>
            <w:szCs w:val="26"/>
            <w:u w:val="none"/>
          </w:rPr>
          <w:t>https://www.acas.org.uk/discrimination-and-the-law</w:t>
        </w:r>
      </w:hyperlink>
      <w:r w:rsidRPr="004F71D7">
        <w:rPr>
          <w:rFonts w:asciiTheme="majorHAnsi" w:hAnsiTheme="majorHAnsi" w:cs="Times New Roman"/>
          <w:sz w:val="26"/>
          <w:szCs w:val="26"/>
        </w:rPr>
        <w:t xml:space="preserve"> </w:t>
      </w:r>
    </w:p>
    <w:p w14:paraId="3C3299A2" w14:textId="77777777" w:rsidR="00BF5249" w:rsidRPr="004F71D7" w:rsidRDefault="00BF5249" w:rsidP="00BF5249">
      <w:pPr>
        <w:pStyle w:val="NormalWeb"/>
        <w:rPr>
          <w:rFonts w:asciiTheme="majorHAnsi" w:hAnsiTheme="majorHAnsi"/>
          <w:sz w:val="26"/>
          <w:szCs w:val="26"/>
        </w:rPr>
      </w:pPr>
      <w:r w:rsidRPr="004F71D7">
        <w:rPr>
          <w:rFonts w:asciiTheme="majorHAnsi" w:hAnsiTheme="majorHAnsi"/>
          <w:sz w:val="26"/>
          <w:szCs w:val="26"/>
        </w:rPr>
        <w:t>ACAS (2024) Employment law. Available at: </w:t>
      </w:r>
      <w:hyperlink r:id="rId31" w:history="1">
        <w:r w:rsidRPr="004F71D7">
          <w:rPr>
            <w:rStyle w:val="Hyperlink"/>
            <w:rFonts w:asciiTheme="majorHAnsi" w:hAnsiTheme="majorHAnsi"/>
            <w:color w:val="auto"/>
            <w:sz w:val="26"/>
            <w:szCs w:val="26"/>
            <w:u w:val="none"/>
          </w:rPr>
          <w:t>https://www.acas.org.uk/employment-law</w:t>
        </w:r>
      </w:hyperlink>
      <w:r w:rsidRPr="004F71D7">
        <w:rPr>
          <w:rFonts w:asciiTheme="majorHAnsi" w:hAnsiTheme="majorHAnsi"/>
          <w:sz w:val="26"/>
          <w:szCs w:val="26"/>
        </w:rPr>
        <w:t> </w:t>
      </w:r>
    </w:p>
    <w:p w14:paraId="7C3CAA26" w14:textId="77777777" w:rsidR="00BF5249" w:rsidRPr="004F71D7" w:rsidRDefault="00BF5249" w:rsidP="00BF5249">
      <w:pPr>
        <w:pStyle w:val="NormalWeb"/>
        <w:spacing w:before="0" w:beforeAutospacing="0" w:after="180" w:afterAutospacing="0"/>
        <w:rPr>
          <w:rFonts w:asciiTheme="majorHAnsi" w:hAnsiTheme="majorHAnsi"/>
          <w:sz w:val="26"/>
          <w:szCs w:val="26"/>
        </w:rPr>
      </w:pPr>
      <w:r w:rsidRPr="004F71D7">
        <w:rPr>
          <w:rFonts w:asciiTheme="majorHAnsi" w:hAnsiTheme="majorHAnsi" w:cs="Times New Roman"/>
          <w:sz w:val="26"/>
          <w:szCs w:val="26"/>
        </w:rPr>
        <w:t xml:space="preserve">ACAS (2024) Equal pay. Available at: </w:t>
      </w:r>
      <w:hyperlink r:id="rId32" w:history="1">
        <w:r w:rsidRPr="004F71D7">
          <w:rPr>
            <w:rStyle w:val="Hyperlink"/>
            <w:rFonts w:asciiTheme="majorHAnsi" w:hAnsiTheme="majorHAnsi" w:cs="Times New Roman"/>
            <w:color w:val="auto"/>
            <w:sz w:val="26"/>
            <w:szCs w:val="26"/>
            <w:u w:val="none"/>
          </w:rPr>
          <w:t>https://www.acas.org.uk/equal-pay</w:t>
        </w:r>
      </w:hyperlink>
      <w:r w:rsidRPr="004F71D7">
        <w:rPr>
          <w:rFonts w:asciiTheme="majorHAnsi" w:hAnsiTheme="majorHAnsi" w:cs="Times New Roman"/>
          <w:sz w:val="26"/>
          <w:szCs w:val="26"/>
        </w:rPr>
        <w:t xml:space="preserve"> </w:t>
      </w:r>
    </w:p>
    <w:p w14:paraId="3E586CE4" w14:textId="77777777" w:rsidR="00BF5249" w:rsidRPr="004F71D7" w:rsidRDefault="00BF5249" w:rsidP="00BF5249">
      <w:pPr>
        <w:pStyle w:val="NormalWeb"/>
        <w:spacing w:before="0" w:beforeAutospacing="0" w:after="180" w:afterAutospacing="0"/>
        <w:rPr>
          <w:rFonts w:asciiTheme="majorHAnsi" w:hAnsiTheme="majorHAnsi"/>
          <w:color w:val="EE0000"/>
          <w:sz w:val="26"/>
          <w:szCs w:val="26"/>
        </w:rPr>
      </w:pPr>
      <w:r w:rsidRPr="004F71D7">
        <w:rPr>
          <w:rFonts w:asciiTheme="majorHAnsi" w:hAnsiTheme="majorHAnsi" w:cs="Times New Roman"/>
          <w:color w:val="EE0000"/>
          <w:sz w:val="26"/>
          <w:szCs w:val="26"/>
        </w:rPr>
        <w:t xml:space="preserve">ACAS (2024) </w:t>
      </w:r>
      <w:r w:rsidRPr="004F71D7">
        <w:rPr>
          <w:rFonts w:asciiTheme="majorHAnsi" w:hAnsiTheme="majorHAnsi" w:cs="Times New Roman"/>
          <w:i/>
          <w:iCs/>
          <w:color w:val="EE0000"/>
          <w:sz w:val="26"/>
          <w:szCs w:val="26"/>
        </w:rPr>
        <w:t>Flexible working</w:t>
      </w:r>
      <w:r w:rsidRPr="004F71D7">
        <w:rPr>
          <w:rFonts w:asciiTheme="majorHAnsi" w:hAnsiTheme="majorHAnsi" w:cs="Times New Roman"/>
          <w:color w:val="EE0000"/>
          <w:sz w:val="26"/>
          <w:szCs w:val="26"/>
        </w:rPr>
        <w:t xml:space="preserve">. Available at: </w:t>
      </w:r>
      <w:hyperlink r:id="rId33" w:history="1">
        <w:r w:rsidRPr="004F71D7">
          <w:rPr>
            <w:rStyle w:val="Hyperlink"/>
            <w:rFonts w:asciiTheme="majorHAnsi" w:hAnsiTheme="majorHAnsi" w:cs="Times New Roman"/>
            <w:color w:val="EE0000"/>
            <w:sz w:val="26"/>
            <w:szCs w:val="26"/>
            <w:u w:val="none"/>
          </w:rPr>
          <w:t>https://www.acas.org.uk/flexible-working</w:t>
        </w:r>
      </w:hyperlink>
      <w:r w:rsidRPr="004F71D7">
        <w:rPr>
          <w:rFonts w:asciiTheme="majorHAnsi" w:hAnsiTheme="majorHAnsi" w:cs="Times New Roman"/>
          <w:color w:val="EE0000"/>
          <w:sz w:val="26"/>
          <w:szCs w:val="26"/>
        </w:rPr>
        <w:t xml:space="preserve"> </w:t>
      </w:r>
    </w:p>
    <w:p w14:paraId="61562EAF" w14:textId="77777777" w:rsidR="00BF5249" w:rsidRPr="004F71D7" w:rsidRDefault="00BF5249" w:rsidP="00BF5249">
      <w:pPr>
        <w:pStyle w:val="NormalWeb"/>
        <w:spacing w:before="0" w:beforeAutospacing="0" w:after="180" w:afterAutospacing="0"/>
        <w:rPr>
          <w:rFonts w:asciiTheme="majorHAnsi" w:hAnsiTheme="majorHAnsi"/>
          <w:sz w:val="26"/>
          <w:szCs w:val="26"/>
        </w:rPr>
      </w:pPr>
      <w:r w:rsidRPr="004F71D7">
        <w:rPr>
          <w:rFonts w:asciiTheme="majorHAnsi" w:hAnsiTheme="majorHAnsi" w:cs="Times New Roman"/>
          <w:sz w:val="26"/>
          <w:szCs w:val="26"/>
        </w:rPr>
        <w:t xml:space="preserve">ACAS (2024) Holiday pay. Available at: </w:t>
      </w:r>
      <w:hyperlink r:id="rId34" w:history="1">
        <w:r w:rsidRPr="004F71D7">
          <w:rPr>
            <w:rStyle w:val="Hyperlink"/>
            <w:rFonts w:asciiTheme="majorHAnsi" w:hAnsiTheme="majorHAnsi" w:cs="Times New Roman"/>
            <w:color w:val="auto"/>
            <w:sz w:val="26"/>
            <w:szCs w:val="26"/>
            <w:u w:val="none"/>
          </w:rPr>
          <w:t>https://www.acas.org.uk/checking-holiday-entitlement/holiday-pay</w:t>
        </w:r>
      </w:hyperlink>
      <w:r w:rsidRPr="004F71D7">
        <w:rPr>
          <w:rFonts w:asciiTheme="majorHAnsi" w:hAnsiTheme="majorHAnsi" w:cs="Times New Roman"/>
          <w:sz w:val="26"/>
          <w:szCs w:val="26"/>
        </w:rPr>
        <w:t xml:space="preserve"> </w:t>
      </w:r>
    </w:p>
    <w:p w14:paraId="4249D0D5" w14:textId="77777777" w:rsidR="00BF5249" w:rsidRPr="004F71D7" w:rsidRDefault="00BF5249" w:rsidP="00BF5249">
      <w:pPr>
        <w:pStyle w:val="NormalWeb"/>
        <w:spacing w:before="0" w:beforeAutospacing="0" w:after="180" w:afterAutospacing="0"/>
        <w:rPr>
          <w:rFonts w:asciiTheme="majorHAnsi" w:hAnsiTheme="majorHAnsi"/>
          <w:sz w:val="26"/>
          <w:szCs w:val="26"/>
        </w:rPr>
      </w:pPr>
      <w:r w:rsidRPr="004F71D7">
        <w:rPr>
          <w:rFonts w:asciiTheme="majorHAnsi" w:hAnsiTheme="majorHAnsi" w:cs="Times New Roman"/>
          <w:sz w:val="26"/>
          <w:szCs w:val="26"/>
        </w:rPr>
        <w:t xml:space="preserve">ACAS (2024) Redundancy. Available at: </w:t>
      </w:r>
      <w:hyperlink r:id="rId35" w:history="1">
        <w:r w:rsidRPr="004F71D7">
          <w:rPr>
            <w:rStyle w:val="Hyperlink"/>
            <w:rFonts w:asciiTheme="majorHAnsi" w:hAnsiTheme="majorHAnsi" w:cs="Times New Roman"/>
            <w:color w:val="auto"/>
            <w:sz w:val="26"/>
            <w:szCs w:val="26"/>
            <w:u w:val="none"/>
          </w:rPr>
          <w:t>https://www.acas.org.uk/redundancy</w:t>
        </w:r>
      </w:hyperlink>
      <w:r w:rsidRPr="004F71D7">
        <w:rPr>
          <w:rFonts w:asciiTheme="majorHAnsi" w:hAnsiTheme="majorHAnsi" w:cs="Times New Roman"/>
          <w:sz w:val="26"/>
          <w:szCs w:val="26"/>
        </w:rPr>
        <w:t xml:space="preserve"> </w:t>
      </w:r>
    </w:p>
    <w:p w14:paraId="24DD4C61" w14:textId="77777777" w:rsidR="00BF5249" w:rsidRPr="004F71D7" w:rsidRDefault="00BF5249" w:rsidP="00BF5249">
      <w:pPr>
        <w:pStyle w:val="NormalWeb"/>
        <w:spacing w:before="0" w:beforeAutospacing="0" w:after="180" w:afterAutospacing="0"/>
        <w:rPr>
          <w:rFonts w:asciiTheme="majorHAnsi" w:hAnsiTheme="majorHAnsi"/>
          <w:sz w:val="26"/>
          <w:szCs w:val="26"/>
        </w:rPr>
      </w:pPr>
      <w:r w:rsidRPr="004F71D7">
        <w:rPr>
          <w:rFonts w:asciiTheme="majorHAnsi" w:hAnsiTheme="majorHAnsi" w:cs="Times New Roman"/>
          <w:sz w:val="26"/>
          <w:szCs w:val="26"/>
        </w:rPr>
        <w:t xml:space="preserve">ACAS (2024) Shared parental leave and pay. Available at: </w:t>
      </w:r>
      <w:hyperlink r:id="rId36" w:history="1">
        <w:r w:rsidRPr="004F71D7">
          <w:rPr>
            <w:rStyle w:val="Hyperlink"/>
            <w:rFonts w:asciiTheme="majorHAnsi" w:hAnsiTheme="majorHAnsi" w:cs="Times New Roman"/>
            <w:color w:val="auto"/>
            <w:sz w:val="26"/>
            <w:szCs w:val="26"/>
            <w:u w:val="none"/>
          </w:rPr>
          <w:t>https://www.acas.org.uk/shared-parental-leave-and-pay</w:t>
        </w:r>
      </w:hyperlink>
      <w:r w:rsidRPr="004F71D7">
        <w:rPr>
          <w:rFonts w:asciiTheme="majorHAnsi" w:hAnsiTheme="majorHAnsi" w:cs="Times New Roman"/>
          <w:sz w:val="26"/>
          <w:szCs w:val="26"/>
        </w:rPr>
        <w:t xml:space="preserve"> </w:t>
      </w:r>
    </w:p>
    <w:p w14:paraId="58C7E646" w14:textId="77777777" w:rsidR="00BF5249" w:rsidRDefault="00BF5249" w:rsidP="00BF5249">
      <w:pPr>
        <w:pStyle w:val="NormalWeb"/>
        <w:spacing w:before="0" w:beforeAutospacing="0" w:after="0" w:afterAutospacing="0"/>
        <w:rPr>
          <w:rFonts w:asciiTheme="majorHAnsi" w:hAnsiTheme="majorHAnsi"/>
          <w:sz w:val="26"/>
          <w:szCs w:val="26"/>
        </w:rPr>
      </w:pPr>
      <w:r w:rsidRPr="004F71D7">
        <w:rPr>
          <w:rFonts w:asciiTheme="majorHAnsi" w:hAnsiTheme="majorHAnsi"/>
          <w:sz w:val="26"/>
          <w:szCs w:val="26"/>
        </w:rPr>
        <w:t xml:space="preserve">ACAS (2024) TUPE transfers. Available at: </w:t>
      </w:r>
      <w:hyperlink r:id="rId37" w:history="1">
        <w:r w:rsidRPr="004F71D7">
          <w:rPr>
            <w:rStyle w:val="Hyperlink"/>
            <w:rFonts w:asciiTheme="majorHAnsi" w:hAnsiTheme="majorHAnsi"/>
            <w:color w:val="auto"/>
            <w:sz w:val="26"/>
            <w:szCs w:val="26"/>
            <w:u w:val="none"/>
          </w:rPr>
          <w:t>https://www.acas.org.uk/tupe</w:t>
        </w:r>
      </w:hyperlink>
      <w:r w:rsidRPr="004F71D7">
        <w:rPr>
          <w:rFonts w:asciiTheme="majorHAnsi" w:hAnsiTheme="majorHAnsi"/>
          <w:sz w:val="26"/>
          <w:szCs w:val="26"/>
        </w:rPr>
        <w:t xml:space="preserve"> </w:t>
      </w:r>
    </w:p>
    <w:p w14:paraId="07D9FEC0" w14:textId="77777777" w:rsidR="00BF5249" w:rsidRPr="004F71D7" w:rsidRDefault="00BF5249" w:rsidP="00BF5249">
      <w:pPr>
        <w:pStyle w:val="NormalWeb"/>
        <w:spacing w:before="0" w:beforeAutospacing="0" w:after="0" w:afterAutospacing="0"/>
        <w:rPr>
          <w:rFonts w:asciiTheme="majorHAnsi" w:hAnsiTheme="majorHAnsi"/>
          <w:sz w:val="26"/>
          <w:szCs w:val="26"/>
        </w:rPr>
      </w:pPr>
    </w:p>
    <w:p w14:paraId="510EADC4" w14:textId="77777777" w:rsidR="00BF5249" w:rsidRPr="004F71D7" w:rsidRDefault="00BF5249" w:rsidP="00BF5249">
      <w:pPr>
        <w:pStyle w:val="NormalWeb"/>
        <w:spacing w:before="0" w:beforeAutospacing="0" w:after="180" w:afterAutospacing="0"/>
        <w:rPr>
          <w:rFonts w:asciiTheme="majorHAnsi" w:hAnsiTheme="majorHAnsi"/>
          <w:color w:val="EE0000"/>
          <w:sz w:val="26"/>
          <w:szCs w:val="26"/>
        </w:rPr>
      </w:pPr>
      <w:proofErr w:type="spellStart"/>
      <w:r w:rsidRPr="004F71D7">
        <w:rPr>
          <w:rFonts w:asciiTheme="majorHAnsi" w:hAnsiTheme="majorHAnsi" w:cs="Times New Roman"/>
          <w:color w:val="EE0000"/>
          <w:sz w:val="26"/>
          <w:szCs w:val="26"/>
        </w:rPr>
        <w:t>Acas</w:t>
      </w:r>
      <w:proofErr w:type="spellEnd"/>
      <w:r w:rsidRPr="004F71D7">
        <w:rPr>
          <w:rFonts w:asciiTheme="majorHAnsi" w:hAnsiTheme="majorHAnsi" w:cs="Times New Roman"/>
          <w:color w:val="EE0000"/>
          <w:sz w:val="26"/>
          <w:szCs w:val="26"/>
        </w:rPr>
        <w:t xml:space="preserve"> (2025) </w:t>
      </w:r>
      <w:r w:rsidRPr="004F71D7">
        <w:rPr>
          <w:rFonts w:asciiTheme="majorHAnsi" w:hAnsiTheme="majorHAnsi"/>
          <w:i/>
          <w:iCs/>
          <w:color w:val="EE0000"/>
          <w:sz w:val="26"/>
          <w:szCs w:val="26"/>
        </w:rPr>
        <w:t>Discrimination and the Equality Act 2010</w:t>
      </w:r>
      <w:r w:rsidRPr="004F71D7">
        <w:rPr>
          <w:rFonts w:asciiTheme="majorHAnsi" w:hAnsiTheme="majorHAnsi" w:cs="Times New Roman"/>
          <w:color w:val="EE0000"/>
          <w:sz w:val="26"/>
          <w:szCs w:val="26"/>
        </w:rPr>
        <w:t xml:space="preserve">. Available at: </w:t>
      </w:r>
      <w:proofErr w:type="spellStart"/>
      <w:r w:rsidRPr="004F71D7">
        <w:rPr>
          <w:rFonts w:asciiTheme="majorHAnsi" w:hAnsiTheme="majorHAnsi" w:cs="Times New Roman"/>
          <w:color w:val="EE0000"/>
          <w:sz w:val="26"/>
          <w:szCs w:val="26"/>
        </w:rPr>
        <w:t>Acas</w:t>
      </w:r>
      <w:proofErr w:type="spellEnd"/>
      <w:r w:rsidRPr="004F71D7">
        <w:rPr>
          <w:rFonts w:asciiTheme="majorHAnsi" w:hAnsiTheme="majorHAnsi" w:cs="Times New Roman"/>
          <w:color w:val="EE0000"/>
          <w:sz w:val="26"/>
          <w:szCs w:val="26"/>
        </w:rPr>
        <w:t xml:space="preserve"> – Discrimination and the Equality Act 2010</w:t>
      </w:r>
      <w:r w:rsidRPr="004F71D7">
        <w:rPr>
          <w:rFonts w:ascii="Segoe UI Symbol" w:hAnsi="Segoe UI Symbol" w:cs="Segoe UI Symbol"/>
          <w:color w:val="EE0000"/>
          <w:sz w:val="26"/>
          <w:szCs w:val="26"/>
        </w:rPr>
        <w:t>⁠</w:t>
      </w:r>
      <w:r w:rsidRPr="004F71D7">
        <w:rPr>
          <w:rFonts w:asciiTheme="majorHAnsi" w:hAnsiTheme="majorHAnsi" w:cs="Times New Roman"/>
          <w:color w:val="EE0000"/>
          <w:sz w:val="26"/>
          <w:szCs w:val="26"/>
        </w:rPr>
        <w:t xml:space="preserve"> </w:t>
      </w:r>
    </w:p>
    <w:p w14:paraId="3B2D23E0" w14:textId="77777777" w:rsidR="00BF5249" w:rsidRPr="004F71D7" w:rsidRDefault="00BF5249" w:rsidP="00BF5249">
      <w:pPr>
        <w:pStyle w:val="NormalWeb"/>
        <w:spacing w:before="0" w:beforeAutospacing="0" w:after="180" w:afterAutospacing="0"/>
        <w:rPr>
          <w:rFonts w:asciiTheme="majorHAnsi" w:hAnsiTheme="majorHAnsi"/>
          <w:sz w:val="26"/>
          <w:szCs w:val="26"/>
        </w:rPr>
      </w:pPr>
      <w:r w:rsidRPr="004F71D7">
        <w:rPr>
          <w:rFonts w:asciiTheme="majorHAnsi" w:hAnsiTheme="majorHAnsi" w:cs="Times New Roman"/>
          <w:sz w:val="26"/>
          <w:szCs w:val="26"/>
        </w:rPr>
        <w:t xml:space="preserve">Chartered Institute of Personnel and Development (CIPD) (2024) Diversity and inclusion in recruitment. Available at: </w:t>
      </w:r>
      <w:hyperlink r:id="rId38" w:history="1">
        <w:r w:rsidRPr="004F71D7">
          <w:rPr>
            <w:rStyle w:val="Hyperlink"/>
            <w:rFonts w:asciiTheme="majorHAnsi" w:hAnsiTheme="majorHAnsi" w:cs="Times New Roman"/>
            <w:color w:val="auto"/>
            <w:sz w:val="26"/>
            <w:szCs w:val="26"/>
            <w:u w:val="none"/>
          </w:rPr>
          <w:t>https://www.cipd.org/uk/knowledge/factsheets/diversity-recruitment-factsheet/</w:t>
        </w:r>
      </w:hyperlink>
      <w:r w:rsidRPr="004F71D7">
        <w:rPr>
          <w:rFonts w:asciiTheme="majorHAnsi" w:hAnsiTheme="majorHAnsi" w:cs="Times New Roman"/>
          <w:sz w:val="26"/>
          <w:szCs w:val="26"/>
        </w:rPr>
        <w:t xml:space="preserve"> </w:t>
      </w:r>
    </w:p>
    <w:p w14:paraId="4DC622E3" w14:textId="77777777" w:rsidR="00BF5249" w:rsidRPr="004F71D7" w:rsidRDefault="00BF5249" w:rsidP="00BF5249">
      <w:pPr>
        <w:pStyle w:val="NormalWeb"/>
        <w:spacing w:before="0" w:beforeAutospacing="0" w:after="180" w:afterAutospacing="0"/>
        <w:rPr>
          <w:rFonts w:asciiTheme="majorHAnsi" w:hAnsiTheme="majorHAnsi"/>
          <w:sz w:val="26"/>
          <w:szCs w:val="26"/>
        </w:rPr>
      </w:pPr>
      <w:r w:rsidRPr="004F71D7">
        <w:rPr>
          <w:rFonts w:asciiTheme="majorHAnsi" w:hAnsiTheme="majorHAnsi" w:cs="Times New Roman"/>
          <w:sz w:val="26"/>
          <w:szCs w:val="26"/>
        </w:rPr>
        <w:t xml:space="preserve">Chartered Institute of Personnel and Development (CIPD) (2024) Dismissal factsheet. Available at: </w:t>
      </w:r>
      <w:hyperlink r:id="rId39" w:history="1">
        <w:r w:rsidRPr="004F71D7">
          <w:rPr>
            <w:rStyle w:val="Hyperlink"/>
            <w:rFonts w:asciiTheme="majorHAnsi" w:hAnsiTheme="majorHAnsi" w:cs="Times New Roman"/>
            <w:color w:val="auto"/>
            <w:sz w:val="26"/>
            <w:szCs w:val="26"/>
            <w:u w:val="none"/>
          </w:rPr>
          <w:t>https://www.cipd.org/uk/knowledge/factsheets/dismissal-factsheet/</w:t>
        </w:r>
      </w:hyperlink>
      <w:r w:rsidRPr="004F71D7">
        <w:rPr>
          <w:rFonts w:asciiTheme="majorHAnsi" w:hAnsiTheme="majorHAnsi" w:cs="Times New Roman"/>
          <w:sz w:val="26"/>
          <w:szCs w:val="26"/>
        </w:rPr>
        <w:t xml:space="preserve"> </w:t>
      </w:r>
    </w:p>
    <w:p w14:paraId="4535487D" w14:textId="77777777" w:rsidR="00BF5249" w:rsidRPr="004F71D7" w:rsidRDefault="00BF5249" w:rsidP="00BF5249">
      <w:pPr>
        <w:pStyle w:val="NormalWeb"/>
        <w:rPr>
          <w:rFonts w:asciiTheme="majorHAnsi" w:hAnsiTheme="majorHAnsi"/>
          <w:sz w:val="26"/>
          <w:szCs w:val="26"/>
        </w:rPr>
      </w:pPr>
      <w:r w:rsidRPr="004F71D7">
        <w:rPr>
          <w:rFonts w:asciiTheme="majorHAnsi" w:hAnsiTheme="majorHAnsi"/>
          <w:sz w:val="26"/>
          <w:szCs w:val="26"/>
        </w:rPr>
        <w:t>Chartered Institute of Personnel and Development (CIPD) (2024) Employment law factsheets. Available at: </w:t>
      </w:r>
      <w:hyperlink r:id="rId40" w:history="1">
        <w:r w:rsidRPr="004F71D7">
          <w:rPr>
            <w:rStyle w:val="Hyperlink"/>
            <w:rFonts w:asciiTheme="majorHAnsi" w:hAnsiTheme="majorHAnsi"/>
            <w:color w:val="auto"/>
            <w:sz w:val="26"/>
            <w:szCs w:val="26"/>
            <w:u w:val="none"/>
          </w:rPr>
          <w:t>https://www.cipd.org/uk/knowledge/fundamentals/emp-law/</w:t>
        </w:r>
      </w:hyperlink>
      <w:r w:rsidRPr="004F71D7">
        <w:rPr>
          <w:rFonts w:asciiTheme="majorHAnsi" w:hAnsiTheme="majorHAnsi"/>
          <w:sz w:val="26"/>
          <w:szCs w:val="26"/>
        </w:rPr>
        <w:t> </w:t>
      </w:r>
    </w:p>
    <w:p w14:paraId="282ABE13" w14:textId="77777777" w:rsidR="00BF5249" w:rsidRPr="004F71D7" w:rsidRDefault="00BF5249" w:rsidP="00BF5249">
      <w:pPr>
        <w:pStyle w:val="NormalWeb"/>
        <w:spacing w:before="0" w:beforeAutospacing="0" w:after="180" w:afterAutospacing="0"/>
        <w:rPr>
          <w:rFonts w:asciiTheme="majorHAnsi" w:hAnsiTheme="majorHAnsi"/>
          <w:sz w:val="26"/>
          <w:szCs w:val="26"/>
        </w:rPr>
      </w:pPr>
      <w:r w:rsidRPr="004F71D7">
        <w:rPr>
          <w:rFonts w:asciiTheme="majorHAnsi" w:hAnsiTheme="majorHAnsi" w:cs="Times New Roman"/>
          <w:sz w:val="26"/>
          <w:szCs w:val="26"/>
        </w:rPr>
        <w:t xml:space="preserve">Chartered Institute of Personnel and Development (CIPD) (2024) Employment law and Brexit. Available at: </w:t>
      </w:r>
      <w:hyperlink r:id="rId41" w:history="1">
        <w:r w:rsidRPr="004F71D7">
          <w:rPr>
            <w:rStyle w:val="Hyperlink"/>
            <w:rFonts w:asciiTheme="majorHAnsi" w:hAnsiTheme="majorHAnsi" w:cs="Times New Roman"/>
            <w:color w:val="auto"/>
            <w:sz w:val="26"/>
            <w:szCs w:val="26"/>
            <w:u w:val="none"/>
          </w:rPr>
          <w:t>https://www.cipd.org/uk/knowledge/fundamentals/emp-law/uk-eu-referendum/</w:t>
        </w:r>
      </w:hyperlink>
      <w:r w:rsidRPr="004F71D7">
        <w:rPr>
          <w:rFonts w:asciiTheme="majorHAnsi" w:hAnsiTheme="majorHAnsi" w:cs="Times New Roman"/>
          <w:sz w:val="26"/>
          <w:szCs w:val="26"/>
        </w:rPr>
        <w:t xml:space="preserve"> </w:t>
      </w:r>
    </w:p>
    <w:p w14:paraId="0ACAB081" w14:textId="77777777" w:rsidR="00BF5249" w:rsidRPr="004F71D7" w:rsidRDefault="00BF5249" w:rsidP="00BF5249">
      <w:pPr>
        <w:pStyle w:val="NormalWeb"/>
        <w:spacing w:before="0" w:beforeAutospacing="0" w:after="180" w:afterAutospacing="0"/>
        <w:rPr>
          <w:rFonts w:asciiTheme="majorHAnsi" w:hAnsiTheme="majorHAnsi"/>
          <w:sz w:val="26"/>
          <w:szCs w:val="26"/>
        </w:rPr>
      </w:pPr>
      <w:r w:rsidRPr="004F71D7">
        <w:rPr>
          <w:rFonts w:asciiTheme="majorHAnsi" w:hAnsiTheme="majorHAnsi" w:cs="Times New Roman"/>
          <w:sz w:val="26"/>
          <w:szCs w:val="26"/>
        </w:rPr>
        <w:t xml:space="preserve">Chartered Institute of Personnel and Development (CIPD) (2024) Equal pay factsheet. Available at: </w:t>
      </w:r>
      <w:hyperlink r:id="rId42" w:history="1">
        <w:r w:rsidRPr="004F71D7">
          <w:rPr>
            <w:rStyle w:val="Hyperlink"/>
            <w:rFonts w:asciiTheme="majorHAnsi" w:hAnsiTheme="majorHAnsi" w:cs="Times New Roman"/>
            <w:color w:val="auto"/>
            <w:sz w:val="26"/>
            <w:szCs w:val="26"/>
            <w:u w:val="none"/>
          </w:rPr>
          <w:t>https://www.cipd.org/uk/knowledge/factsheets/equal-pay-factsheet/</w:t>
        </w:r>
      </w:hyperlink>
      <w:r w:rsidRPr="004F71D7">
        <w:rPr>
          <w:rFonts w:asciiTheme="majorHAnsi" w:hAnsiTheme="majorHAnsi" w:cs="Times New Roman"/>
          <w:sz w:val="26"/>
          <w:szCs w:val="26"/>
        </w:rPr>
        <w:t xml:space="preserve"> </w:t>
      </w:r>
    </w:p>
    <w:p w14:paraId="1CE1F0EC" w14:textId="77777777" w:rsidR="00BF5249" w:rsidRPr="004F71D7" w:rsidRDefault="00BF5249" w:rsidP="00BF5249">
      <w:pPr>
        <w:pStyle w:val="NormalWeb"/>
        <w:spacing w:before="0" w:beforeAutospacing="0" w:after="180" w:afterAutospacing="0"/>
        <w:rPr>
          <w:rFonts w:asciiTheme="majorHAnsi" w:hAnsiTheme="majorHAnsi"/>
          <w:color w:val="EE0000"/>
          <w:sz w:val="26"/>
          <w:szCs w:val="26"/>
        </w:rPr>
      </w:pPr>
      <w:r w:rsidRPr="004F71D7">
        <w:rPr>
          <w:rFonts w:asciiTheme="majorHAnsi" w:hAnsiTheme="majorHAnsi" w:cs="Times New Roman"/>
          <w:color w:val="EE0000"/>
          <w:sz w:val="26"/>
          <w:szCs w:val="26"/>
        </w:rPr>
        <w:lastRenderedPageBreak/>
        <w:t xml:space="preserve">Chartered Institute of Personnel and Development (CIPD) (2024) </w:t>
      </w:r>
      <w:r w:rsidRPr="004F71D7">
        <w:rPr>
          <w:rFonts w:asciiTheme="majorHAnsi" w:hAnsiTheme="majorHAnsi" w:cs="Times New Roman"/>
          <w:i/>
          <w:iCs/>
          <w:color w:val="EE0000"/>
          <w:sz w:val="26"/>
          <w:szCs w:val="26"/>
        </w:rPr>
        <w:t>Family-friendly leave factsheet</w:t>
      </w:r>
      <w:r w:rsidRPr="004F71D7">
        <w:rPr>
          <w:rFonts w:asciiTheme="majorHAnsi" w:hAnsiTheme="majorHAnsi" w:cs="Times New Roman"/>
          <w:color w:val="EE0000"/>
          <w:sz w:val="26"/>
          <w:szCs w:val="26"/>
        </w:rPr>
        <w:t xml:space="preserve">. Available at: </w:t>
      </w:r>
      <w:hyperlink r:id="rId43" w:history="1">
        <w:r w:rsidRPr="004F71D7">
          <w:rPr>
            <w:rStyle w:val="Hyperlink"/>
            <w:rFonts w:asciiTheme="majorHAnsi" w:hAnsiTheme="majorHAnsi" w:cs="Times New Roman"/>
            <w:color w:val="EE0000"/>
            <w:sz w:val="26"/>
            <w:szCs w:val="26"/>
            <w:u w:val="none"/>
          </w:rPr>
          <w:t>https://www.cipd.org/uk/knowledge/factsheets/family-friendly-leave-factsheet/</w:t>
        </w:r>
      </w:hyperlink>
      <w:r w:rsidRPr="004F71D7">
        <w:rPr>
          <w:rFonts w:asciiTheme="majorHAnsi" w:hAnsiTheme="majorHAnsi" w:cs="Times New Roman"/>
          <w:color w:val="EE0000"/>
          <w:sz w:val="26"/>
          <w:szCs w:val="26"/>
        </w:rPr>
        <w:t xml:space="preserve"> </w:t>
      </w:r>
    </w:p>
    <w:p w14:paraId="22E46015" w14:textId="77777777" w:rsidR="00BF5249" w:rsidRPr="004F71D7" w:rsidRDefault="00BF5249" w:rsidP="00BF5249">
      <w:pPr>
        <w:pStyle w:val="NormalWeb"/>
        <w:spacing w:before="0" w:beforeAutospacing="0" w:after="180" w:afterAutospacing="0"/>
        <w:rPr>
          <w:rFonts w:asciiTheme="majorHAnsi" w:hAnsiTheme="majorHAnsi"/>
          <w:color w:val="EE0000"/>
          <w:sz w:val="26"/>
          <w:szCs w:val="26"/>
        </w:rPr>
      </w:pPr>
      <w:r w:rsidRPr="004F71D7">
        <w:rPr>
          <w:rFonts w:asciiTheme="majorHAnsi" w:hAnsiTheme="majorHAnsi" w:cs="Times New Roman"/>
          <w:color w:val="EE0000"/>
          <w:sz w:val="26"/>
          <w:szCs w:val="26"/>
        </w:rPr>
        <w:t xml:space="preserve">Chartered Institute of Personnel and Development (CIPD) (2024) </w:t>
      </w:r>
      <w:r w:rsidRPr="004F71D7">
        <w:rPr>
          <w:rFonts w:asciiTheme="majorHAnsi" w:hAnsiTheme="majorHAnsi" w:cs="Times New Roman"/>
          <w:i/>
          <w:iCs/>
          <w:color w:val="EE0000"/>
          <w:sz w:val="26"/>
          <w:szCs w:val="26"/>
        </w:rPr>
        <w:t>Flexible working factsheet</w:t>
      </w:r>
      <w:r w:rsidRPr="004F71D7">
        <w:rPr>
          <w:rFonts w:asciiTheme="majorHAnsi" w:hAnsiTheme="majorHAnsi" w:cs="Times New Roman"/>
          <w:color w:val="EE0000"/>
          <w:sz w:val="26"/>
          <w:szCs w:val="26"/>
        </w:rPr>
        <w:t xml:space="preserve">. Available at: </w:t>
      </w:r>
      <w:hyperlink r:id="rId44" w:history="1">
        <w:r w:rsidRPr="004F71D7">
          <w:rPr>
            <w:rStyle w:val="Hyperlink"/>
            <w:rFonts w:asciiTheme="majorHAnsi" w:hAnsiTheme="majorHAnsi" w:cs="Times New Roman"/>
            <w:color w:val="EE0000"/>
            <w:sz w:val="26"/>
            <w:szCs w:val="26"/>
            <w:u w:val="none"/>
          </w:rPr>
          <w:t>https://www.cipd.org/uk/knowledge/factsheets/flexible-working-factsheet/</w:t>
        </w:r>
      </w:hyperlink>
      <w:r w:rsidRPr="004F71D7">
        <w:rPr>
          <w:rFonts w:asciiTheme="majorHAnsi" w:hAnsiTheme="majorHAnsi" w:cs="Times New Roman"/>
          <w:color w:val="EE0000"/>
          <w:sz w:val="26"/>
          <w:szCs w:val="26"/>
        </w:rPr>
        <w:t xml:space="preserve"> </w:t>
      </w:r>
    </w:p>
    <w:p w14:paraId="2E46D102" w14:textId="77777777" w:rsidR="00BF5249" w:rsidRPr="004F71D7" w:rsidRDefault="00BF5249" w:rsidP="00BF5249">
      <w:pPr>
        <w:pStyle w:val="NormalWeb"/>
        <w:spacing w:before="0" w:beforeAutospacing="0" w:after="180" w:afterAutospacing="0"/>
        <w:rPr>
          <w:rFonts w:asciiTheme="majorHAnsi" w:hAnsiTheme="majorHAnsi"/>
          <w:sz w:val="26"/>
          <w:szCs w:val="26"/>
        </w:rPr>
      </w:pPr>
      <w:r w:rsidRPr="004F71D7">
        <w:rPr>
          <w:rFonts w:asciiTheme="majorHAnsi" w:hAnsiTheme="majorHAnsi" w:cs="Times New Roman"/>
          <w:sz w:val="26"/>
          <w:szCs w:val="26"/>
        </w:rPr>
        <w:t xml:space="preserve">Chartered Institute of Personnel and Development (CIPD) (2024) Maternity, paternity and adoption leave factsheet. Available at: </w:t>
      </w:r>
      <w:hyperlink r:id="rId45" w:history="1">
        <w:r w:rsidRPr="004F71D7">
          <w:rPr>
            <w:rStyle w:val="Hyperlink"/>
            <w:rFonts w:asciiTheme="majorHAnsi" w:hAnsiTheme="majorHAnsi" w:cs="Times New Roman"/>
            <w:color w:val="auto"/>
            <w:sz w:val="26"/>
            <w:szCs w:val="26"/>
            <w:u w:val="none"/>
          </w:rPr>
          <w:t>https://www.cipd.org/uk/knowledge/factsheets/family-friendly-leave-factsheet/</w:t>
        </w:r>
      </w:hyperlink>
      <w:r w:rsidRPr="004F71D7">
        <w:rPr>
          <w:rFonts w:asciiTheme="majorHAnsi" w:hAnsiTheme="majorHAnsi" w:cs="Times New Roman"/>
          <w:sz w:val="26"/>
          <w:szCs w:val="26"/>
        </w:rPr>
        <w:t xml:space="preserve"> </w:t>
      </w:r>
    </w:p>
    <w:p w14:paraId="6DCD0939" w14:textId="77777777" w:rsidR="00BF5249" w:rsidRPr="004F71D7" w:rsidRDefault="00BF5249" w:rsidP="00BF5249">
      <w:pPr>
        <w:pStyle w:val="NormalWeb"/>
        <w:spacing w:before="0" w:beforeAutospacing="0" w:after="180" w:afterAutospacing="0"/>
        <w:rPr>
          <w:rFonts w:asciiTheme="majorHAnsi" w:hAnsiTheme="majorHAnsi"/>
          <w:sz w:val="26"/>
          <w:szCs w:val="26"/>
        </w:rPr>
      </w:pPr>
      <w:r w:rsidRPr="004F71D7">
        <w:rPr>
          <w:rFonts w:asciiTheme="majorHAnsi" w:hAnsiTheme="majorHAnsi" w:cs="Times New Roman"/>
          <w:sz w:val="26"/>
          <w:szCs w:val="26"/>
        </w:rPr>
        <w:t xml:space="preserve">Chartered Institute of Personnel and Development (CIPD) (2024) Redundancy factsheet. Available at: </w:t>
      </w:r>
      <w:hyperlink r:id="rId46" w:history="1">
        <w:r w:rsidRPr="004F71D7">
          <w:rPr>
            <w:rStyle w:val="Hyperlink"/>
            <w:rFonts w:asciiTheme="majorHAnsi" w:hAnsiTheme="majorHAnsi" w:cs="Times New Roman"/>
            <w:color w:val="auto"/>
            <w:sz w:val="26"/>
            <w:szCs w:val="26"/>
            <w:u w:val="none"/>
          </w:rPr>
          <w:t>https://www.cipd.org/uk/knowledge/factsheets/redundancy-factsheet/</w:t>
        </w:r>
      </w:hyperlink>
      <w:r w:rsidRPr="004F71D7">
        <w:rPr>
          <w:rFonts w:asciiTheme="majorHAnsi" w:hAnsiTheme="majorHAnsi" w:cs="Times New Roman"/>
          <w:sz w:val="26"/>
          <w:szCs w:val="26"/>
        </w:rPr>
        <w:t xml:space="preserve"> </w:t>
      </w:r>
    </w:p>
    <w:p w14:paraId="6DE7C531" w14:textId="77777777" w:rsidR="00BF5249" w:rsidRPr="004F71D7" w:rsidRDefault="00BF5249" w:rsidP="00BF5249">
      <w:pPr>
        <w:pStyle w:val="NormalWeb"/>
        <w:spacing w:before="0" w:beforeAutospacing="0" w:after="0" w:afterAutospacing="0"/>
        <w:rPr>
          <w:rFonts w:asciiTheme="majorHAnsi" w:hAnsiTheme="majorHAnsi"/>
          <w:sz w:val="26"/>
          <w:szCs w:val="26"/>
        </w:rPr>
      </w:pPr>
      <w:r w:rsidRPr="004F71D7">
        <w:rPr>
          <w:rFonts w:asciiTheme="majorHAnsi" w:hAnsiTheme="majorHAnsi"/>
          <w:sz w:val="26"/>
          <w:szCs w:val="26"/>
        </w:rPr>
        <w:t xml:space="preserve">Chartered Institute of Personnel and Development (CIPD) (2024) TUPE factsheet. Available at: </w:t>
      </w:r>
      <w:hyperlink r:id="rId47" w:history="1">
        <w:r w:rsidRPr="004F71D7">
          <w:rPr>
            <w:rStyle w:val="Hyperlink"/>
            <w:rFonts w:asciiTheme="majorHAnsi" w:hAnsiTheme="majorHAnsi"/>
            <w:color w:val="auto"/>
            <w:sz w:val="26"/>
            <w:szCs w:val="26"/>
            <w:u w:val="none"/>
          </w:rPr>
          <w:t>https://www.cipd.org/uk/knowledge/factsheets/tupe-factsheet/</w:t>
        </w:r>
      </w:hyperlink>
      <w:r w:rsidRPr="004F71D7">
        <w:rPr>
          <w:rFonts w:asciiTheme="majorHAnsi" w:hAnsiTheme="majorHAnsi"/>
          <w:sz w:val="26"/>
          <w:szCs w:val="26"/>
        </w:rPr>
        <w:t xml:space="preserve"> </w:t>
      </w:r>
    </w:p>
    <w:p w14:paraId="6F84E1CF" w14:textId="77777777" w:rsidR="00BF5249" w:rsidRPr="004F71D7" w:rsidRDefault="00BF5249" w:rsidP="00BF5249">
      <w:pPr>
        <w:pStyle w:val="NormalWeb"/>
        <w:spacing w:before="0" w:beforeAutospacing="0" w:after="180" w:afterAutospacing="0"/>
        <w:rPr>
          <w:rFonts w:asciiTheme="majorHAnsi" w:hAnsiTheme="majorHAnsi"/>
          <w:sz w:val="26"/>
          <w:szCs w:val="26"/>
        </w:rPr>
      </w:pPr>
      <w:r w:rsidRPr="004F71D7">
        <w:rPr>
          <w:rFonts w:asciiTheme="majorHAnsi" w:hAnsiTheme="majorHAnsi" w:cs="Times New Roman"/>
          <w:sz w:val="26"/>
          <w:szCs w:val="26"/>
        </w:rPr>
        <w:t xml:space="preserve">Chartered Institute of Personnel and Development (CIPD) (2024) Working time and holiday pay factsheet. Available at: </w:t>
      </w:r>
      <w:hyperlink r:id="rId48" w:history="1">
        <w:r w:rsidRPr="004F71D7">
          <w:rPr>
            <w:rStyle w:val="Hyperlink"/>
            <w:rFonts w:asciiTheme="majorHAnsi" w:hAnsiTheme="majorHAnsi" w:cs="Times New Roman"/>
            <w:color w:val="auto"/>
            <w:sz w:val="26"/>
            <w:szCs w:val="26"/>
            <w:u w:val="none"/>
          </w:rPr>
          <w:t>https://www.cipd.org/uk/knowledge/factsheets/working-time-factsheet/</w:t>
        </w:r>
      </w:hyperlink>
      <w:r w:rsidRPr="004F71D7">
        <w:rPr>
          <w:rFonts w:asciiTheme="majorHAnsi" w:hAnsiTheme="majorHAnsi" w:cs="Times New Roman"/>
          <w:sz w:val="26"/>
          <w:szCs w:val="26"/>
        </w:rPr>
        <w:t xml:space="preserve"> </w:t>
      </w:r>
    </w:p>
    <w:p w14:paraId="57D7A986" w14:textId="77777777" w:rsidR="00BF5249" w:rsidRPr="004F71D7" w:rsidRDefault="00BF5249" w:rsidP="00BF5249">
      <w:pPr>
        <w:pStyle w:val="NormalWeb"/>
        <w:spacing w:before="0" w:beforeAutospacing="0" w:after="180" w:afterAutospacing="0"/>
        <w:rPr>
          <w:rFonts w:asciiTheme="majorHAnsi" w:hAnsiTheme="majorHAnsi"/>
          <w:color w:val="EE0000"/>
          <w:sz w:val="26"/>
          <w:szCs w:val="26"/>
        </w:rPr>
      </w:pPr>
      <w:r w:rsidRPr="004F71D7">
        <w:rPr>
          <w:rFonts w:asciiTheme="majorHAnsi" w:hAnsiTheme="majorHAnsi" w:cs="Times New Roman"/>
          <w:color w:val="EE0000"/>
          <w:sz w:val="26"/>
          <w:szCs w:val="26"/>
        </w:rPr>
        <w:t xml:space="preserve">CIPD (2024) </w:t>
      </w:r>
      <w:r w:rsidRPr="004F71D7">
        <w:rPr>
          <w:rFonts w:asciiTheme="majorHAnsi" w:hAnsiTheme="majorHAnsi" w:cs="Times New Roman"/>
          <w:i/>
          <w:iCs/>
          <w:color w:val="EE0000"/>
          <w:sz w:val="26"/>
          <w:szCs w:val="26"/>
        </w:rPr>
        <w:t>Employment law factsheet</w:t>
      </w:r>
      <w:r w:rsidRPr="004F71D7">
        <w:rPr>
          <w:rFonts w:asciiTheme="majorHAnsi" w:hAnsiTheme="majorHAnsi" w:cs="Times New Roman"/>
          <w:color w:val="EE0000"/>
          <w:sz w:val="26"/>
          <w:szCs w:val="26"/>
        </w:rPr>
        <w:t xml:space="preserve">. Available at: </w:t>
      </w:r>
      <w:hyperlink r:id="rId49" w:history="1">
        <w:r w:rsidRPr="004F71D7">
          <w:rPr>
            <w:rStyle w:val="Hyperlink"/>
            <w:rFonts w:asciiTheme="majorHAnsi" w:hAnsiTheme="majorHAnsi" w:cs="Times New Roman"/>
            <w:color w:val="EE0000"/>
            <w:sz w:val="26"/>
            <w:szCs w:val="26"/>
            <w:u w:val="none"/>
          </w:rPr>
          <w:t>https://www.cipd.org/uk/knowledge/fundamentals/emp-law/</w:t>
        </w:r>
      </w:hyperlink>
      <w:r w:rsidRPr="004F71D7">
        <w:rPr>
          <w:rFonts w:asciiTheme="majorHAnsi" w:hAnsiTheme="majorHAnsi" w:cs="Times New Roman"/>
          <w:color w:val="EE0000"/>
          <w:sz w:val="26"/>
          <w:szCs w:val="26"/>
        </w:rPr>
        <w:t xml:space="preserve"> </w:t>
      </w:r>
    </w:p>
    <w:p w14:paraId="078F661B" w14:textId="77777777" w:rsidR="00BF5249" w:rsidRPr="004F71D7" w:rsidRDefault="00BF5249" w:rsidP="00BF5249">
      <w:pPr>
        <w:pStyle w:val="NormalWeb"/>
        <w:spacing w:before="0" w:beforeAutospacing="0" w:after="180" w:afterAutospacing="0"/>
        <w:rPr>
          <w:rFonts w:asciiTheme="majorHAnsi" w:hAnsiTheme="majorHAnsi"/>
          <w:color w:val="EE0000"/>
          <w:sz w:val="26"/>
          <w:szCs w:val="26"/>
        </w:rPr>
      </w:pPr>
      <w:r w:rsidRPr="004F71D7">
        <w:rPr>
          <w:rFonts w:asciiTheme="majorHAnsi" w:hAnsiTheme="majorHAnsi" w:cs="Times New Roman"/>
          <w:color w:val="EE0000"/>
          <w:sz w:val="26"/>
          <w:szCs w:val="26"/>
        </w:rPr>
        <w:t xml:space="preserve">CIPD (2026) </w:t>
      </w:r>
      <w:r w:rsidRPr="004F71D7">
        <w:rPr>
          <w:rFonts w:asciiTheme="majorHAnsi" w:hAnsiTheme="majorHAnsi"/>
          <w:i/>
          <w:iCs/>
          <w:color w:val="EE0000"/>
          <w:sz w:val="26"/>
          <w:szCs w:val="26"/>
        </w:rPr>
        <w:t>Dismissal: UK employment law</w:t>
      </w:r>
      <w:r w:rsidRPr="004F71D7">
        <w:rPr>
          <w:rFonts w:asciiTheme="majorHAnsi" w:hAnsiTheme="majorHAnsi" w:cs="Times New Roman"/>
          <w:color w:val="EE0000"/>
          <w:sz w:val="26"/>
          <w:szCs w:val="26"/>
        </w:rPr>
        <w:t>. Chartered Institute of Personnel and Development. Available at: CIPD – Dismissal: UK employment law</w:t>
      </w:r>
      <w:r w:rsidRPr="004F71D7">
        <w:rPr>
          <w:rFonts w:ascii="Segoe UI Symbol" w:hAnsi="Segoe UI Symbol" w:cs="Segoe UI Symbol"/>
          <w:color w:val="EE0000"/>
          <w:sz w:val="26"/>
          <w:szCs w:val="26"/>
        </w:rPr>
        <w:t>⁠</w:t>
      </w:r>
      <w:r w:rsidRPr="004F71D7">
        <w:rPr>
          <w:rFonts w:asciiTheme="majorHAnsi" w:hAnsiTheme="majorHAnsi" w:cs="Times New Roman"/>
          <w:color w:val="EE0000"/>
          <w:sz w:val="26"/>
          <w:szCs w:val="26"/>
        </w:rPr>
        <w:t xml:space="preserve"> </w:t>
      </w:r>
    </w:p>
    <w:p w14:paraId="234CC6EB" w14:textId="77777777" w:rsidR="00BF5249" w:rsidRPr="004F71D7" w:rsidRDefault="00BF5249" w:rsidP="00BF5249">
      <w:pPr>
        <w:pStyle w:val="NormalWeb"/>
        <w:spacing w:before="0" w:beforeAutospacing="0" w:after="180" w:afterAutospacing="0"/>
        <w:rPr>
          <w:rFonts w:asciiTheme="majorHAnsi" w:hAnsiTheme="majorHAnsi"/>
          <w:color w:val="EE0000"/>
          <w:sz w:val="26"/>
          <w:szCs w:val="26"/>
        </w:rPr>
      </w:pPr>
      <w:r w:rsidRPr="004F71D7">
        <w:rPr>
          <w:rFonts w:asciiTheme="majorHAnsi" w:hAnsiTheme="majorHAnsi" w:cs="Times New Roman"/>
          <w:color w:val="EE0000"/>
          <w:sz w:val="26"/>
          <w:szCs w:val="26"/>
        </w:rPr>
        <w:t xml:space="preserve">CIPD (n.d.) </w:t>
      </w:r>
      <w:r w:rsidRPr="004F71D7">
        <w:rPr>
          <w:rFonts w:asciiTheme="majorHAnsi" w:hAnsiTheme="majorHAnsi"/>
          <w:i/>
          <w:iCs/>
          <w:color w:val="EE0000"/>
          <w:sz w:val="26"/>
          <w:szCs w:val="26"/>
        </w:rPr>
        <w:t>Employment law</w:t>
      </w:r>
      <w:r w:rsidRPr="004F71D7">
        <w:rPr>
          <w:rFonts w:asciiTheme="majorHAnsi" w:hAnsiTheme="majorHAnsi" w:cs="Times New Roman"/>
          <w:color w:val="EE0000"/>
          <w:sz w:val="26"/>
          <w:szCs w:val="26"/>
        </w:rPr>
        <w:t>. Chartered Institute of Personnel and Development. Available at: CIPD – Employment law</w:t>
      </w:r>
      <w:r w:rsidRPr="004F71D7">
        <w:rPr>
          <w:rFonts w:ascii="Segoe UI Symbol" w:hAnsi="Segoe UI Symbol" w:cs="Segoe UI Symbol"/>
          <w:color w:val="EE0000"/>
          <w:sz w:val="26"/>
          <w:szCs w:val="26"/>
        </w:rPr>
        <w:t>⁠</w:t>
      </w:r>
      <w:r w:rsidRPr="004F71D7">
        <w:rPr>
          <w:rFonts w:asciiTheme="majorHAnsi" w:hAnsiTheme="majorHAnsi" w:cs="Times New Roman"/>
          <w:color w:val="EE0000"/>
          <w:sz w:val="26"/>
          <w:szCs w:val="26"/>
        </w:rPr>
        <w:t xml:space="preserve"> </w:t>
      </w:r>
    </w:p>
    <w:p w14:paraId="5377E62F" w14:textId="77777777" w:rsidR="00BF5249" w:rsidRPr="004F71D7" w:rsidRDefault="00BF5249" w:rsidP="00BF5249">
      <w:pPr>
        <w:pStyle w:val="NormalWeb"/>
        <w:spacing w:before="0" w:beforeAutospacing="0" w:after="180" w:afterAutospacing="0"/>
        <w:rPr>
          <w:rFonts w:asciiTheme="majorHAnsi" w:hAnsiTheme="majorHAnsi"/>
          <w:color w:val="EE0000"/>
          <w:sz w:val="26"/>
          <w:szCs w:val="26"/>
        </w:rPr>
      </w:pPr>
      <w:r w:rsidRPr="004F71D7">
        <w:rPr>
          <w:rFonts w:asciiTheme="majorHAnsi" w:hAnsiTheme="majorHAnsi" w:cs="Times New Roman"/>
          <w:color w:val="EE0000"/>
          <w:sz w:val="26"/>
          <w:szCs w:val="26"/>
        </w:rPr>
        <w:t xml:space="preserve">Equality Act 2010. Available at: </w:t>
      </w:r>
      <w:hyperlink r:id="rId50" w:history="1">
        <w:r w:rsidRPr="004F71D7">
          <w:rPr>
            <w:rStyle w:val="Hyperlink"/>
            <w:rFonts w:asciiTheme="majorHAnsi" w:hAnsiTheme="majorHAnsi" w:cs="Times New Roman"/>
            <w:color w:val="EE0000"/>
            <w:sz w:val="26"/>
            <w:szCs w:val="26"/>
            <w:u w:val="none"/>
          </w:rPr>
          <w:t>https://www.legislation.gov.uk/ukpga/2010/15/contents</w:t>
        </w:r>
      </w:hyperlink>
      <w:r w:rsidRPr="004F71D7">
        <w:rPr>
          <w:rFonts w:asciiTheme="majorHAnsi" w:hAnsiTheme="majorHAnsi" w:cs="Times New Roman"/>
          <w:color w:val="EE0000"/>
          <w:sz w:val="26"/>
          <w:szCs w:val="26"/>
        </w:rPr>
        <w:t xml:space="preserve"> </w:t>
      </w:r>
    </w:p>
    <w:p w14:paraId="39C6777C" w14:textId="77777777" w:rsidR="00BF5249" w:rsidRPr="004F71D7" w:rsidRDefault="00BF5249" w:rsidP="00BF5249">
      <w:pPr>
        <w:pStyle w:val="NormalWeb"/>
        <w:spacing w:before="0" w:beforeAutospacing="0" w:after="0" w:afterAutospacing="0"/>
        <w:rPr>
          <w:rFonts w:asciiTheme="majorHAnsi" w:hAnsiTheme="majorHAnsi"/>
          <w:sz w:val="26"/>
          <w:szCs w:val="26"/>
        </w:rPr>
      </w:pPr>
      <w:r w:rsidRPr="004F71D7">
        <w:rPr>
          <w:rFonts w:asciiTheme="majorHAnsi" w:hAnsiTheme="majorHAnsi"/>
          <w:sz w:val="26"/>
          <w:szCs w:val="26"/>
        </w:rPr>
        <w:t xml:space="preserve">Equality and Human Rights Commission (2023) Employee rights during business transfers. Available at: </w:t>
      </w:r>
      <w:hyperlink r:id="rId51" w:history="1">
        <w:r w:rsidRPr="004F71D7">
          <w:rPr>
            <w:rStyle w:val="Hyperlink"/>
            <w:rFonts w:asciiTheme="majorHAnsi" w:hAnsiTheme="majorHAnsi"/>
            <w:color w:val="auto"/>
            <w:sz w:val="26"/>
            <w:szCs w:val="26"/>
            <w:u w:val="none"/>
          </w:rPr>
          <w:t>https://www.equalityhumanrights.com/</w:t>
        </w:r>
      </w:hyperlink>
      <w:r w:rsidRPr="004F71D7">
        <w:rPr>
          <w:rFonts w:asciiTheme="majorHAnsi" w:hAnsiTheme="majorHAnsi"/>
          <w:sz w:val="26"/>
          <w:szCs w:val="26"/>
        </w:rPr>
        <w:t xml:space="preserve"> </w:t>
      </w:r>
    </w:p>
    <w:p w14:paraId="0DE2A4CB" w14:textId="77777777" w:rsidR="00BF5249" w:rsidRPr="004F71D7" w:rsidRDefault="00BF5249" w:rsidP="00BF5249">
      <w:pPr>
        <w:pStyle w:val="NormalWeb"/>
        <w:spacing w:before="0" w:beforeAutospacing="0" w:after="180" w:afterAutospacing="0"/>
        <w:rPr>
          <w:rFonts w:asciiTheme="majorHAnsi" w:hAnsiTheme="majorHAnsi"/>
          <w:sz w:val="26"/>
          <w:szCs w:val="26"/>
        </w:rPr>
      </w:pPr>
      <w:r w:rsidRPr="004F71D7">
        <w:rPr>
          <w:rFonts w:asciiTheme="majorHAnsi" w:hAnsiTheme="majorHAnsi" w:cs="Times New Roman"/>
          <w:sz w:val="26"/>
          <w:szCs w:val="26"/>
        </w:rPr>
        <w:t xml:space="preserve">Equality and Human Rights Commission (2023) Equal pay. Available at: </w:t>
      </w:r>
      <w:hyperlink r:id="rId52" w:history="1">
        <w:r w:rsidRPr="004F71D7">
          <w:rPr>
            <w:rStyle w:val="Hyperlink"/>
            <w:rFonts w:asciiTheme="majorHAnsi" w:hAnsiTheme="majorHAnsi" w:cs="Times New Roman"/>
            <w:color w:val="auto"/>
            <w:sz w:val="26"/>
            <w:szCs w:val="26"/>
            <w:u w:val="none"/>
          </w:rPr>
          <w:t>https://www.equalityhumanrights.com/en/advice-and-guidance/equal-pay</w:t>
        </w:r>
      </w:hyperlink>
      <w:r w:rsidRPr="004F71D7">
        <w:rPr>
          <w:rFonts w:asciiTheme="majorHAnsi" w:hAnsiTheme="majorHAnsi" w:cs="Times New Roman"/>
          <w:sz w:val="26"/>
          <w:szCs w:val="26"/>
        </w:rPr>
        <w:t xml:space="preserve"> </w:t>
      </w:r>
    </w:p>
    <w:p w14:paraId="4AD8C3EE" w14:textId="77777777" w:rsidR="00BF5249" w:rsidRPr="004F71D7" w:rsidRDefault="00BF5249" w:rsidP="00BF5249">
      <w:pPr>
        <w:pStyle w:val="NormalWeb"/>
        <w:spacing w:before="0" w:beforeAutospacing="0" w:after="180" w:afterAutospacing="0"/>
        <w:rPr>
          <w:rFonts w:asciiTheme="majorHAnsi" w:hAnsiTheme="majorHAnsi"/>
          <w:sz w:val="26"/>
          <w:szCs w:val="26"/>
        </w:rPr>
      </w:pPr>
      <w:r w:rsidRPr="004F71D7">
        <w:rPr>
          <w:rFonts w:asciiTheme="majorHAnsi" w:hAnsiTheme="majorHAnsi" w:cs="Times New Roman"/>
          <w:sz w:val="26"/>
          <w:szCs w:val="26"/>
        </w:rPr>
        <w:t xml:space="preserve">Equality and Human Rights Commission (2023) Occupational requirements. Available at: </w:t>
      </w:r>
      <w:hyperlink r:id="rId53" w:history="1">
        <w:r w:rsidRPr="004F71D7">
          <w:rPr>
            <w:rStyle w:val="Hyperlink"/>
            <w:rFonts w:asciiTheme="majorHAnsi" w:hAnsiTheme="majorHAnsi" w:cs="Times New Roman"/>
            <w:color w:val="auto"/>
            <w:sz w:val="26"/>
            <w:szCs w:val="26"/>
            <w:u w:val="none"/>
          </w:rPr>
          <w:t>https://www.equalityhumanrights.com/en/advice-and-guidance/occupational-requirements</w:t>
        </w:r>
      </w:hyperlink>
      <w:r w:rsidRPr="004F71D7">
        <w:rPr>
          <w:rFonts w:asciiTheme="majorHAnsi" w:hAnsiTheme="majorHAnsi" w:cs="Times New Roman"/>
          <w:sz w:val="26"/>
          <w:szCs w:val="26"/>
        </w:rPr>
        <w:t xml:space="preserve"> </w:t>
      </w:r>
    </w:p>
    <w:p w14:paraId="78E16689" w14:textId="77777777" w:rsidR="00BF5249" w:rsidRPr="004F71D7" w:rsidRDefault="00BF5249" w:rsidP="00BF5249">
      <w:pPr>
        <w:pStyle w:val="NormalWeb"/>
        <w:spacing w:before="0" w:beforeAutospacing="0" w:after="180" w:afterAutospacing="0"/>
        <w:rPr>
          <w:rFonts w:asciiTheme="majorHAnsi" w:hAnsiTheme="majorHAnsi"/>
          <w:color w:val="EE0000"/>
          <w:sz w:val="26"/>
          <w:szCs w:val="26"/>
        </w:rPr>
      </w:pPr>
      <w:r w:rsidRPr="004F71D7">
        <w:rPr>
          <w:rFonts w:asciiTheme="majorHAnsi" w:hAnsiTheme="majorHAnsi" w:cs="Times New Roman"/>
          <w:color w:val="EE0000"/>
          <w:sz w:val="26"/>
          <w:szCs w:val="26"/>
        </w:rPr>
        <w:t xml:space="preserve">Equality and Human Rights Commission (EHRC) (2023) </w:t>
      </w:r>
      <w:r w:rsidRPr="004F71D7">
        <w:rPr>
          <w:rFonts w:asciiTheme="majorHAnsi" w:hAnsiTheme="majorHAnsi" w:cs="Times New Roman"/>
          <w:i/>
          <w:iCs/>
          <w:color w:val="EE0000"/>
          <w:sz w:val="26"/>
          <w:szCs w:val="26"/>
        </w:rPr>
        <w:t>Equal pay</w:t>
      </w:r>
      <w:r w:rsidRPr="004F71D7">
        <w:rPr>
          <w:rFonts w:asciiTheme="majorHAnsi" w:hAnsiTheme="majorHAnsi" w:cs="Times New Roman"/>
          <w:color w:val="EE0000"/>
          <w:sz w:val="26"/>
          <w:szCs w:val="26"/>
        </w:rPr>
        <w:t xml:space="preserve">. Available at: </w:t>
      </w:r>
      <w:hyperlink r:id="rId54" w:history="1">
        <w:r w:rsidRPr="004F71D7">
          <w:rPr>
            <w:rStyle w:val="Hyperlink"/>
            <w:rFonts w:asciiTheme="majorHAnsi" w:hAnsiTheme="majorHAnsi" w:cs="Times New Roman"/>
            <w:color w:val="EE0000"/>
            <w:sz w:val="26"/>
            <w:szCs w:val="26"/>
            <w:u w:val="none"/>
          </w:rPr>
          <w:t>https://www.equalityhumanrights.com/en/advice-and-guidance/equal-pay</w:t>
        </w:r>
      </w:hyperlink>
      <w:r w:rsidRPr="004F71D7">
        <w:rPr>
          <w:rFonts w:asciiTheme="majorHAnsi" w:hAnsiTheme="majorHAnsi" w:cs="Times New Roman"/>
          <w:color w:val="EE0000"/>
          <w:sz w:val="26"/>
          <w:szCs w:val="26"/>
        </w:rPr>
        <w:t xml:space="preserve"> </w:t>
      </w:r>
    </w:p>
    <w:p w14:paraId="7A27973E" w14:textId="77777777" w:rsidR="00BF5249" w:rsidRPr="004F71D7" w:rsidRDefault="00BF5249" w:rsidP="00BF5249">
      <w:pPr>
        <w:pStyle w:val="NormalWeb"/>
        <w:spacing w:before="0" w:beforeAutospacing="0" w:after="180" w:afterAutospacing="0"/>
        <w:rPr>
          <w:rFonts w:asciiTheme="majorHAnsi" w:hAnsiTheme="majorHAnsi"/>
          <w:sz w:val="26"/>
          <w:szCs w:val="26"/>
        </w:rPr>
      </w:pPr>
      <w:hyperlink r:id="rId55" w:history="1">
        <w:r w:rsidRPr="004F71D7">
          <w:rPr>
            <w:rStyle w:val="Hyperlink"/>
            <w:rFonts w:asciiTheme="majorHAnsi" w:hAnsiTheme="majorHAnsi" w:cs="Times New Roman"/>
            <w:color w:val="auto"/>
            <w:sz w:val="26"/>
            <w:szCs w:val="26"/>
            <w:u w:val="none"/>
          </w:rPr>
          <w:t>Gov.uk</w:t>
        </w:r>
      </w:hyperlink>
      <w:r w:rsidRPr="004F71D7">
        <w:rPr>
          <w:rFonts w:asciiTheme="majorHAnsi" w:hAnsiTheme="majorHAnsi" w:cs="Times New Roman"/>
          <w:sz w:val="26"/>
          <w:szCs w:val="26"/>
        </w:rPr>
        <w:t xml:space="preserve"> (1992) Trade Union and Labour Relations (Consolidation) Act 1992. Available at: </w:t>
      </w:r>
      <w:hyperlink r:id="rId56" w:history="1">
        <w:r w:rsidRPr="004F71D7">
          <w:rPr>
            <w:rStyle w:val="Hyperlink"/>
            <w:rFonts w:asciiTheme="majorHAnsi" w:hAnsiTheme="majorHAnsi" w:cs="Times New Roman"/>
            <w:color w:val="auto"/>
            <w:sz w:val="26"/>
            <w:szCs w:val="26"/>
            <w:u w:val="none"/>
          </w:rPr>
          <w:t>https://www.legislation.gov.uk/ukpga/1992/52/contents</w:t>
        </w:r>
      </w:hyperlink>
      <w:r w:rsidRPr="004F71D7">
        <w:rPr>
          <w:rFonts w:asciiTheme="majorHAnsi" w:hAnsiTheme="majorHAnsi" w:cs="Times New Roman"/>
          <w:sz w:val="26"/>
          <w:szCs w:val="26"/>
        </w:rPr>
        <w:t xml:space="preserve"> </w:t>
      </w:r>
    </w:p>
    <w:p w14:paraId="5BE220EE" w14:textId="77777777" w:rsidR="00BF5249" w:rsidRPr="004F71D7" w:rsidRDefault="00BF5249" w:rsidP="00BF5249">
      <w:pPr>
        <w:pStyle w:val="NormalWeb"/>
        <w:spacing w:before="0" w:beforeAutospacing="0" w:after="180" w:afterAutospacing="0"/>
        <w:rPr>
          <w:rFonts w:asciiTheme="majorHAnsi" w:hAnsiTheme="majorHAnsi"/>
          <w:sz w:val="26"/>
          <w:szCs w:val="26"/>
        </w:rPr>
      </w:pPr>
      <w:hyperlink r:id="rId57" w:history="1">
        <w:r w:rsidRPr="004F71D7">
          <w:rPr>
            <w:rStyle w:val="Hyperlink"/>
            <w:rFonts w:asciiTheme="majorHAnsi" w:hAnsiTheme="majorHAnsi" w:cs="Times New Roman"/>
            <w:color w:val="auto"/>
            <w:sz w:val="26"/>
            <w:szCs w:val="26"/>
            <w:u w:val="none"/>
          </w:rPr>
          <w:t>Gov.uk</w:t>
        </w:r>
      </w:hyperlink>
      <w:r w:rsidRPr="004F71D7">
        <w:rPr>
          <w:rFonts w:asciiTheme="majorHAnsi" w:hAnsiTheme="majorHAnsi" w:cs="Times New Roman"/>
          <w:sz w:val="26"/>
          <w:szCs w:val="26"/>
        </w:rPr>
        <w:t xml:space="preserve"> (1996) Employment Rights Act 1996. Available at: </w:t>
      </w:r>
      <w:hyperlink r:id="rId58" w:history="1">
        <w:r w:rsidRPr="004F71D7">
          <w:rPr>
            <w:rStyle w:val="Hyperlink"/>
            <w:rFonts w:asciiTheme="majorHAnsi" w:hAnsiTheme="majorHAnsi" w:cs="Times New Roman"/>
            <w:color w:val="auto"/>
            <w:sz w:val="26"/>
            <w:szCs w:val="26"/>
            <w:u w:val="none"/>
          </w:rPr>
          <w:t>https://www.legislation.gov.uk/ukpga/1996/18/contents</w:t>
        </w:r>
      </w:hyperlink>
      <w:r w:rsidRPr="004F71D7">
        <w:rPr>
          <w:rFonts w:asciiTheme="majorHAnsi" w:hAnsiTheme="majorHAnsi" w:cs="Times New Roman"/>
          <w:sz w:val="26"/>
          <w:szCs w:val="26"/>
        </w:rPr>
        <w:t xml:space="preserve"> </w:t>
      </w:r>
    </w:p>
    <w:p w14:paraId="0D162A99" w14:textId="77777777" w:rsidR="00BF5249" w:rsidRPr="004F71D7" w:rsidRDefault="00BF5249" w:rsidP="00BF5249">
      <w:pPr>
        <w:pStyle w:val="NormalWeb"/>
        <w:spacing w:before="0" w:beforeAutospacing="0" w:after="180" w:afterAutospacing="0"/>
        <w:rPr>
          <w:rFonts w:asciiTheme="majorHAnsi" w:hAnsiTheme="majorHAnsi"/>
          <w:sz w:val="26"/>
          <w:szCs w:val="26"/>
        </w:rPr>
      </w:pPr>
      <w:hyperlink r:id="rId59" w:history="1">
        <w:r w:rsidRPr="004F71D7">
          <w:rPr>
            <w:rStyle w:val="Hyperlink"/>
            <w:rFonts w:asciiTheme="majorHAnsi" w:hAnsiTheme="majorHAnsi" w:cs="Times New Roman"/>
            <w:color w:val="auto"/>
            <w:sz w:val="26"/>
            <w:szCs w:val="26"/>
            <w:u w:val="none"/>
          </w:rPr>
          <w:t>Gov.uk</w:t>
        </w:r>
      </w:hyperlink>
      <w:r w:rsidRPr="004F71D7">
        <w:rPr>
          <w:rFonts w:asciiTheme="majorHAnsi" w:hAnsiTheme="majorHAnsi" w:cs="Times New Roman"/>
          <w:sz w:val="26"/>
          <w:szCs w:val="26"/>
        </w:rPr>
        <w:t xml:space="preserve"> (1998) Working Time Regulations 1998. Available at: </w:t>
      </w:r>
      <w:hyperlink r:id="rId60" w:history="1">
        <w:r w:rsidRPr="004F71D7">
          <w:rPr>
            <w:rStyle w:val="Hyperlink"/>
            <w:rFonts w:asciiTheme="majorHAnsi" w:hAnsiTheme="majorHAnsi" w:cs="Times New Roman"/>
            <w:color w:val="auto"/>
            <w:sz w:val="26"/>
            <w:szCs w:val="26"/>
            <w:u w:val="none"/>
          </w:rPr>
          <w:t>https://www.legislation.gov.uk/uksi/1998/1833/contents/made</w:t>
        </w:r>
      </w:hyperlink>
      <w:r w:rsidRPr="004F71D7">
        <w:rPr>
          <w:rFonts w:asciiTheme="majorHAnsi" w:hAnsiTheme="majorHAnsi" w:cs="Times New Roman"/>
          <w:sz w:val="26"/>
          <w:szCs w:val="26"/>
        </w:rPr>
        <w:t xml:space="preserve"> </w:t>
      </w:r>
    </w:p>
    <w:p w14:paraId="266CE4C8" w14:textId="77777777" w:rsidR="00BF5249" w:rsidRPr="004F71D7" w:rsidRDefault="00BF5249" w:rsidP="00BF5249">
      <w:pPr>
        <w:pStyle w:val="NormalWeb"/>
        <w:spacing w:before="0" w:beforeAutospacing="0" w:after="0" w:afterAutospacing="0"/>
        <w:rPr>
          <w:rFonts w:asciiTheme="majorHAnsi" w:hAnsiTheme="majorHAnsi"/>
          <w:sz w:val="26"/>
          <w:szCs w:val="26"/>
        </w:rPr>
      </w:pPr>
      <w:hyperlink r:id="rId61" w:history="1">
        <w:r w:rsidRPr="004F71D7">
          <w:rPr>
            <w:rStyle w:val="Hyperlink"/>
            <w:rFonts w:asciiTheme="majorHAnsi" w:hAnsiTheme="majorHAnsi"/>
            <w:color w:val="auto"/>
            <w:sz w:val="26"/>
            <w:szCs w:val="26"/>
            <w:u w:val="none"/>
          </w:rPr>
          <w:t>Gov.uk</w:t>
        </w:r>
      </w:hyperlink>
      <w:r w:rsidRPr="004F71D7">
        <w:rPr>
          <w:rFonts w:asciiTheme="majorHAnsi" w:hAnsiTheme="majorHAnsi"/>
          <w:sz w:val="26"/>
          <w:szCs w:val="26"/>
        </w:rPr>
        <w:t xml:space="preserve"> (2006) Transfer of Undertakings (Protection of Employment) Regulations 2006. Available at: </w:t>
      </w:r>
      <w:hyperlink r:id="rId62" w:history="1">
        <w:r w:rsidRPr="004F71D7">
          <w:rPr>
            <w:rStyle w:val="Hyperlink"/>
            <w:rFonts w:asciiTheme="majorHAnsi" w:hAnsiTheme="majorHAnsi"/>
            <w:color w:val="auto"/>
            <w:sz w:val="26"/>
            <w:szCs w:val="26"/>
            <w:u w:val="none"/>
          </w:rPr>
          <w:t>https://www.legislation.gov.uk/uksi/2006/246/contents/made</w:t>
        </w:r>
      </w:hyperlink>
      <w:r w:rsidRPr="004F71D7">
        <w:rPr>
          <w:rFonts w:asciiTheme="majorHAnsi" w:hAnsiTheme="majorHAnsi"/>
          <w:sz w:val="26"/>
          <w:szCs w:val="26"/>
        </w:rPr>
        <w:t xml:space="preserve"> </w:t>
      </w:r>
    </w:p>
    <w:p w14:paraId="3A91A526" w14:textId="77777777" w:rsidR="00BF5249" w:rsidRPr="004F71D7" w:rsidRDefault="00BF5249" w:rsidP="00BF5249">
      <w:pPr>
        <w:pStyle w:val="NormalWeb"/>
        <w:spacing w:before="0" w:beforeAutospacing="0" w:after="180" w:afterAutospacing="0"/>
        <w:rPr>
          <w:rFonts w:asciiTheme="majorHAnsi" w:hAnsiTheme="majorHAnsi"/>
          <w:sz w:val="26"/>
          <w:szCs w:val="26"/>
        </w:rPr>
      </w:pPr>
      <w:hyperlink r:id="rId63" w:history="1">
        <w:r w:rsidRPr="004F71D7">
          <w:rPr>
            <w:rStyle w:val="Hyperlink"/>
            <w:rFonts w:asciiTheme="majorHAnsi" w:hAnsiTheme="majorHAnsi" w:cs="Times New Roman"/>
            <w:color w:val="auto"/>
            <w:sz w:val="26"/>
            <w:szCs w:val="26"/>
            <w:u w:val="none"/>
          </w:rPr>
          <w:t>Gov.uk</w:t>
        </w:r>
      </w:hyperlink>
      <w:r w:rsidRPr="004F71D7">
        <w:rPr>
          <w:rFonts w:asciiTheme="majorHAnsi" w:hAnsiTheme="majorHAnsi" w:cs="Times New Roman"/>
          <w:sz w:val="26"/>
          <w:szCs w:val="26"/>
        </w:rPr>
        <w:t xml:space="preserve"> (2010) Equality Act 2010. Available at: </w:t>
      </w:r>
      <w:hyperlink r:id="rId64" w:history="1">
        <w:r w:rsidRPr="004F71D7">
          <w:rPr>
            <w:rStyle w:val="Hyperlink"/>
            <w:rFonts w:asciiTheme="majorHAnsi" w:hAnsiTheme="majorHAnsi" w:cs="Times New Roman"/>
            <w:color w:val="auto"/>
            <w:sz w:val="26"/>
            <w:szCs w:val="26"/>
            <w:u w:val="none"/>
          </w:rPr>
          <w:t>https://www.legislation.gov.uk/ukpga/2010/15/contents</w:t>
        </w:r>
      </w:hyperlink>
      <w:r w:rsidRPr="004F71D7">
        <w:rPr>
          <w:rFonts w:asciiTheme="majorHAnsi" w:hAnsiTheme="majorHAnsi" w:cs="Times New Roman"/>
          <w:sz w:val="26"/>
          <w:szCs w:val="26"/>
        </w:rPr>
        <w:t xml:space="preserve"> </w:t>
      </w:r>
    </w:p>
    <w:p w14:paraId="00796A24" w14:textId="77777777" w:rsidR="00BF5249" w:rsidRPr="004F71D7" w:rsidRDefault="00BF5249" w:rsidP="00BF5249">
      <w:pPr>
        <w:pStyle w:val="NormalWeb"/>
        <w:spacing w:before="0" w:beforeAutospacing="0" w:after="180" w:afterAutospacing="0"/>
        <w:rPr>
          <w:rFonts w:asciiTheme="majorHAnsi" w:hAnsiTheme="majorHAnsi"/>
          <w:sz w:val="26"/>
          <w:szCs w:val="26"/>
        </w:rPr>
      </w:pPr>
      <w:hyperlink r:id="rId65" w:history="1">
        <w:r w:rsidRPr="004F71D7">
          <w:rPr>
            <w:rStyle w:val="Hyperlink"/>
            <w:rFonts w:asciiTheme="majorHAnsi" w:hAnsiTheme="majorHAnsi" w:cs="Times New Roman"/>
            <w:color w:val="auto"/>
            <w:sz w:val="26"/>
            <w:szCs w:val="26"/>
            <w:u w:val="none"/>
          </w:rPr>
          <w:t>Gov.uk</w:t>
        </w:r>
      </w:hyperlink>
      <w:r w:rsidRPr="004F71D7">
        <w:rPr>
          <w:rFonts w:asciiTheme="majorHAnsi" w:hAnsiTheme="majorHAnsi" w:cs="Times New Roman"/>
          <w:sz w:val="26"/>
          <w:szCs w:val="26"/>
        </w:rPr>
        <w:t xml:space="preserve"> (2018) European Union (Withdrawal) Act 2018. Available at: </w:t>
      </w:r>
      <w:hyperlink r:id="rId66" w:history="1">
        <w:r w:rsidRPr="004F71D7">
          <w:rPr>
            <w:rStyle w:val="Hyperlink"/>
            <w:rFonts w:asciiTheme="majorHAnsi" w:hAnsiTheme="majorHAnsi" w:cs="Times New Roman"/>
            <w:color w:val="auto"/>
            <w:sz w:val="26"/>
            <w:szCs w:val="26"/>
            <w:u w:val="none"/>
          </w:rPr>
          <w:t>https://www.legislation.gov.uk/ukpga/2018/16/contents/enacted</w:t>
        </w:r>
      </w:hyperlink>
      <w:r w:rsidRPr="004F71D7">
        <w:rPr>
          <w:rFonts w:asciiTheme="majorHAnsi" w:hAnsiTheme="majorHAnsi" w:cs="Times New Roman"/>
          <w:sz w:val="26"/>
          <w:szCs w:val="26"/>
        </w:rPr>
        <w:t xml:space="preserve"> </w:t>
      </w:r>
    </w:p>
    <w:p w14:paraId="4CE9978E" w14:textId="77777777" w:rsidR="00BF5249" w:rsidRPr="004F71D7" w:rsidRDefault="00BF5249" w:rsidP="00BF5249">
      <w:pPr>
        <w:pStyle w:val="NormalWeb"/>
        <w:spacing w:before="0" w:beforeAutospacing="0" w:after="180" w:afterAutospacing="0"/>
        <w:rPr>
          <w:rFonts w:asciiTheme="majorHAnsi" w:hAnsiTheme="majorHAnsi"/>
          <w:color w:val="EE0000"/>
          <w:sz w:val="26"/>
          <w:szCs w:val="26"/>
        </w:rPr>
      </w:pPr>
      <w:hyperlink r:id="rId67" w:history="1">
        <w:r w:rsidRPr="004F71D7">
          <w:rPr>
            <w:rStyle w:val="Hyperlink"/>
            <w:rFonts w:asciiTheme="majorHAnsi" w:hAnsiTheme="majorHAnsi" w:cs="Times New Roman"/>
            <w:color w:val="EE0000"/>
            <w:sz w:val="26"/>
            <w:szCs w:val="26"/>
            <w:u w:val="none"/>
          </w:rPr>
          <w:t>Gov.uk</w:t>
        </w:r>
      </w:hyperlink>
      <w:r w:rsidRPr="004F71D7">
        <w:rPr>
          <w:rFonts w:asciiTheme="majorHAnsi" w:hAnsiTheme="majorHAnsi" w:cs="Times New Roman"/>
          <w:color w:val="EE0000"/>
          <w:sz w:val="26"/>
          <w:szCs w:val="26"/>
        </w:rPr>
        <w:t xml:space="preserve"> (2023) </w:t>
      </w:r>
      <w:r w:rsidRPr="004F71D7">
        <w:rPr>
          <w:rFonts w:asciiTheme="majorHAnsi" w:hAnsiTheme="majorHAnsi" w:cs="Times New Roman"/>
          <w:i/>
          <w:iCs/>
          <w:color w:val="EE0000"/>
          <w:sz w:val="26"/>
          <w:szCs w:val="26"/>
        </w:rPr>
        <w:t>Employment Relations (Flexible Working) Act 2023</w:t>
      </w:r>
      <w:r w:rsidRPr="004F71D7">
        <w:rPr>
          <w:rFonts w:asciiTheme="majorHAnsi" w:hAnsiTheme="majorHAnsi" w:cs="Times New Roman"/>
          <w:color w:val="EE0000"/>
          <w:sz w:val="26"/>
          <w:szCs w:val="26"/>
        </w:rPr>
        <w:t xml:space="preserve">. Available at: </w:t>
      </w:r>
      <w:hyperlink r:id="rId68" w:history="1">
        <w:r w:rsidRPr="004F71D7">
          <w:rPr>
            <w:rStyle w:val="Hyperlink"/>
            <w:rFonts w:asciiTheme="majorHAnsi" w:hAnsiTheme="majorHAnsi" w:cs="Times New Roman"/>
            <w:color w:val="EE0000"/>
            <w:sz w:val="26"/>
            <w:szCs w:val="26"/>
            <w:u w:val="none"/>
          </w:rPr>
          <w:t>https://www.legislation.gov.uk/ukpga/2023/13/contents</w:t>
        </w:r>
      </w:hyperlink>
      <w:r w:rsidRPr="004F71D7">
        <w:rPr>
          <w:rFonts w:asciiTheme="majorHAnsi" w:hAnsiTheme="majorHAnsi" w:cs="Times New Roman"/>
          <w:color w:val="EE0000"/>
          <w:sz w:val="26"/>
          <w:szCs w:val="26"/>
        </w:rPr>
        <w:t xml:space="preserve"> </w:t>
      </w:r>
    </w:p>
    <w:p w14:paraId="3868106F" w14:textId="77777777" w:rsidR="00BF5249" w:rsidRPr="004F71D7" w:rsidRDefault="00BF5249" w:rsidP="00BF5249">
      <w:pPr>
        <w:pStyle w:val="NormalWeb"/>
        <w:spacing w:before="0" w:beforeAutospacing="0" w:after="180" w:afterAutospacing="0"/>
        <w:rPr>
          <w:rFonts w:asciiTheme="majorHAnsi" w:hAnsiTheme="majorHAnsi"/>
          <w:sz w:val="26"/>
          <w:szCs w:val="26"/>
        </w:rPr>
      </w:pPr>
      <w:hyperlink r:id="rId69" w:history="1">
        <w:r w:rsidRPr="004F71D7">
          <w:rPr>
            <w:rStyle w:val="Hyperlink"/>
            <w:rFonts w:asciiTheme="majorHAnsi" w:hAnsiTheme="majorHAnsi" w:cs="Times New Roman"/>
            <w:color w:val="auto"/>
            <w:sz w:val="26"/>
            <w:szCs w:val="26"/>
            <w:u w:val="none"/>
          </w:rPr>
          <w:t>Gov.uk</w:t>
        </w:r>
      </w:hyperlink>
      <w:r w:rsidRPr="004F71D7">
        <w:rPr>
          <w:rFonts w:asciiTheme="majorHAnsi" w:hAnsiTheme="majorHAnsi" w:cs="Times New Roman"/>
          <w:sz w:val="26"/>
          <w:szCs w:val="26"/>
        </w:rPr>
        <w:t xml:space="preserve"> (2024) Calculate holiday entitlement for workers. Available at: </w:t>
      </w:r>
      <w:hyperlink r:id="rId70" w:history="1">
        <w:r w:rsidRPr="004F71D7">
          <w:rPr>
            <w:rStyle w:val="Hyperlink"/>
            <w:rFonts w:asciiTheme="majorHAnsi" w:hAnsiTheme="majorHAnsi" w:cs="Times New Roman"/>
            <w:color w:val="auto"/>
            <w:sz w:val="26"/>
            <w:szCs w:val="26"/>
            <w:u w:val="none"/>
          </w:rPr>
          <w:t>https://www.gov.uk/calculate-your-holiday-entitlement</w:t>
        </w:r>
      </w:hyperlink>
      <w:r w:rsidRPr="004F71D7">
        <w:rPr>
          <w:rFonts w:asciiTheme="majorHAnsi" w:hAnsiTheme="majorHAnsi" w:cs="Times New Roman"/>
          <w:sz w:val="26"/>
          <w:szCs w:val="26"/>
        </w:rPr>
        <w:t xml:space="preserve"> </w:t>
      </w:r>
    </w:p>
    <w:p w14:paraId="0B4B3C35" w14:textId="77777777" w:rsidR="00BF5249" w:rsidRPr="004F71D7" w:rsidRDefault="00BF5249" w:rsidP="00BF5249">
      <w:pPr>
        <w:pStyle w:val="NormalWeb"/>
        <w:rPr>
          <w:rFonts w:asciiTheme="majorHAnsi" w:hAnsiTheme="majorHAnsi"/>
          <w:sz w:val="26"/>
          <w:szCs w:val="26"/>
        </w:rPr>
      </w:pPr>
      <w:hyperlink r:id="rId71" w:history="1">
        <w:r w:rsidRPr="004F71D7">
          <w:rPr>
            <w:rStyle w:val="Hyperlink"/>
            <w:rFonts w:asciiTheme="majorHAnsi" w:hAnsiTheme="majorHAnsi"/>
            <w:color w:val="auto"/>
            <w:sz w:val="26"/>
            <w:szCs w:val="26"/>
            <w:u w:val="none"/>
          </w:rPr>
          <w:t>Gov.uk</w:t>
        </w:r>
      </w:hyperlink>
      <w:r w:rsidRPr="004F71D7">
        <w:rPr>
          <w:rFonts w:asciiTheme="majorHAnsi" w:hAnsiTheme="majorHAnsi"/>
          <w:sz w:val="26"/>
          <w:szCs w:val="26"/>
        </w:rPr>
        <w:t xml:space="preserve"> (2024) Employment status and workers’ rights. Available at: </w:t>
      </w:r>
      <w:hyperlink r:id="rId72" w:history="1">
        <w:r w:rsidRPr="004F71D7">
          <w:rPr>
            <w:rStyle w:val="Hyperlink"/>
            <w:rFonts w:asciiTheme="majorHAnsi" w:hAnsiTheme="majorHAnsi"/>
            <w:color w:val="auto"/>
            <w:sz w:val="26"/>
            <w:szCs w:val="26"/>
            <w:u w:val="none"/>
          </w:rPr>
          <w:t>https://www.gov.uk/employment-status</w:t>
        </w:r>
      </w:hyperlink>
      <w:r w:rsidRPr="004F71D7">
        <w:rPr>
          <w:rFonts w:asciiTheme="majorHAnsi" w:hAnsiTheme="majorHAnsi"/>
          <w:sz w:val="26"/>
          <w:szCs w:val="26"/>
        </w:rPr>
        <w:t> </w:t>
      </w:r>
    </w:p>
    <w:p w14:paraId="60517479" w14:textId="77777777" w:rsidR="00BF5249" w:rsidRPr="004F71D7" w:rsidRDefault="00BF5249" w:rsidP="00BF5249">
      <w:pPr>
        <w:pStyle w:val="NormalWeb"/>
        <w:spacing w:before="0" w:beforeAutospacing="0" w:after="180" w:afterAutospacing="0"/>
        <w:rPr>
          <w:rFonts w:asciiTheme="majorHAnsi" w:hAnsiTheme="majorHAnsi"/>
          <w:color w:val="EE0000"/>
          <w:sz w:val="26"/>
          <w:szCs w:val="26"/>
        </w:rPr>
      </w:pPr>
      <w:hyperlink r:id="rId73" w:history="1">
        <w:r w:rsidRPr="004F71D7">
          <w:rPr>
            <w:rStyle w:val="Hyperlink"/>
            <w:rFonts w:asciiTheme="majorHAnsi" w:hAnsiTheme="majorHAnsi" w:cs="Times New Roman"/>
            <w:color w:val="EE0000"/>
            <w:sz w:val="26"/>
            <w:szCs w:val="26"/>
            <w:u w:val="none"/>
          </w:rPr>
          <w:t>Gov.uk</w:t>
        </w:r>
      </w:hyperlink>
      <w:r w:rsidRPr="004F71D7">
        <w:rPr>
          <w:rFonts w:asciiTheme="majorHAnsi" w:hAnsiTheme="majorHAnsi" w:cs="Times New Roman"/>
          <w:color w:val="EE0000"/>
          <w:sz w:val="26"/>
          <w:szCs w:val="26"/>
        </w:rPr>
        <w:t xml:space="preserve"> (2024) </w:t>
      </w:r>
      <w:r w:rsidRPr="004F71D7">
        <w:rPr>
          <w:rFonts w:asciiTheme="majorHAnsi" w:hAnsiTheme="majorHAnsi" w:cs="Times New Roman"/>
          <w:i/>
          <w:iCs/>
          <w:color w:val="EE0000"/>
          <w:sz w:val="26"/>
          <w:szCs w:val="26"/>
        </w:rPr>
        <w:t>Flexible working</w:t>
      </w:r>
      <w:r w:rsidRPr="004F71D7">
        <w:rPr>
          <w:rFonts w:asciiTheme="majorHAnsi" w:hAnsiTheme="majorHAnsi" w:cs="Times New Roman"/>
          <w:color w:val="EE0000"/>
          <w:sz w:val="26"/>
          <w:szCs w:val="26"/>
        </w:rPr>
        <w:t xml:space="preserve">. Available at: </w:t>
      </w:r>
      <w:hyperlink r:id="rId74" w:history="1">
        <w:r w:rsidRPr="004F71D7">
          <w:rPr>
            <w:rStyle w:val="Hyperlink"/>
            <w:rFonts w:asciiTheme="majorHAnsi" w:hAnsiTheme="majorHAnsi" w:cs="Times New Roman"/>
            <w:color w:val="EE0000"/>
            <w:sz w:val="26"/>
            <w:szCs w:val="26"/>
            <w:u w:val="none"/>
          </w:rPr>
          <w:t>https://www.gov.uk/flexible-working</w:t>
        </w:r>
      </w:hyperlink>
      <w:r w:rsidRPr="004F71D7">
        <w:rPr>
          <w:rFonts w:asciiTheme="majorHAnsi" w:hAnsiTheme="majorHAnsi" w:cs="Times New Roman"/>
          <w:color w:val="EE0000"/>
          <w:sz w:val="26"/>
          <w:szCs w:val="26"/>
        </w:rPr>
        <w:t xml:space="preserve"> </w:t>
      </w:r>
    </w:p>
    <w:p w14:paraId="2FEE4124" w14:textId="77777777" w:rsidR="00BF5249" w:rsidRPr="004F71D7" w:rsidRDefault="00BF5249" w:rsidP="00BF5249">
      <w:pPr>
        <w:spacing w:after="0" w:line="240" w:lineRule="auto"/>
        <w:rPr>
          <w:rFonts w:asciiTheme="majorHAnsi" w:eastAsia="Times New Roman" w:hAnsiTheme="majorHAnsi" w:cs="Times New Roman"/>
          <w:sz w:val="26"/>
          <w:szCs w:val="26"/>
        </w:rPr>
      </w:pPr>
      <w:r w:rsidRPr="004F71D7">
        <w:rPr>
          <w:rFonts w:asciiTheme="majorHAnsi" w:eastAsia="Times New Roman" w:hAnsiTheme="majorHAnsi" w:cs="Times New Roman"/>
          <w:sz w:val="26"/>
          <w:szCs w:val="26"/>
        </w:rPr>
        <w:t xml:space="preserve">GOV.UK (2024) </w:t>
      </w:r>
      <w:r w:rsidRPr="004F71D7">
        <w:rPr>
          <w:rFonts w:asciiTheme="majorHAnsi" w:eastAsia="Times New Roman" w:hAnsiTheme="majorHAnsi" w:cs="Times New Roman"/>
          <w:i/>
          <w:iCs/>
          <w:sz w:val="26"/>
          <w:szCs w:val="26"/>
        </w:rPr>
        <w:t>Flexible working</w:t>
      </w:r>
      <w:r w:rsidRPr="004F71D7">
        <w:rPr>
          <w:rFonts w:asciiTheme="majorHAnsi" w:eastAsia="Times New Roman" w:hAnsiTheme="majorHAnsi" w:cs="Times New Roman"/>
          <w:sz w:val="26"/>
          <w:szCs w:val="26"/>
        </w:rPr>
        <w:t xml:space="preserve">. Available at:  GOV.UK Flexible Working Information </w:t>
      </w:r>
    </w:p>
    <w:p w14:paraId="6245CD3B" w14:textId="77777777" w:rsidR="00BF5249" w:rsidRPr="004F71D7" w:rsidRDefault="00BF5249" w:rsidP="00BF5249">
      <w:pPr>
        <w:pStyle w:val="NormalWeb"/>
        <w:spacing w:before="0" w:beforeAutospacing="0" w:after="180" w:afterAutospacing="0"/>
        <w:rPr>
          <w:rFonts w:asciiTheme="majorHAnsi" w:hAnsiTheme="majorHAnsi"/>
          <w:sz w:val="26"/>
          <w:szCs w:val="26"/>
        </w:rPr>
      </w:pPr>
      <w:hyperlink r:id="rId75" w:history="1">
        <w:r w:rsidRPr="004F71D7">
          <w:rPr>
            <w:rStyle w:val="Hyperlink"/>
            <w:rFonts w:asciiTheme="majorHAnsi" w:hAnsiTheme="majorHAnsi" w:cs="Times New Roman"/>
            <w:color w:val="auto"/>
            <w:sz w:val="26"/>
            <w:szCs w:val="26"/>
            <w:u w:val="none"/>
          </w:rPr>
          <w:t>Gov.uk</w:t>
        </w:r>
      </w:hyperlink>
      <w:r w:rsidRPr="004F71D7">
        <w:rPr>
          <w:rFonts w:asciiTheme="majorHAnsi" w:hAnsiTheme="majorHAnsi" w:cs="Times New Roman"/>
          <w:sz w:val="26"/>
          <w:szCs w:val="26"/>
        </w:rPr>
        <w:t xml:space="preserve"> (2024) Maternity pay and leave. Available at: </w:t>
      </w:r>
      <w:hyperlink r:id="rId76" w:history="1">
        <w:r w:rsidRPr="004F71D7">
          <w:rPr>
            <w:rStyle w:val="Hyperlink"/>
            <w:rFonts w:asciiTheme="majorHAnsi" w:hAnsiTheme="majorHAnsi" w:cs="Times New Roman"/>
            <w:color w:val="auto"/>
            <w:sz w:val="26"/>
            <w:szCs w:val="26"/>
            <w:u w:val="none"/>
          </w:rPr>
          <w:t>https://www.gov.uk/maternity-pay-leave</w:t>
        </w:r>
      </w:hyperlink>
      <w:r w:rsidRPr="004F71D7">
        <w:rPr>
          <w:rFonts w:asciiTheme="majorHAnsi" w:hAnsiTheme="majorHAnsi" w:cs="Times New Roman"/>
          <w:sz w:val="26"/>
          <w:szCs w:val="26"/>
        </w:rPr>
        <w:t xml:space="preserve"> </w:t>
      </w:r>
    </w:p>
    <w:p w14:paraId="2ADF3164" w14:textId="77777777" w:rsidR="00BF5249" w:rsidRPr="004F71D7" w:rsidRDefault="00BF5249" w:rsidP="00BF5249">
      <w:pPr>
        <w:pStyle w:val="NormalWeb"/>
        <w:spacing w:before="0" w:beforeAutospacing="0" w:after="180" w:afterAutospacing="0"/>
        <w:rPr>
          <w:rFonts w:asciiTheme="majorHAnsi" w:hAnsiTheme="majorHAnsi"/>
          <w:sz w:val="26"/>
          <w:szCs w:val="26"/>
        </w:rPr>
      </w:pPr>
      <w:hyperlink r:id="rId77" w:history="1">
        <w:r w:rsidRPr="004F71D7">
          <w:rPr>
            <w:rStyle w:val="Hyperlink"/>
            <w:rFonts w:asciiTheme="majorHAnsi" w:hAnsiTheme="majorHAnsi" w:cs="Times New Roman"/>
            <w:color w:val="auto"/>
            <w:sz w:val="26"/>
            <w:szCs w:val="26"/>
            <w:u w:val="none"/>
          </w:rPr>
          <w:t>Gov.uk</w:t>
        </w:r>
      </w:hyperlink>
      <w:r w:rsidRPr="004F71D7">
        <w:rPr>
          <w:rFonts w:asciiTheme="majorHAnsi" w:hAnsiTheme="majorHAnsi" w:cs="Times New Roman"/>
          <w:sz w:val="26"/>
          <w:szCs w:val="26"/>
        </w:rPr>
        <w:t xml:space="preserve"> (2024) Shared parental leave and pay. Available at: </w:t>
      </w:r>
      <w:hyperlink r:id="rId78" w:history="1">
        <w:r w:rsidRPr="004F71D7">
          <w:rPr>
            <w:rStyle w:val="Hyperlink"/>
            <w:rFonts w:asciiTheme="majorHAnsi" w:hAnsiTheme="majorHAnsi" w:cs="Times New Roman"/>
            <w:color w:val="auto"/>
            <w:sz w:val="26"/>
            <w:szCs w:val="26"/>
            <w:u w:val="none"/>
          </w:rPr>
          <w:t>https://www.gov.uk/shared-parental-leave-and-pay</w:t>
        </w:r>
      </w:hyperlink>
      <w:r w:rsidRPr="004F71D7">
        <w:rPr>
          <w:rFonts w:asciiTheme="majorHAnsi" w:hAnsiTheme="majorHAnsi" w:cs="Times New Roman"/>
          <w:sz w:val="26"/>
          <w:szCs w:val="26"/>
        </w:rPr>
        <w:t xml:space="preserve"> </w:t>
      </w:r>
    </w:p>
    <w:p w14:paraId="4F76A4D1" w14:textId="77777777" w:rsidR="00BF5249" w:rsidRPr="004F71D7" w:rsidRDefault="00BF5249" w:rsidP="00BF5249">
      <w:pPr>
        <w:pStyle w:val="NormalWeb"/>
        <w:spacing w:before="0" w:beforeAutospacing="0" w:after="180" w:afterAutospacing="0"/>
        <w:rPr>
          <w:rFonts w:asciiTheme="majorHAnsi" w:hAnsiTheme="majorHAnsi"/>
          <w:color w:val="EE0000"/>
          <w:sz w:val="26"/>
          <w:szCs w:val="26"/>
        </w:rPr>
      </w:pPr>
      <w:hyperlink r:id="rId79" w:history="1">
        <w:r w:rsidRPr="004F71D7">
          <w:rPr>
            <w:rStyle w:val="Hyperlink"/>
            <w:rFonts w:asciiTheme="majorHAnsi" w:hAnsiTheme="majorHAnsi" w:cs="Times New Roman"/>
            <w:color w:val="EE0000"/>
            <w:sz w:val="26"/>
            <w:szCs w:val="26"/>
            <w:u w:val="none"/>
          </w:rPr>
          <w:t>Gov.uk</w:t>
        </w:r>
      </w:hyperlink>
      <w:r w:rsidRPr="004F71D7">
        <w:rPr>
          <w:rFonts w:asciiTheme="majorHAnsi" w:hAnsiTheme="majorHAnsi" w:cs="Times New Roman"/>
          <w:color w:val="EE0000"/>
          <w:sz w:val="26"/>
          <w:szCs w:val="26"/>
        </w:rPr>
        <w:t xml:space="preserve"> (2024a) </w:t>
      </w:r>
      <w:r w:rsidRPr="004F71D7">
        <w:rPr>
          <w:rFonts w:asciiTheme="majorHAnsi" w:hAnsiTheme="majorHAnsi" w:cs="Times New Roman"/>
          <w:i/>
          <w:iCs/>
          <w:color w:val="EE0000"/>
          <w:sz w:val="26"/>
          <w:szCs w:val="26"/>
        </w:rPr>
        <w:t xml:space="preserve">Maternity </w:t>
      </w:r>
      <w:proofErr w:type="gramStart"/>
      <w:r w:rsidRPr="004F71D7">
        <w:rPr>
          <w:rFonts w:asciiTheme="majorHAnsi" w:hAnsiTheme="majorHAnsi" w:cs="Times New Roman"/>
          <w:i/>
          <w:iCs/>
          <w:color w:val="EE0000"/>
          <w:sz w:val="26"/>
          <w:szCs w:val="26"/>
        </w:rPr>
        <w:t>pay</w:t>
      </w:r>
      <w:proofErr w:type="gramEnd"/>
      <w:r w:rsidRPr="004F71D7">
        <w:rPr>
          <w:rFonts w:asciiTheme="majorHAnsi" w:hAnsiTheme="majorHAnsi" w:cs="Times New Roman"/>
          <w:i/>
          <w:iCs/>
          <w:color w:val="EE0000"/>
          <w:sz w:val="26"/>
          <w:szCs w:val="26"/>
        </w:rPr>
        <w:t xml:space="preserve"> and leave</w:t>
      </w:r>
      <w:r w:rsidRPr="004F71D7">
        <w:rPr>
          <w:rFonts w:asciiTheme="majorHAnsi" w:hAnsiTheme="majorHAnsi" w:cs="Times New Roman"/>
          <w:color w:val="EE0000"/>
          <w:sz w:val="26"/>
          <w:szCs w:val="26"/>
        </w:rPr>
        <w:t xml:space="preserve">. Available at: </w:t>
      </w:r>
      <w:hyperlink r:id="rId80" w:history="1">
        <w:r w:rsidRPr="004F71D7">
          <w:rPr>
            <w:rStyle w:val="Hyperlink"/>
            <w:rFonts w:asciiTheme="majorHAnsi" w:hAnsiTheme="majorHAnsi" w:cs="Times New Roman"/>
            <w:color w:val="EE0000"/>
            <w:sz w:val="26"/>
            <w:szCs w:val="26"/>
            <w:u w:val="none"/>
          </w:rPr>
          <w:t>https://www.gov.uk/maternity-pay-leave</w:t>
        </w:r>
      </w:hyperlink>
      <w:r w:rsidRPr="004F71D7">
        <w:rPr>
          <w:rFonts w:asciiTheme="majorHAnsi" w:hAnsiTheme="majorHAnsi" w:cs="Times New Roman"/>
          <w:color w:val="EE0000"/>
          <w:sz w:val="26"/>
          <w:szCs w:val="26"/>
        </w:rPr>
        <w:t xml:space="preserve"> (Accessed: 23 May 2026).</w:t>
      </w:r>
    </w:p>
    <w:p w14:paraId="159DB773" w14:textId="77777777" w:rsidR="00BF5249" w:rsidRPr="004F71D7" w:rsidRDefault="00BF5249" w:rsidP="00BF5249">
      <w:pPr>
        <w:pStyle w:val="NormalWeb"/>
        <w:rPr>
          <w:rFonts w:asciiTheme="majorHAnsi" w:hAnsiTheme="majorHAnsi"/>
          <w:sz w:val="26"/>
          <w:szCs w:val="26"/>
        </w:rPr>
      </w:pPr>
      <w:r w:rsidRPr="004F71D7">
        <w:rPr>
          <w:rFonts w:asciiTheme="majorHAnsi" w:hAnsiTheme="majorHAnsi"/>
          <w:sz w:val="26"/>
          <w:szCs w:val="26"/>
        </w:rPr>
        <w:t>Health and Safety Executive (2024) Managing for health and safety. Available at: </w:t>
      </w:r>
      <w:hyperlink r:id="rId81" w:history="1">
        <w:r w:rsidRPr="004F71D7">
          <w:rPr>
            <w:rStyle w:val="Hyperlink"/>
            <w:rFonts w:asciiTheme="majorHAnsi" w:hAnsiTheme="majorHAnsi"/>
            <w:color w:val="auto"/>
            <w:sz w:val="26"/>
            <w:szCs w:val="26"/>
            <w:u w:val="none"/>
          </w:rPr>
          <w:t>https://www.hse.gov.uk/managing/</w:t>
        </w:r>
      </w:hyperlink>
    </w:p>
    <w:p w14:paraId="5E93823B" w14:textId="77777777" w:rsidR="00BF5249" w:rsidRPr="004F71D7" w:rsidRDefault="00BF5249" w:rsidP="00BF5249">
      <w:pPr>
        <w:pStyle w:val="NormalWeb"/>
        <w:spacing w:before="0" w:beforeAutospacing="0" w:after="180" w:afterAutospacing="0"/>
        <w:rPr>
          <w:rFonts w:asciiTheme="majorHAnsi" w:hAnsiTheme="majorHAnsi"/>
          <w:color w:val="EE0000"/>
          <w:sz w:val="26"/>
          <w:szCs w:val="26"/>
        </w:rPr>
      </w:pPr>
      <w:r w:rsidRPr="004F71D7">
        <w:rPr>
          <w:rFonts w:asciiTheme="majorHAnsi" w:hAnsiTheme="majorHAnsi" w:cs="Times New Roman"/>
          <w:color w:val="EE0000"/>
          <w:sz w:val="26"/>
          <w:szCs w:val="26"/>
        </w:rPr>
        <w:t xml:space="preserve">Health and Safety Executive (HSE) (2024) </w:t>
      </w:r>
      <w:r w:rsidRPr="004F71D7">
        <w:rPr>
          <w:rFonts w:asciiTheme="majorHAnsi" w:hAnsiTheme="majorHAnsi"/>
          <w:i/>
          <w:iCs/>
          <w:color w:val="EE0000"/>
          <w:sz w:val="26"/>
          <w:szCs w:val="26"/>
        </w:rPr>
        <w:t>Health and safety at work: criminal and civil law</w:t>
      </w:r>
      <w:r w:rsidRPr="004F71D7">
        <w:rPr>
          <w:rFonts w:asciiTheme="majorHAnsi" w:hAnsiTheme="majorHAnsi" w:cs="Times New Roman"/>
          <w:color w:val="EE0000"/>
          <w:sz w:val="26"/>
          <w:szCs w:val="26"/>
        </w:rPr>
        <w:t>. Available at: HSE – Health and safety at work: criminal and civil law</w:t>
      </w:r>
      <w:r w:rsidRPr="004F71D7">
        <w:rPr>
          <w:rFonts w:ascii="Segoe UI Symbol" w:hAnsi="Segoe UI Symbol" w:cs="Segoe UI Symbol"/>
          <w:color w:val="EE0000"/>
          <w:sz w:val="26"/>
          <w:szCs w:val="26"/>
        </w:rPr>
        <w:t>⁠</w:t>
      </w:r>
      <w:r w:rsidRPr="004F71D7">
        <w:rPr>
          <w:rFonts w:asciiTheme="majorHAnsi" w:hAnsiTheme="majorHAnsi" w:cs="Times New Roman"/>
          <w:color w:val="EE0000"/>
          <w:sz w:val="26"/>
          <w:szCs w:val="26"/>
        </w:rPr>
        <w:t xml:space="preserve"> </w:t>
      </w:r>
    </w:p>
    <w:p w14:paraId="5BF7E7E6" w14:textId="77777777" w:rsidR="00BF5249" w:rsidRPr="004F71D7" w:rsidRDefault="00BF5249" w:rsidP="00BF5249">
      <w:pPr>
        <w:pStyle w:val="NormalWeb"/>
        <w:spacing w:before="0" w:beforeAutospacing="0" w:after="180" w:afterAutospacing="0"/>
        <w:rPr>
          <w:rFonts w:asciiTheme="majorHAnsi" w:hAnsiTheme="majorHAnsi"/>
          <w:sz w:val="26"/>
          <w:szCs w:val="26"/>
        </w:rPr>
      </w:pPr>
      <w:r w:rsidRPr="004F71D7">
        <w:rPr>
          <w:rFonts w:asciiTheme="majorHAnsi" w:hAnsiTheme="majorHAnsi" w:cs="Times New Roman"/>
          <w:sz w:val="26"/>
          <w:szCs w:val="26"/>
        </w:rPr>
        <w:t xml:space="preserve">House of Commons Library (2023) Retained EU law after Brexit. Available at: </w:t>
      </w:r>
      <w:hyperlink r:id="rId82" w:history="1">
        <w:r w:rsidRPr="004F71D7">
          <w:rPr>
            <w:rStyle w:val="Hyperlink"/>
            <w:rFonts w:asciiTheme="majorHAnsi" w:hAnsiTheme="majorHAnsi" w:cs="Times New Roman"/>
            <w:color w:val="auto"/>
            <w:sz w:val="26"/>
            <w:szCs w:val="26"/>
            <w:u w:val="none"/>
          </w:rPr>
          <w:t>https://commonslibrary.parliament.uk/research-briefings/cbp-9740/</w:t>
        </w:r>
      </w:hyperlink>
      <w:r w:rsidRPr="004F71D7">
        <w:rPr>
          <w:rFonts w:asciiTheme="majorHAnsi" w:hAnsiTheme="majorHAnsi" w:cs="Times New Roman"/>
          <w:sz w:val="26"/>
          <w:szCs w:val="26"/>
        </w:rPr>
        <w:t xml:space="preserve"> </w:t>
      </w:r>
    </w:p>
    <w:p w14:paraId="508853EC" w14:textId="77777777" w:rsidR="00BF5249" w:rsidRPr="004F71D7" w:rsidRDefault="00BF5249" w:rsidP="00BF5249">
      <w:pPr>
        <w:pStyle w:val="NormalWeb"/>
        <w:spacing w:before="0" w:beforeAutospacing="0" w:after="180" w:afterAutospacing="0"/>
        <w:rPr>
          <w:rFonts w:asciiTheme="majorHAnsi" w:hAnsiTheme="majorHAnsi"/>
          <w:sz w:val="26"/>
          <w:szCs w:val="26"/>
        </w:rPr>
      </w:pPr>
      <w:r w:rsidRPr="004F71D7">
        <w:rPr>
          <w:rFonts w:asciiTheme="majorHAnsi" w:hAnsiTheme="majorHAnsi" w:cs="Times New Roman"/>
          <w:sz w:val="26"/>
          <w:szCs w:val="26"/>
        </w:rPr>
        <w:t xml:space="preserve">Judiciary UK (2024) Employment Tribunal time limits. Available at: </w:t>
      </w:r>
      <w:hyperlink r:id="rId83" w:history="1">
        <w:r w:rsidRPr="004F71D7">
          <w:rPr>
            <w:rStyle w:val="Hyperlink"/>
            <w:rFonts w:asciiTheme="majorHAnsi" w:hAnsiTheme="majorHAnsi" w:cs="Times New Roman"/>
            <w:color w:val="auto"/>
            <w:sz w:val="26"/>
            <w:szCs w:val="26"/>
            <w:u w:val="none"/>
          </w:rPr>
          <w:t>https://www.judiciary.uk/guidance-and-resources/employment-tribunals/</w:t>
        </w:r>
      </w:hyperlink>
      <w:r w:rsidRPr="004F71D7">
        <w:rPr>
          <w:rFonts w:asciiTheme="majorHAnsi" w:hAnsiTheme="majorHAnsi" w:cs="Times New Roman"/>
          <w:sz w:val="26"/>
          <w:szCs w:val="26"/>
        </w:rPr>
        <w:t xml:space="preserve"> </w:t>
      </w:r>
    </w:p>
    <w:p w14:paraId="190857C2" w14:textId="77777777" w:rsidR="00BF5249" w:rsidRPr="004F71D7" w:rsidRDefault="00BF5249" w:rsidP="00BF5249">
      <w:pPr>
        <w:spacing w:after="0" w:line="240" w:lineRule="auto"/>
        <w:rPr>
          <w:rFonts w:asciiTheme="majorHAnsi" w:eastAsia="Times New Roman" w:hAnsiTheme="majorHAnsi" w:cs="Times New Roman"/>
          <w:sz w:val="26"/>
          <w:szCs w:val="26"/>
        </w:rPr>
      </w:pPr>
      <w:r w:rsidRPr="004F71D7">
        <w:rPr>
          <w:rFonts w:asciiTheme="majorHAnsi" w:eastAsia="Times New Roman" w:hAnsiTheme="majorHAnsi" w:cs="Times New Roman"/>
          <w:sz w:val="26"/>
          <w:szCs w:val="26"/>
        </w:rPr>
        <w:t xml:space="preserve">UK Government (2023) </w:t>
      </w:r>
      <w:r w:rsidRPr="004F71D7">
        <w:rPr>
          <w:rFonts w:asciiTheme="majorHAnsi" w:eastAsia="Times New Roman" w:hAnsiTheme="majorHAnsi" w:cs="Times New Roman"/>
          <w:i/>
          <w:iCs/>
          <w:sz w:val="26"/>
          <w:szCs w:val="26"/>
        </w:rPr>
        <w:t>Employment Relations (Flexible Working) Act 2023</w:t>
      </w:r>
      <w:r w:rsidRPr="004F71D7">
        <w:rPr>
          <w:rFonts w:asciiTheme="majorHAnsi" w:eastAsia="Times New Roman" w:hAnsiTheme="majorHAnsi" w:cs="Times New Roman"/>
          <w:sz w:val="26"/>
          <w:szCs w:val="26"/>
        </w:rPr>
        <w:t xml:space="preserve">. Available at:  Employment Relations (Flexible Working) Act 2023 </w:t>
      </w:r>
    </w:p>
    <w:p w14:paraId="701B6AD7" w14:textId="77777777" w:rsidR="00BF5249" w:rsidRPr="004F71D7" w:rsidRDefault="00BF5249" w:rsidP="00BF5249">
      <w:pPr>
        <w:pStyle w:val="NormalWeb"/>
        <w:spacing w:before="0" w:beforeAutospacing="0" w:after="180" w:afterAutospacing="0"/>
        <w:rPr>
          <w:rFonts w:asciiTheme="majorHAnsi" w:hAnsiTheme="majorHAnsi"/>
          <w:color w:val="EE0000"/>
          <w:sz w:val="26"/>
          <w:szCs w:val="26"/>
        </w:rPr>
      </w:pPr>
      <w:r w:rsidRPr="004F71D7">
        <w:rPr>
          <w:rFonts w:asciiTheme="majorHAnsi" w:hAnsiTheme="majorHAnsi" w:cs="Times New Roman"/>
          <w:color w:val="EE0000"/>
          <w:sz w:val="26"/>
          <w:szCs w:val="26"/>
        </w:rPr>
        <w:lastRenderedPageBreak/>
        <w:t xml:space="preserve">UK Parliament (1996) </w:t>
      </w:r>
      <w:r w:rsidRPr="004F71D7">
        <w:rPr>
          <w:rFonts w:asciiTheme="majorHAnsi" w:hAnsiTheme="majorHAnsi" w:cs="Times New Roman"/>
          <w:i/>
          <w:iCs/>
          <w:color w:val="EE0000"/>
          <w:sz w:val="26"/>
          <w:szCs w:val="26"/>
        </w:rPr>
        <w:t>Employment Rights Act 1996</w:t>
      </w:r>
      <w:r w:rsidRPr="004F71D7">
        <w:rPr>
          <w:rFonts w:asciiTheme="majorHAnsi" w:hAnsiTheme="majorHAnsi" w:cs="Times New Roman"/>
          <w:color w:val="EE0000"/>
          <w:sz w:val="26"/>
          <w:szCs w:val="26"/>
        </w:rPr>
        <w:t xml:space="preserve">. Available at: </w:t>
      </w:r>
      <w:hyperlink r:id="rId84" w:history="1">
        <w:r w:rsidRPr="004F71D7">
          <w:rPr>
            <w:rStyle w:val="Hyperlink"/>
            <w:rFonts w:asciiTheme="majorHAnsi" w:hAnsiTheme="majorHAnsi" w:cs="Times New Roman"/>
            <w:color w:val="EE0000"/>
            <w:sz w:val="26"/>
            <w:szCs w:val="26"/>
            <w:u w:val="none"/>
          </w:rPr>
          <w:t>https://www.legislation.gov.uk/ukpga/1996/18/contents</w:t>
        </w:r>
      </w:hyperlink>
      <w:r w:rsidRPr="004F71D7">
        <w:rPr>
          <w:rFonts w:asciiTheme="majorHAnsi" w:hAnsiTheme="majorHAnsi" w:cs="Times New Roman"/>
          <w:color w:val="EE0000"/>
          <w:sz w:val="26"/>
          <w:szCs w:val="26"/>
        </w:rPr>
        <w:t xml:space="preserve"> </w:t>
      </w:r>
    </w:p>
    <w:p w14:paraId="66DEB13D" w14:textId="77777777" w:rsidR="00BF5249" w:rsidRPr="004F71D7" w:rsidRDefault="00BF5249" w:rsidP="00BF5249">
      <w:pPr>
        <w:pStyle w:val="NormalWeb"/>
        <w:spacing w:before="0" w:beforeAutospacing="0" w:after="180" w:afterAutospacing="0"/>
        <w:rPr>
          <w:rFonts w:asciiTheme="majorHAnsi" w:hAnsiTheme="majorHAnsi"/>
          <w:color w:val="EE0000"/>
          <w:sz w:val="26"/>
          <w:szCs w:val="26"/>
        </w:rPr>
      </w:pPr>
      <w:r w:rsidRPr="004F71D7">
        <w:rPr>
          <w:rFonts w:asciiTheme="majorHAnsi" w:hAnsiTheme="majorHAnsi" w:cs="Times New Roman"/>
          <w:color w:val="EE0000"/>
          <w:sz w:val="26"/>
          <w:szCs w:val="26"/>
        </w:rPr>
        <w:t>Western Excavating (ECC) Ltd v Sharp [1978] ICR 221.</w:t>
      </w:r>
    </w:p>
    <w:p w14:paraId="08426A2C" w14:textId="77777777" w:rsidR="00BF5249" w:rsidRPr="004F71D7" w:rsidRDefault="00BF5249" w:rsidP="00BF5249">
      <w:pPr>
        <w:pStyle w:val="NormalWeb"/>
        <w:spacing w:before="0" w:beforeAutospacing="0" w:after="180" w:afterAutospacing="0"/>
        <w:rPr>
          <w:rFonts w:asciiTheme="majorHAnsi" w:hAnsiTheme="majorHAnsi"/>
          <w:color w:val="EE0000"/>
          <w:sz w:val="26"/>
          <w:szCs w:val="26"/>
        </w:rPr>
      </w:pPr>
      <w:r w:rsidRPr="004F71D7">
        <w:rPr>
          <w:rFonts w:asciiTheme="majorHAnsi" w:hAnsiTheme="majorHAnsi" w:cs="Times New Roman"/>
          <w:i/>
          <w:iCs/>
          <w:color w:val="EE0000"/>
          <w:sz w:val="26"/>
          <w:szCs w:val="26"/>
        </w:rPr>
        <w:t>Williams v British Airways plc</w:t>
      </w:r>
      <w:r w:rsidRPr="004F71D7">
        <w:rPr>
          <w:rFonts w:asciiTheme="majorHAnsi" w:hAnsiTheme="majorHAnsi" w:cs="Times New Roman"/>
          <w:color w:val="EE0000"/>
          <w:sz w:val="26"/>
          <w:szCs w:val="26"/>
        </w:rPr>
        <w:t xml:space="preserve"> (2011) C-155/10.</w:t>
      </w:r>
    </w:p>
    <w:p w14:paraId="76EFDADF" w14:textId="77777777" w:rsidR="00BF5249" w:rsidRDefault="00BF5249" w:rsidP="00BF5249"/>
    <w:p w14:paraId="61161A1B" w14:textId="77777777" w:rsidR="00527C7A" w:rsidRPr="0038285D" w:rsidRDefault="00527C7A" w:rsidP="00891701">
      <w:pPr>
        <w:rPr>
          <w:rFonts w:ascii="Aptos Display" w:hAnsi="Aptos Display"/>
          <w:sz w:val="26"/>
          <w:szCs w:val="26"/>
        </w:rPr>
      </w:pPr>
    </w:p>
    <w:sectPr w:rsidR="00527C7A" w:rsidRPr="003828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BA7657"/>
    <w:multiLevelType w:val="multilevel"/>
    <w:tmpl w:val="701C48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E26E77"/>
    <w:multiLevelType w:val="multilevel"/>
    <w:tmpl w:val="2C9A9E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7D30F6"/>
    <w:multiLevelType w:val="multilevel"/>
    <w:tmpl w:val="1F3CCC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218130978">
    <w:abstractNumId w:val="1"/>
  </w:num>
  <w:num w:numId="2" w16cid:durableId="8996805">
    <w:abstractNumId w:val="0"/>
  </w:num>
  <w:num w:numId="3" w16cid:durableId="1529917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1701"/>
    <w:rsid w:val="00084E75"/>
    <w:rsid w:val="000B25B6"/>
    <w:rsid w:val="000F320D"/>
    <w:rsid w:val="00152EBB"/>
    <w:rsid w:val="002024B7"/>
    <w:rsid w:val="002272AE"/>
    <w:rsid w:val="00237F8C"/>
    <w:rsid w:val="002427C9"/>
    <w:rsid w:val="003470F7"/>
    <w:rsid w:val="0038285D"/>
    <w:rsid w:val="003D1A00"/>
    <w:rsid w:val="00425DA9"/>
    <w:rsid w:val="00463BA4"/>
    <w:rsid w:val="00491704"/>
    <w:rsid w:val="004B6278"/>
    <w:rsid w:val="004D3256"/>
    <w:rsid w:val="004E7F78"/>
    <w:rsid w:val="00527C7A"/>
    <w:rsid w:val="00530C58"/>
    <w:rsid w:val="0060451F"/>
    <w:rsid w:val="00614B0F"/>
    <w:rsid w:val="00621D3E"/>
    <w:rsid w:val="00625708"/>
    <w:rsid w:val="0064389E"/>
    <w:rsid w:val="00645232"/>
    <w:rsid w:val="0066243C"/>
    <w:rsid w:val="0066760F"/>
    <w:rsid w:val="00681A1C"/>
    <w:rsid w:val="006930BB"/>
    <w:rsid w:val="00694691"/>
    <w:rsid w:val="006A6771"/>
    <w:rsid w:val="00704713"/>
    <w:rsid w:val="00725B7C"/>
    <w:rsid w:val="007617E8"/>
    <w:rsid w:val="00803242"/>
    <w:rsid w:val="008634B7"/>
    <w:rsid w:val="00865268"/>
    <w:rsid w:val="00866D4A"/>
    <w:rsid w:val="00891701"/>
    <w:rsid w:val="008924E3"/>
    <w:rsid w:val="008D0F2D"/>
    <w:rsid w:val="008E0729"/>
    <w:rsid w:val="008F667E"/>
    <w:rsid w:val="00991D39"/>
    <w:rsid w:val="009A14B3"/>
    <w:rsid w:val="009F6D45"/>
    <w:rsid w:val="00A24303"/>
    <w:rsid w:val="00A4084B"/>
    <w:rsid w:val="00AA7339"/>
    <w:rsid w:val="00AC6D76"/>
    <w:rsid w:val="00AF0762"/>
    <w:rsid w:val="00B64DB1"/>
    <w:rsid w:val="00BF5249"/>
    <w:rsid w:val="00C35CCA"/>
    <w:rsid w:val="00C764A4"/>
    <w:rsid w:val="00CF6901"/>
    <w:rsid w:val="00D2447B"/>
    <w:rsid w:val="00D47B9B"/>
    <w:rsid w:val="00D943EE"/>
    <w:rsid w:val="00DB16A4"/>
    <w:rsid w:val="00DF0E12"/>
    <w:rsid w:val="00E12DF8"/>
    <w:rsid w:val="00E922F1"/>
    <w:rsid w:val="00E932C8"/>
    <w:rsid w:val="00EC0CB8"/>
    <w:rsid w:val="00ED4AEC"/>
    <w:rsid w:val="00F41B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880BB"/>
  <w15:chartTrackingRefBased/>
  <w15:docId w15:val="{592F3814-5608-45F6-A4A2-C0D21E0B47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170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9170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9170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9170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9170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917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17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17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17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170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9170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9170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9170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9170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917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17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17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1701"/>
    <w:rPr>
      <w:rFonts w:eastAsiaTheme="majorEastAsia" w:cstheme="majorBidi"/>
      <w:color w:val="272727" w:themeColor="text1" w:themeTint="D8"/>
    </w:rPr>
  </w:style>
  <w:style w:type="paragraph" w:styleId="Title">
    <w:name w:val="Title"/>
    <w:basedOn w:val="Normal"/>
    <w:next w:val="Normal"/>
    <w:link w:val="TitleChar"/>
    <w:uiPriority w:val="10"/>
    <w:qFormat/>
    <w:rsid w:val="008917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17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17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17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1701"/>
    <w:pPr>
      <w:spacing w:before="160"/>
      <w:jc w:val="center"/>
    </w:pPr>
    <w:rPr>
      <w:i/>
      <w:iCs/>
      <w:color w:val="404040" w:themeColor="text1" w:themeTint="BF"/>
    </w:rPr>
  </w:style>
  <w:style w:type="character" w:customStyle="1" w:styleId="QuoteChar">
    <w:name w:val="Quote Char"/>
    <w:basedOn w:val="DefaultParagraphFont"/>
    <w:link w:val="Quote"/>
    <w:uiPriority w:val="29"/>
    <w:rsid w:val="00891701"/>
    <w:rPr>
      <w:i/>
      <w:iCs/>
      <w:color w:val="404040" w:themeColor="text1" w:themeTint="BF"/>
    </w:rPr>
  </w:style>
  <w:style w:type="paragraph" w:styleId="ListParagraph">
    <w:name w:val="List Paragraph"/>
    <w:basedOn w:val="Normal"/>
    <w:uiPriority w:val="34"/>
    <w:qFormat/>
    <w:rsid w:val="00891701"/>
    <w:pPr>
      <w:ind w:left="720"/>
      <w:contextualSpacing/>
    </w:pPr>
  </w:style>
  <w:style w:type="character" w:styleId="IntenseEmphasis">
    <w:name w:val="Intense Emphasis"/>
    <w:basedOn w:val="DefaultParagraphFont"/>
    <w:uiPriority w:val="21"/>
    <w:qFormat/>
    <w:rsid w:val="00891701"/>
    <w:rPr>
      <w:i/>
      <w:iCs/>
      <w:color w:val="2F5496" w:themeColor="accent1" w:themeShade="BF"/>
    </w:rPr>
  </w:style>
  <w:style w:type="paragraph" w:styleId="IntenseQuote">
    <w:name w:val="Intense Quote"/>
    <w:basedOn w:val="Normal"/>
    <w:next w:val="Normal"/>
    <w:link w:val="IntenseQuoteChar"/>
    <w:uiPriority w:val="30"/>
    <w:qFormat/>
    <w:rsid w:val="0089170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91701"/>
    <w:rPr>
      <w:i/>
      <w:iCs/>
      <w:color w:val="2F5496" w:themeColor="accent1" w:themeShade="BF"/>
    </w:rPr>
  </w:style>
  <w:style w:type="character" w:styleId="IntenseReference">
    <w:name w:val="Intense Reference"/>
    <w:basedOn w:val="DefaultParagraphFont"/>
    <w:uiPriority w:val="32"/>
    <w:qFormat/>
    <w:rsid w:val="00891701"/>
    <w:rPr>
      <w:b/>
      <w:bCs/>
      <w:smallCaps/>
      <w:color w:val="2F5496" w:themeColor="accent1" w:themeShade="BF"/>
      <w:spacing w:val="5"/>
    </w:rPr>
  </w:style>
  <w:style w:type="character" w:styleId="Hyperlink">
    <w:name w:val="Hyperlink"/>
    <w:basedOn w:val="DefaultParagraphFont"/>
    <w:uiPriority w:val="99"/>
    <w:semiHidden/>
    <w:unhideWhenUsed/>
    <w:rsid w:val="00891701"/>
    <w:rPr>
      <w:color w:val="0000FF"/>
      <w:u w:val="single"/>
    </w:rPr>
  </w:style>
  <w:style w:type="paragraph" w:styleId="NormalWeb">
    <w:name w:val="Normal (Web)"/>
    <w:basedOn w:val="Normal"/>
    <w:uiPriority w:val="99"/>
    <w:unhideWhenUsed/>
    <w:rsid w:val="00891701"/>
    <w:pPr>
      <w:spacing w:before="100" w:beforeAutospacing="1" w:after="100" w:afterAutospacing="1" w:line="240" w:lineRule="auto"/>
    </w:pPr>
    <w:rPr>
      <w:rFonts w:ascii="Aptos" w:hAnsi="Aptos" w:cs="Aptos"/>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linkprotect.cudasvc.com/url?a=https%3a%2f%2fGov.uk&amp;c=E,1,FHKpzYKGhgk2gLHwCOAxJ-u5oB69RZy3HeuMPC46VXJ85P5EDQmSrkz9TV1Wv63GLLO9wjU_zTehNVlIAwdgOeHwnkHgfdpO4aj6mClSGlm-OBv2WWY92Vk,&amp;typo=1&amp;ancr_add=1" TargetMode="External"/><Relationship Id="rId21" Type="http://schemas.openxmlformats.org/officeDocument/2006/relationships/hyperlink" Target="https://linkprotect.cudasvc.com/url?a=https%3a%2f%2fGov.uk&amp;c=E,1,OTJ5Iz5Ma0BHCW6a7nYH5T-s3imMQf2UwwLZOEZDKBOaOol-ZBXCx4HdlUaX4Yqfht6PKqG0M9L0RdtL_NV9ATDaGF4kWm5TdZ6upT7DHk0,&amp;typo=1&amp;ancr_add=1" TargetMode="External"/><Relationship Id="rId42" Type="http://schemas.openxmlformats.org/officeDocument/2006/relationships/hyperlink" Target="https://linkprotect.cudasvc.com/url?a=https%3a%2f%2fwww.cipd.org%2fuk%2fknowledge%2ffactsheets%2fequal-pay-factsheet%2f&amp;c=E,1,V4NWAwRjMKJffW6g7NhTUftVzAd_xqX4-SFtKH3Il4YGbJ3kaJvKrVsGCQElHme_l4aPTwjXc6hkwmziFQFQzauaU15-5SlM1D6KR99o5JU,&amp;typo=1" TargetMode="External"/><Relationship Id="rId47" Type="http://schemas.openxmlformats.org/officeDocument/2006/relationships/hyperlink" Target="https://linkprotect.cudasvc.com/url?a=https%3a%2f%2fwww.cipd.org%2fuk%2fknowledge%2ffactsheets%2ftupe-factsheet%2f&amp;c=E,1,9lpYZi1iaTD-Ou-beRaG_DqAtMGvrPr4T4l2IXjM3NlD8ctSCH_FoGHyHFn29xgmb7tv-DVdnv3JeWzLNysFxBvjNGOWMqJihdYTFQ2eqhadDVQJwK1uKXM,&amp;typo=1" TargetMode="External"/><Relationship Id="rId63" Type="http://schemas.openxmlformats.org/officeDocument/2006/relationships/hyperlink" Target="http://gov.uk/" TargetMode="External"/><Relationship Id="rId68" Type="http://schemas.openxmlformats.org/officeDocument/2006/relationships/hyperlink" Target="https://linkprotect.cudasvc.com/url?a=https%3a%2f%2fwww.legislation.gov.uk%2fukpga%2f2023%2f13%2fcontents&amp;c=E,1,WWRP9bCA_2UgUxMJj8P5aqtz7FskUn-7NwHhuri9sno0qWRoUtDlfF9_nAt5NtaZEcQXPUPNSUkEs2Ui7juQcCqM9xrWhjuNG7itTwDywkoJDGEbGRdX3qsE&amp;typo=1&amp;ancr_add=1" TargetMode="External"/><Relationship Id="rId84" Type="http://schemas.openxmlformats.org/officeDocument/2006/relationships/hyperlink" Target="https://linkprotect.cudasvc.com/url?a=https%3a%2f%2fwww.legislation.gov.uk%2fukpga%2f1996%2f18%2fcontents&amp;c=E,1,xS91ZZfaMWv6r7WObvzOzJiE2zGZNvMxuxl7hAnadiAL9YpVXvo0W6oIBxpMs8F8knwYAE8UeESFFz_q8HUurglqyb28KmYGmpyUetvN22wZbxErrr1z7Uovn-s,&amp;typo=1&amp;ancr_add=1" TargetMode="External"/><Relationship Id="rId16" Type="http://schemas.openxmlformats.org/officeDocument/2006/relationships/hyperlink" Target="https://linkprotect.cudasvc.com/url?a=https%3a%2f%2fGov.uk&amp;c=E,1,UKLdJbsHFyXaHrn1ARGJwHJvWetGSPF44ovwIMk-Zmu0Av7BgF7AzWipPL7Ajt1lyFDviH6Oq9dRWP6mL4nPV8xazRICI6X0a4I2Q37Irbs,&amp;typo=1&amp;ancr_add=1" TargetMode="External"/><Relationship Id="rId11" Type="http://schemas.openxmlformats.org/officeDocument/2006/relationships/hyperlink" Target="https://linkprotect.cudasvc.com/url?a=https%3a%2f%2fGov.uk&amp;c=E,1,zaxwxbdXjC33Lh1794_Z-I5N9wZoWIe5-7PP-34b6Q1R-Oumq2_i3fbkAvDwjtLV76mlMzaByfh-EWHA-JtzZMJDn1yB40HXGMyz8eSqIJCss86tXaK6&amp;typo=1&amp;ancr_add=1" TargetMode="External"/><Relationship Id="rId32" Type="http://schemas.openxmlformats.org/officeDocument/2006/relationships/hyperlink" Target="https://linkprotect.cudasvc.com/url?a=https%3a%2f%2fwww.acas.org.uk%2fequal-pay&amp;c=E,1,7F8Al47a0bifQwG0G4WNiqvnxY4didFOS18tccs_TZS_dc-9svhlirhMr3dFczAMp3-HTo3_o4Mv2MKHmSQIovKILJpUSKAn_7eKvfsxhuJauFuWORkwbA,,&amp;typo=1" TargetMode="External"/><Relationship Id="rId37" Type="http://schemas.openxmlformats.org/officeDocument/2006/relationships/hyperlink" Target="https://linkprotect.cudasvc.com/url?a=https%3a%2f%2fwww.acas.org.uk%2ftupe&amp;c=E,1,QTaWKdEXDLv2v2hQEYcwTaL69PtRuvzEI4joF3n0aTIucWkLTaH8WHuAEc_9fe5sS-OzkOKBQSc_amKJP1UeND3SSpBogU1r0jF3f0JOJ6__qZO-kzX2&amp;typo=1" TargetMode="External"/><Relationship Id="rId53" Type="http://schemas.openxmlformats.org/officeDocument/2006/relationships/hyperlink" Target="https://linkprotect.cudasvc.com/url?a=https%3a%2f%2fwww.equalityhumanrights.com%2fen%2fadvice-and-guidance%2foccupational-requirements&amp;c=E,1,38AsZOzFlgtF34horxfbrpaSs7FArzM7gCPReONYPKhngu_NB7SFNKU9gSVKIacvu1QuXoOrp40KPFplmSQ0JUacqOLwDUg6wEoRhU_C_kyFKEDV&amp;typo=1" TargetMode="External"/><Relationship Id="rId58" Type="http://schemas.openxmlformats.org/officeDocument/2006/relationships/hyperlink" Target="https://linkprotect.cudasvc.com/url?a=https%3a%2f%2fwww.legislation.gov.uk%2fukpga%2f1996%2f18%2fcontents&amp;c=E,1,iCIv3onkib9-U3EgVRVY1wmV_OTcju1hPY7PKR_Iy8QG41vJmwJn94xvQ4m1ZRqvqCQk40uPT89c5zWkDPeC_y0Pi1oWrZJ4zqIGiGsF9aHd3iwAhbIiZ8mvhvU,&amp;typo=1" TargetMode="External"/><Relationship Id="rId74" Type="http://schemas.openxmlformats.org/officeDocument/2006/relationships/hyperlink" Target="https://www.gov.uk/flexible-working" TargetMode="External"/><Relationship Id="rId79" Type="http://schemas.openxmlformats.org/officeDocument/2006/relationships/hyperlink" Target="https://linkprotect.cudasvc.com/url?a=https%3a%2f%2fGov.uk&amp;c=E,1,qGD_jTbZt3JbNhusQZXXgY7wxFAeskd6nU0fmQgVH-jrQbeio6ZiqcCbh29wi2xZlnla1CHHl2JEIClZjavXL0I8uJxrLelC1ctIaianxA,,&amp;typo=1&amp;ancr_add=1" TargetMode="External"/><Relationship Id="rId5" Type="http://schemas.openxmlformats.org/officeDocument/2006/relationships/styles" Target="styles.xml"/><Relationship Id="rId19" Type="http://schemas.openxmlformats.org/officeDocument/2006/relationships/hyperlink" Target="https://linkprotect.cudasvc.com/url?a=https%3a%2f%2fGov.uk&amp;c=E,1,ZzAgIprE8yAotXTlp-Hn0ZniAXmNTh_7ZpGjDxggYu_YQBFbu2jdENtBMMNGJvPSALuYKWtrmmUVgo_i_MUMC0TpHnWclRL77vG31JpgS25SO-tnbTeGIQ,,&amp;typo=1&amp;ancr_add=1" TargetMode="External"/><Relationship Id="rId14" Type="http://schemas.openxmlformats.org/officeDocument/2006/relationships/hyperlink" Target="https://linkprotect.cudasvc.com/url?a=https%3a%2f%2fGov.uk&amp;c=E,1,KYhGa7hGFOHLl3hNFmIPU2_xSMDhzLqQehs3ci6Nbh_TfIj44W-Lzs8X7DY0RBBia3BJoxCGHlzEEm1DYSRs1VvG4XfWRtxGbmZO1hsm-l3WefkGgR9ZHnnmBbNr&amp;typo=1&amp;ancr_add=1" TargetMode="External"/><Relationship Id="rId22" Type="http://schemas.openxmlformats.org/officeDocument/2006/relationships/hyperlink" Target="https://linkprotect.cudasvc.com/url?a=https%3a%2f%2fGov.uk&amp;c=E,1,q9yAYCLryKZh0OtjwJc5q9Ps93Sbhr3ynFfo3rhDhaRQAFvNJ5LBcvRXc00bM5FXsem0us8wVDVyAh0orKD4bmuFoR0JxAAzLSE-lb5uFn39RExzi9i_Spk,&amp;typo=1&amp;ancr_add=1" TargetMode="External"/><Relationship Id="rId27" Type="http://schemas.openxmlformats.org/officeDocument/2006/relationships/hyperlink" Target="https://linkprotect.cudasvc.com/url?a=https%3a%2f%2fGov.uk&amp;c=E,1,ClNlHM5cvDkiyPnQ7sCKDLS8ErXho7PnsKcquKtStq2nltv9OD-CXajMAoeKPU5NcIU2ikudtPvh5yz8hgoqgCfx8sbUlYod78H7Mo6l0H-54hyd3g,,&amp;typo=1&amp;ancr_add=1" TargetMode="External"/><Relationship Id="rId30" Type="http://schemas.openxmlformats.org/officeDocument/2006/relationships/hyperlink" Target="https://linkprotect.cudasvc.com/url?a=https%3a%2f%2fwww.acas.org.uk%2fdiscrimination-and-the-law&amp;c=E,1,RS-s9Mmmy94cQjjH9hz1A8ycQv4X9gYyQ6pN6tC9XCHUr5cdStywJJ_iS-gaqSbgMvfmZDAUEIqIMLCLUf8dG-8pVHl19yldK8n-mdB6Dz9SqLM,&amp;typo=1" TargetMode="External"/><Relationship Id="rId35" Type="http://schemas.openxmlformats.org/officeDocument/2006/relationships/hyperlink" Target="https://linkprotect.cudasvc.com/url?a=https%3a%2f%2fwww.acas.org.uk%2fredundancy&amp;c=E,1,aMxTSQ-uExJiExX-0vQsPL6W3DUoFiuJPbZD1Bwh4wM6TNz_WG8eH3tNEzXfqD1Bgs91eOidQjp7_gkDODpByoXZcjjVHRaQlDog8MuS1uMtO0H3Yw,,&amp;typo=1" TargetMode="External"/><Relationship Id="rId43" Type="http://schemas.openxmlformats.org/officeDocument/2006/relationships/hyperlink" Target="https://linkprotect.cudasvc.com/url?a=https%3a%2f%2fwww.cipd.org%2fuk%2fknowledge%2ffactsheets%2ffamily-friendly-leave-factsheet%2f&amp;c=E,1,WXi9D24JlQEaxijDUXNtGYvxRZgGIX2C4dOQbVn2_-tVGx0w9ANTlaXUmpfeKp0MCzGQlq36i8gR2TcXZZ0rvWLh4f0MEP1MeJg9xd6NyA,,&amp;typo=1&amp;ancr_add=1" TargetMode="External"/><Relationship Id="rId48" Type="http://schemas.openxmlformats.org/officeDocument/2006/relationships/hyperlink" Target="https://linkprotect.cudasvc.com/url?a=https%3a%2f%2fwww.cipd.org%2fuk%2fknowledge%2ffactsheets%2fworking-time-factsheet%2f&amp;c=E,1,TqdxZVIKwgN7yuEa3VM9l9L0KZ4_DKsWEGmH3PrgPwP6OGv5Vve4G-bx5yc8g1HuiDSMTbzCETiKkxl_GyPIcVWFAw6Jp0HTu3KwDNqHT46WBIarRgbz&amp;typo=1" TargetMode="External"/><Relationship Id="rId56" Type="http://schemas.openxmlformats.org/officeDocument/2006/relationships/hyperlink" Target="https://linkprotect.cudasvc.com/url?a=https%3a%2f%2fwww.legislation.gov.uk%2fukpga%2f1992%2f52%2fcontents&amp;c=E,1,_oiBrL0gObwmqcowZ5O_rblt43TTYVYjinQe2-N_VmUTkJKAWC6FMytxMCGE9aDkCzBmZKp2ZiyOFjatJE55VFIxCZ3Ao-pBx5XmA4W8YSfKfa1W4Q,,&amp;typo=1" TargetMode="External"/><Relationship Id="rId64" Type="http://schemas.openxmlformats.org/officeDocument/2006/relationships/hyperlink" Target="https://linkprotect.cudasvc.com/url?a=https%3a%2f%2fwww.legislation.gov.uk%2fukpga%2f2010%2f15%2fcontents&amp;c=E,1,VdwiLCL4L2gzswmRN7P8pyQ4WPYXQwKDtwQmfZUBBsAIZL-eTWNk796zcBqWzk0KtO9DFOpTXy45iOShLABNTm4FAmApXn9O1rmnTWsGlRY,&amp;typo=1" TargetMode="External"/><Relationship Id="rId69" Type="http://schemas.openxmlformats.org/officeDocument/2006/relationships/hyperlink" Target="http://gov.uk/" TargetMode="External"/><Relationship Id="rId77" Type="http://schemas.openxmlformats.org/officeDocument/2006/relationships/hyperlink" Target="http://gov.uk/" TargetMode="External"/><Relationship Id="rId8" Type="http://schemas.openxmlformats.org/officeDocument/2006/relationships/hyperlink" Target="https://linkprotect.cudasvc.com/url?a=https%3a%2f%2fGov.uk&amp;c=E,1,cxqBb3pxpH_uPU_U3nLq-0Tw4hfIFQMQ5JmXtxEyPIfnKtYktebI3VGCIJ8vEeKtLzp38AfV6fkG-hVNhqP8poDgEz8tA8CZ3i-HEynhkCFf&amp;typo=1&amp;ancr_add=1" TargetMode="External"/><Relationship Id="rId51" Type="http://schemas.openxmlformats.org/officeDocument/2006/relationships/hyperlink" Target="https://linkprotect.cudasvc.com/url?a=https%3a%2f%2fwww.equalityhumanrights.com%2f&amp;c=E,1,_ff9X0nobFkIstITGIYSCNGFLiocNme2EnhZMzDcpYOxOUbTHFYXYorznauK8-hmB1io_GMUAvH_yFI1tGVa5ZW7AbrJ7ISw23Ay6KBLjvEE&amp;typo=1" TargetMode="External"/><Relationship Id="rId72" Type="http://schemas.openxmlformats.org/officeDocument/2006/relationships/hyperlink" Target="https://www.gov.uk/employment-status" TargetMode="External"/><Relationship Id="rId80" Type="http://schemas.openxmlformats.org/officeDocument/2006/relationships/hyperlink" Target="https://www.gov.uk/maternity-pay-leave" TargetMode="External"/><Relationship Id="rId85"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https://linkprotect.cudasvc.com/url?a=https%3a%2f%2fGov.uk&amp;c=E,1,cKZFax0R5XWdeAYf2jVj97XMK8tWsxVIkvdmAe8Ac3qFBnJnPssJF_0Ky_BJ7qHDwRfGIfhiAy41HZkEeUFnR4F9xpy_T_WXh4SF-qUXi2qZ6NhGg6m4Zz4,&amp;typo=1&amp;ancr_add=1" TargetMode="External"/><Relationship Id="rId17" Type="http://schemas.openxmlformats.org/officeDocument/2006/relationships/hyperlink" Target="https://linkprotect.cudasvc.com/url?a=https%3a%2f%2fGov.uk&amp;c=E,1,j2FWWFwHl3ReOibotHY7A4SktFApuCJ10-5eonJGC7N-mBF1xK6BtKXx1o86a6d9jHo5LnNpUc14MLEjNmTXJ8YEoWOZbR4gFacmXLaQp3kWe5c,&amp;typo=1&amp;ancr_add=1" TargetMode="External"/><Relationship Id="rId25" Type="http://schemas.openxmlformats.org/officeDocument/2006/relationships/hyperlink" Target="https://linkprotect.cudasvc.com/url?a=https%3a%2f%2fGov.uk&amp;c=E,1,kuj6WNLCbB-s_3MNTg_cGz34n_hfYhjNrvVECYGjiIxOOSATLwHfFFa4sQk7k71J1axr7wyOzYDwHBr8x_ZxodcbvqOM1s1YhXh0Mp6m-j9H5llhVwaMmxutGdo,&amp;typo=1&amp;ancr_add=1" TargetMode="External"/><Relationship Id="rId33" Type="http://schemas.openxmlformats.org/officeDocument/2006/relationships/hyperlink" Target="https://linkprotect.cudasvc.com/url?a=https%3a%2f%2fwww.acas.org.uk%2fflexible-working&amp;c=E,1,AcygOk04fSnR53vTwZ8IyNxEvMwea2ssvE-F3kQhOrTnpvZXSbCcpwR4s6lpx35h8MESpUhMuZkxKlVC9h-9tLOIXf_vjq18p_ibfkuBElc-VGCRi8kffqo5PZQ,&amp;typo=1&amp;ancr_add=1" TargetMode="External"/><Relationship Id="rId38" Type="http://schemas.openxmlformats.org/officeDocument/2006/relationships/hyperlink" Target="https://linkprotect.cudasvc.com/url?a=https%3a%2f%2fwww.cipd.org%2fuk%2fknowledge%2ffactsheets%2fdiversity-recruitment-factsheet%2f&amp;c=E,1,lhp8ROaB4pCrvyzPQVxtx6mGt_nbD0TP9fY5pyyZNmgQ1xnppN-Kgd7v2uH0E0vTHs5JkkBpgjt4h9GAXUtIu_ke2tVdkMmKDpFbjiECr_6GNA,,&amp;typo=1" TargetMode="External"/><Relationship Id="rId46" Type="http://schemas.openxmlformats.org/officeDocument/2006/relationships/hyperlink" Target="https://linkprotect.cudasvc.com/url?a=https%3a%2f%2fwww.cipd.org%2fuk%2fknowledge%2ffactsheets%2fredundancy-factsheet%2f&amp;c=E,1,m9agTemU2qu4dPp3cNF34nKzPG3GBv8kG__q9sBg_-3jCz8Twsvijl_Br5HXqSc6PjmKC75b1hyduI51xZ9bRHrNxBlBwtgfimnEubp5vvw9dPNAmR66&amp;typo=1" TargetMode="External"/><Relationship Id="rId59" Type="http://schemas.openxmlformats.org/officeDocument/2006/relationships/hyperlink" Target="http://gov.uk/" TargetMode="External"/><Relationship Id="rId67" Type="http://schemas.openxmlformats.org/officeDocument/2006/relationships/hyperlink" Target="https://linkprotect.cudasvc.com/url?a=https%3a%2f%2fGov.uk&amp;c=E,1,F0WYDbnC1jAJWaQbShUMBSskKVMioUUFRN9C27WudFnJRjzxui3QmKDP0ewlL2Sd62eSP8nkiYe48Xh-TeGLZMQID6iYCwJua4TYWaQ44N5uXMBT5jOdP_Q,&amp;typo=1&amp;ancr_add=1" TargetMode="External"/><Relationship Id="rId20" Type="http://schemas.openxmlformats.org/officeDocument/2006/relationships/hyperlink" Target="https://linkprotect.cudasvc.com/url?a=https%3a%2f%2fGov.uk&amp;c=E,1,IWBAVdB-Kf-ztBD6j6tdHdSsuN467Bj3X7wlN3-xPTZC3qIN0fAbW8J8aOtA3MP3M7SOFAWoWFQ6YkhWxUw7aAImWr2b2IyerE11WTtvbg,,&amp;typo=1&amp;ancr_add=1" TargetMode="External"/><Relationship Id="rId41" Type="http://schemas.openxmlformats.org/officeDocument/2006/relationships/hyperlink" Target="https://linkprotect.cudasvc.com/url?a=https%3a%2f%2fwww.cipd.org%2fuk%2fknowledge%2ffundamentals%2femp-law%2fuk-eu-referendum%2f&amp;c=E,1,7RR3QUheHppkpP4ROhC41FywkKkrnT8KGabymNOUhAUJi7dQK-S-LVKAdSNi1GwWnVNxb6y3GFIxRHKocOtD_neA-IS7IZ7htVhjI-Tkibs,&amp;typo=1" TargetMode="External"/><Relationship Id="rId54" Type="http://schemas.openxmlformats.org/officeDocument/2006/relationships/hyperlink" Target="https://linkprotect.cudasvc.com/url?a=https%3a%2f%2fwww.equalityhumanrights.com%2fen%2fadvice-and-guidance%2fequal-pay&amp;c=E,1,T7yCYUlBOCXbsEIAfKeS8DOE2jHQxflMU7qGgZ8Yua8Tcl5Pynaiiv0ZqTq9KT-2S4eVuAWErTN5_h01byW-JkYVbraxjSk0E7ukRrPm4OAd1cGw-thd7w,,&amp;typo=1&amp;ancr_add=1" TargetMode="External"/><Relationship Id="rId62" Type="http://schemas.openxmlformats.org/officeDocument/2006/relationships/hyperlink" Target="https://linkprotect.cudasvc.com/url?a=https%3a%2f%2fwww.legislation.gov.uk%2fuksi%2f2006%2f246%2fcontents%2fmade&amp;c=E,1,kFvxm8zoZhmv_GWCogVu-Uqs5V5uZKxJ_wohAxpaZA7ca9j_dkUXbAjjP1KNJWWZ8Uh1Hab4twMtuPzjCXu5NMoRnjQ-QY2WG4kCzBu2IJKHFC-_Po-lrBqNLvZC&amp;typo=1" TargetMode="External"/><Relationship Id="rId70" Type="http://schemas.openxmlformats.org/officeDocument/2006/relationships/hyperlink" Target="https://www.gov.uk/calculate-your-holiday-entitlement" TargetMode="External"/><Relationship Id="rId75" Type="http://schemas.openxmlformats.org/officeDocument/2006/relationships/hyperlink" Target="http://gov.uk/" TargetMode="External"/><Relationship Id="rId83" Type="http://schemas.openxmlformats.org/officeDocument/2006/relationships/hyperlink" Target="https://linkprotect.cudasvc.com/url?a=https%3a%2f%2fwww.judiciary.uk%2fguidance-and-resources%2femployment-tribunals%2f&amp;c=E,1,2YpMXep_fAIRhw8lyVtctZxsRLXBEjnEMgT5PjHEZw6KmfvsBCfK-Ggx89o0euex6o2DveZP2xU6Nup6kQ8dsGq2A1mYsz1z5SwT0l5tus4w7Mjh&amp;typo=1"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linkprotect.cudasvc.com/url?a=https%3a%2f%2fGov.uk&amp;c=E,1,BzEFF7-CCPynuBJw1tu2SWx5n0qqtcb42sdJfLF9H1hjbaWBJ8-WBwZu4gTO2DsM9mU06ZzbIr5k5fBGDHdznyqNnJ3kQdVONhkJqg58FrlQDS35IBY,&amp;typo=1&amp;ancr_add=1" TargetMode="External"/><Relationship Id="rId23" Type="http://schemas.openxmlformats.org/officeDocument/2006/relationships/hyperlink" Target="https://linkprotect.cudasvc.com/url?a=https%3a%2f%2fGov.uk&amp;c=E,1,Wll3E2EH-cKqAEh0PXbU2kv3RsHqKpQu0lttyD-qyOIWXDf0oOXz6C9GvC2S-G5PJ4iVHRug28jkeyKjuQPlGVn6XLDOIi89qwv55RUnwFsHdnGH-5onUKbgy-fd&amp;typo=1&amp;ancr_add=1" TargetMode="External"/><Relationship Id="rId28" Type="http://schemas.openxmlformats.org/officeDocument/2006/relationships/hyperlink" Target="https://linkprotect.cudasvc.com/url?a=https%3a%2f%2fGov.uk&amp;c=E,1,1ULJqop2sIAGoJAvfveRmXenjfHJDul2SvHynE_Y9a-xMFmb0Ar7iIAniKm3htgE6qL02gugFB4KN9wA78e_dDmYFomwHrou4OAS_thaStNtdkD3A26oQw,,&amp;typo=1&amp;ancr_add=1" TargetMode="External"/><Relationship Id="rId36" Type="http://schemas.openxmlformats.org/officeDocument/2006/relationships/hyperlink" Target="https://linkprotect.cudasvc.com/url?a=https%3a%2f%2fwww.acas.org.uk%2fshared-parental-leave-and-pay&amp;c=E,1,9c6ileWNIfmceCmwEjfv6Z1DnIJ0aOmz0Q3lam5It41HgWmLwqlC7MFPCrdCPC7qd_wjAbqUfWE8UBC4rF2-GEPZJXHxPil6rrS_ktuGjxn9sAfEnVw,&amp;typo=1" TargetMode="External"/><Relationship Id="rId49" Type="http://schemas.openxmlformats.org/officeDocument/2006/relationships/hyperlink" Target="https://linkprotect.cudasvc.com/url?a=https%3a%2f%2fwww.cipd.org%2fuk%2fknowledge%2ffundamentals%2femp-law%2f&amp;c=E,1,iA5Hl0JPzFb5yWva2M8PcBCTyNTknzANAJIfckvmCOPoVF4xSm5EK5a7rrmHRwaw7dgVrD3xxzdn4pcguCcVJoiTDl-WVE3-pcgY7r6_&amp;typo=1&amp;ancr_add=1" TargetMode="External"/><Relationship Id="rId57" Type="http://schemas.openxmlformats.org/officeDocument/2006/relationships/hyperlink" Target="http://gov.uk/" TargetMode="External"/><Relationship Id="rId10" Type="http://schemas.openxmlformats.org/officeDocument/2006/relationships/hyperlink" Target="https://linkprotect.cudasvc.com/url?a=https%3a%2f%2fGov.uk&amp;c=E,1,8x0OLayLG3kHHqUYy9oy-RDSyol4ZuaiHP3NpbqJPnmPKuG86eZuCHpZJNn-HO_6dkmWaVYLzCRexsIZh1nh3GGifD0xVnYHxqx253r3UKtaxdWO4x4,&amp;typo=1&amp;ancr_add=1" TargetMode="External"/><Relationship Id="rId31" Type="http://schemas.openxmlformats.org/officeDocument/2006/relationships/hyperlink" Target="https://linkprotect.cudasvc.com/url?a=https%3a%2f%2fwww.acas.org.uk%2femployment-law&amp;c=E,1,F9IRRQ9yaWIFfbwr4hzRcSxOUpOOTDKLyaVgdgsz9XaDO0U2bDF-jp5amWlz3JPhPze7x029TssyyIkgmZeBnTh6-RjvX4ig6h2ypGJkLIbRuv820bQ,&amp;typo=1" TargetMode="External"/><Relationship Id="rId44" Type="http://schemas.openxmlformats.org/officeDocument/2006/relationships/hyperlink" Target="https://linkprotect.cudasvc.com/url?a=https%3a%2f%2fwww.cipd.org%2fuk%2fknowledge%2ffactsheets%2fflexible-working-factsheet%2f&amp;c=E,1,fACNnF5FMFVwsz8njmPzyh1h7cxWKKrquLUtbtFBf2G_l3QwFNKhyeTq5gvk9k3CYVX08LMJ-MWSH1rg7muBmv6oQB8AJH4hC9gy0Sq7tbvvKYLoKU3IDO2lID0,&amp;typo=1&amp;ancr_add=1" TargetMode="External"/><Relationship Id="rId52" Type="http://schemas.openxmlformats.org/officeDocument/2006/relationships/hyperlink" Target="https://linkprotect.cudasvc.com/url?a=https%3a%2f%2fwww.equalityhumanrights.com%2fen%2fadvice-and-guidance%2fequal-pay&amp;c=E,1,0NUMU9aDM2rcN_5Qn8OnglUd2472kA_v8yqEdemnTJm_PSKjXS8Kq2P9yOCi6OBEFaD2RZyJD3BV6NZkhm9mt3c9igpV38AWHgqyh6tEl03tZg,,&amp;typo=1" TargetMode="External"/><Relationship Id="rId60" Type="http://schemas.openxmlformats.org/officeDocument/2006/relationships/hyperlink" Target="https://linkprotect.cudasvc.com/url?a=https%3a%2f%2fwww.legislation.gov.uk%2fuksi%2f1998%2f1833%2fcontents%2fmade&amp;c=E,1,IB78rEoO0tASsffIwaqtKJG2p91vNsvOI4eb-51FF2jLhuzXyD-29foq7-fatHf2ve_stgrYaeKGlS3cz7yOlf-MJzvsF4RSVYN2bh5QbLs2NxhohIo9uEWXqy4,&amp;typo=1" TargetMode="External"/><Relationship Id="rId65" Type="http://schemas.openxmlformats.org/officeDocument/2006/relationships/hyperlink" Target="http://gov.uk/" TargetMode="External"/><Relationship Id="rId73" Type="http://schemas.openxmlformats.org/officeDocument/2006/relationships/hyperlink" Target="https://linkprotect.cudasvc.com/url?a=https%3a%2f%2fGov.uk&amp;c=E,1,7-e3OqYbVwO-4FnO8uk0qhjAAUMkiOhd7h_9FhE3H2hqPgjvXPYfyBQadjoZX31XSLNuNrPUBxn36xXQ-6uCf4QS91d2CNV3DK9tmeTbiXGM&amp;typo=1&amp;ancr_add=1" TargetMode="External"/><Relationship Id="rId78" Type="http://schemas.openxmlformats.org/officeDocument/2006/relationships/hyperlink" Target="https://www.gov.uk/shared-parental-leave-and-pay" TargetMode="External"/><Relationship Id="rId81" Type="http://schemas.openxmlformats.org/officeDocument/2006/relationships/hyperlink" Target="https://linkprotect.cudasvc.com/url?a=https%3a%2f%2fwww.hse.gov.uk%2fmanaging%2f&amp;c=E,1,acytHPnGacZBgfNSfCgV5_7BiJQuugNyTU8bLRmEu-mdkvYzfizK34SOdzJ9YqjqCrEkUrdU1EXxdbhHzGoIFLwwWGcLr-cfGM0jB8uc3ejv8ZmK4aHP&amp;typo=1" TargetMode="External"/><Relationship Id="rId86"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hyperlink" Target="https://linkprotect.cudasvc.com/url?a=https%3a%2f%2fGov.uk&amp;c=E,1,dyJaus2xoFvCmo7OLTcz0yUMfXb6egK6uJqfEdkL4edgmLGS_wg2LesjZxxwDxymJvzeMFVTvUgnGIA8WrU6B8p-Pqi-tCWaaOm1BVMW2i7zSF0MZ_s063sfdA,,&amp;typo=1&amp;ancr_add=1" TargetMode="External"/><Relationship Id="rId13" Type="http://schemas.openxmlformats.org/officeDocument/2006/relationships/hyperlink" Target="https://linkprotect.cudasvc.com/url?a=https%3a%2f%2fGov.uk&amp;c=E,1,F08cSc4rfpHNtA_-1Xh4MUPVSh2WWB3sKli4DJIzqlo0AONuVUS4B9hcHkCeAxWQ50W-XJH3NQ8ATJgW5XpN-JT8ceR1hce4CLAH3rztP8fcly2vfAozv2f7XV8,&amp;typo=1&amp;ancr_add=1" TargetMode="External"/><Relationship Id="rId18" Type="http://schemas.openxmlformats.org/officeDocument/2006/relationships/hyperlink" Target="https://linkprotect.cudasvc.com/url?a=https%3a%2f%2fGov.uk&amp;c=E,1,0_dbv8M0apr24OkZDtN8uUKPihxvGe_HYF8VGaf1amKoedO_hcsKksviPKiurFcj_Qf2yv-YqmrbV1bbrCilq72WYEkJtv5DrxzlEyHUex0o9UNs-Q,,&amp;typo=1&amp;ancr_add=1" TargetMode="External"/><Relationship Id="rId39" Type="http://schemas.openxmlformats.org/officeDocument/2006/relationships/hyperlink" Target="https://linkprotect.cudasvc.com/url?a=https%3a%2f%2fwww.cipd.org%2fuk%2fknowledge%2ffactsheets%2fdismissal-factsheet%2f&amp;c=E,1,m8SkQt7e-gY0CcUeksLzD2chWCe7m6DPHE6Lc8beRJMA1GaRC_nrR4osvZ3OajmqaB2l5NcFDKvVcTe3YKnZpcYnibft5w_Xwcuap4SBzIk,&amp;typo=1" TargetMode="External"/><Relationship Id="rId34" Type="http://schemas.openxmlformats.org/officeDocument/2006/relationships/hyperlink" Target="https://linkprotect.cudasvc.com/url?a=https%3a%2f%2fwww.acas.org.uk%2fchecking-holiday-entitlement%2fholiday-pay&amp;c=E,1,8pgLff7GGBjWb--5pBgebUEzcZ2pKrYB_7eOLYDfy_mn64jvllu-P_VsP_zpR0xv0eZtuXqHao-2VGc2-eLJs4fLKGweQETiq_Pu1Prnd9Y,&amp;typo=1" TargetMode="External"/><Relationship Id="rId50" Type="http://schemas.openxmlformats.org/officeDocument/2006/relationships/hyperlink" Target="https://linkprotect.cudasvc.com/url?a=https%3a%2f%2fwww.legislation.gov.uk%2fukpga%2f2010%2f15%2fcontents&amp;c=E,1,N1mWPxUDnEm71jtq1zewOQDBKPp_e1Y-2kfa0-Zet78OJBj1MEprH3xh79GoMvwLuvS_tf7-RENxV3vHjTT2evQu_Nx6fE-YntMiHBxj&amp;typo=1&amp;ancr_add=1" TargetMode="External"/><Relationship Id="rId55" Type="http://schemas.openxmlformats.org/officeDocument/2006/relationships/hyperlink" Target="http://gov.uk/" TargetMode="External"/><Relationship Id="rId76" Type="http://schemas.openxmlformats.org/officeDocument/2006/relationships/hyperlink" Target="https://www.gov.uk/maternity-pay-leave" TargetMode="External"/><Relationship Id="rId7" Type="http://schemas.openxmlformats.org/officeDocument/2006/relationships/webSettings" Target="webSettings.xml"/><Relationship Id="rId71" Type="http://schemas.openxmlformats.org/officeDocument/2006/relationships/hyperlink" Target="https://linkprotect.cudasvc.com/url?a=https%3a%2f%2fGov.uk&amp;c=E,1,lO6EyO7VRiiBfKrMS-KtLl8_FDGYHIyxyUQG18aheDf111o5iO_D5XPZ-IOJVzsAvTaWg4oz-HTbNM8dHgjcHLSuXUoxJhYK25hYA0WGsin9oKYHYdk,&amp;typo=1&amp;ancr_add=1" TargetMode="External"/><Relationship Id="rId2" Type="http://schemas.openxmlformats.org/officeDocument/2006/relationships/customXml" Target="../customXml/item2.xml"/><Relationship Id="rId29" Type="http://schemas.openxmlformats.org/officeDocument/2006/relationships/hyperlink" Target="https://linkprotect.cudasvc.com/url?a=https%3a%2f%2fwww.acas.org.uk%2fdismissals%2fconstructive-dismissal&amp;c=E,1,C8oZwczJe0-Nq5js6rwRHiCgpQOM7PTdFQoidALISFedXL4_lZrd3LhX_3TWj_IsaD0jov3JPr2O7DwvBxJ6bq5gvnQzxdE4QWCNUrIV2tkAWwaL2nI1&amp;typo=1" TargetMode="External"/><Relationship Id="rId24" Type="http://schemas.openxmlformats.org/officeDocument/2006/relationships/hyperlink" Target="https://linkprotect.cudasvc.com/url?a=https%3a%2f%2fGov.uk&amp;c=E,1,yzEby1oacvAchGBwfxyhhQ7PTEzGK2z1AmnOYjqWsYHpw1BwreozRPrIvdTduUNXGvrrDkxqtRMAUDLQY1Bz0mlG1R6L2_vN3dbGRKJ5XSkXJ41I&amp;typo=1&amp;ancr_add=1" TargetMode="External"/><Relationship Id="rId40" Type="http://schemas.openxmlformats.org/officeDocument/2006/relationships/hyperlink" Target="https://linkprotect.cudasvc.com/url?a=https%3a%2f%2fwww.cipd.org%2fuk%2fknowledge%2ffundamentals%2femp-law%2f&amp;c=E,1,eAFOm4bMmArAtoSUq1WR4fxkTrHlbESOKlhHgpdLCRsWPyb_HzUbrBcdnfUdcTCdJjyqIThCzH0-2QNgg2PAGbUyZl_LJfjoF_LJy_sWpaIZV-emge8-y_0yadsp&amp;typo=1" TargetMode="External"/><Relationship Id="rId45" Type="http://schemas.openxmlformats.org/officeDocument/2006/relationships/hyperlink" Target="https://linkprotect.cudasvc.com/url?a=https%3a%2f%2fwww.cipd.org%2fuk%2fknowledge%2ffactsheets%2ffamily-friendly-leave-factsheet%2f&amp;c=E,1,tndjGuEiDCMbXQ60b_PlXaUb7ffI9rdgKLTEQ97j9EKc4zFLQKB46-J4rL05TINai7uWy2hf6Q8OEatJpQs0omemyDIQLp_KrWRqnk4HjC0VBklb-w5BvQ,,&amp;typo=1" TargetMode="External"/><Relationship Id="rId66" Type="http://schemas.openxmlformats.org/officeDocument/2006/relationships/hyperlink" Target="https://linkprotect.cudasvc.com/url?a=https%3a%2f%2fwww.legislation.gov.uk%2fukpga%2f2018%2f16%2fcontents%2fenacted&amp;c=E,1,zz9rgxg78V6j_Gm-wJPUGfm_08wdXcJHK-LIEqOpJ27keYj64SkeVs8uEvT2fzlwVHDHLWrHlffBMYTzPSC0Z3v3wC48XXslA_vh34Jh&amp;typo=1" TargetMode="External"/><Relationship Id="rId61" Type="http://schemas.openxmlformats.org/officeDocument/2006/relationships/hyperlink" Target="https://linkprotect.cudasvc.com/url?a=http%3a%2f%2fGov.uk&amp;c=E,1,dJsg-XVNW0k346yy7PQbSCjhhUJpW-M8-m-Z2vqoG-Y9J4jeaH-2eiPl13EQEweyd0-m3pODSJKj1aVMuB5TpqDlAT-rUZja1Gbnc8ccAw,,&amp;typo=1" TargetMode="External"/><Relationship Id="rId82" Type="http://schemas.openxmlformats.org/officeDocument/2006/relationships/hyperlink" Target="https://linkprotect.cudasvc.com/url?a=https%3a%2f%2fcommonslibrary.parliament.uk%2fresearch-briefings%2fcbp-9740%2f&amp;c=E,1,464NBcORQClLtv7V71t22Rvo5_4wDpbnLjXcBakK250oCQBU28mB-OXdhfEoa7Mjfr2eYHniKARttGYXifFGRZhhw4mV506ImIFK6d4Y8HE2miQzQr_ToRt4gFs,&amp;typo=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a3575a51-539c-4333-a1aa-b7821a61ff78">
      <Terms xmlns="http://schemas.microsoft.com/office/infopath/2007/PartnerControls"/>
    </lcf76f155ced4ddcb4097134ff3c332f>
    <TaxCatchAll xmlns="6e72e00d-af10-4443-a669-d2dc41a07b70"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1027FA789EB7342ACE2FB06F0C97FBE" ma:contentTypeVersion="13" ma:contentTypeDescription="Create a new document." ma:contentTypeScope="" ma:versionID="65dac37d203e079033c411494e7dd4b0">
  <xsd:schema xmlns:xsd="http://www.w3.org/2001/XMLSchema" xmlns:xs="http://www.w3.org/2001/XMLSchema" xmlns:p="http://schemas.microsoft.com/office/2006/metadata/properties" xmlns:ns2="a3575a51-539c-4333-a1aa-b7821a61ff78" xmlns:ns3="6e72e00d-af10-4443-a669-d2dc41a07b70" targetNamespace="http://schemas.microsoft.com/office/2006/metadata/properties" ma:root="true" ma:fieldsID="fd0340f213ebbdf28bacb18b4e44afaa" ns2:_="" ns3:_="">
    <xsd:import namespace="a3575a51-539c-4333-a1aa-b7821a61ff78"/>
    <xsd:import namespace="6e72e00d-af10-4443-a669-d2dc41a07b70"/>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3575a51-539c-4333-a1aa-b7821a61ff7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81e92514-27c8-40c5-8379-a235b0160252"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descrip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e72e00d-af10-4443-a669-d2dc41a07b70"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a4d98c8a-cd28-4018-9be8-45b3bcd3fe1a}" ma:internalName="TaxCatchAll" ma:showField="CatchAllData" ma:web="6e72e00d-af10-4443-a669-d2dc41a07b7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7C5D552-A6B1-4AA6-B4C0-BE6187C34703}">
  <ds:schemaRefs>
    <ds:schemaRef ds:uri="http://schemas.microsoft.com/office/2006/metadata/properties"/>
    <ds:schemaRef ds:uri="http://schemas.microsoft.com/office/infopath/2007/PartnerControls"/>
    <ds:schemaRef ds:uri="a3575a51-539c-4333-a1aa-b7821a61ff78"/>
    <ds:schemaRef ds:uri="6e72e00d-af10-4443-a669-d2dc41a07b70"/>
  </ds:schemaRefs>
</ds:datastoreItem>
</file>

<file path=customXml/itemProps2.xml><?xml version="1.0" encoding="utf-8"?>
<ds:datastoreItem xmlns:ds="http://schemas.openxmlformats.org/officeDocument/2006/customXml" ds:itemID="{C613396C-E29B-494C-9C2B-65E50CAC84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3575a51-539c-4333-a1aa-b7821a61ff78"/>
    <ds:schemaRef ds:uri="6e72e00d-af10-4443-a669-d2dc41a07b7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EA7EFE7-3C3A-4A6A-ADF4-C92E8C924DB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1225</TotalTime>
  <Pages>19</Pages>
  <Words>8508</Words>
  <Characters>48499</Characters>
  <Application>Microsoft Office Word</Application>
  <DocSecurity>0</DocSecurity>
  <Lines>404</Lines>
  <Paragraphs>113</Paragraphs>
  <ScaleCrop>false</ScaleCrop>
  <HeadingPairs>
    <vt:vector size="2" baseType="variant">
      <vt:variant>
        <vt:lpstr>Title</vt:lpstr>
      </vt:variant>
      <vt:variant>
        <vt:i4>1</vt:i4>
      </vt:variant>
    </vt:vector>
  </HeadingPairs>
  <TitlesOfParts>
    <vt:vector size="1" baseType="lpstr">
      <vt:lpstr/>
    </vt:vector>
  </TitlesOfParts>
  <Company>GD Harries &amp; Sons Ltd</Company>
  <LinksUpToDate>false</LinksUpToDate>
  <CharactersWithSpaces>56894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Luff</dc:creator>
  <cp:keywords/>
  <dc:description/>
  <cp:lastModifiedBy>Laura Luff</cp:lastModifiedBy>
  <cp:revision>33</cp:revision>
  <dcterms:created xsi:type="dcterms:W3CDTF">2026-05-23T10:42:00Z</dcterms:created>
  <dcterms:modified xsi:type="dcterms:W3CDTF">2026-08-12T10:57:00Z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0x010100A1027FA789EB7342ACE2FB06F0C97FBE</vt:lpwstr>
  </property>
  <property fmtid="{D5CDD505-2E9C-101B-9397-08002B2CF9AE}" pid="3" name="MediaServiceImageTags">
    <vt:lpwstr/>
  </property>
</Properties>
</file>