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1449085287"/>
        <w:docPartObj>
          <w:docPartGallery w:val="Cover Pages"/>
          <w:docPartUnique/>
        </w:docPartObj>
      </w:sdtPr>
      <w:sdtEndPr>
        <w:rPr>
          <w:rFonts w:ascii="Bradley Hand ITC" w:hAnsi="Bradley Hand ITC" w:cstheme="minorHAnsi"/>
          <w:b/>
          <w:color w:val="auto"/>
          <w:sz w:val="40"/>
          <w:szCs w:val="40"/>
          <w:u w:val="single"/>
        </w:rPr>
      </w:sdtEndPr>
      <w:sdtContent>
        <w:p w14:paraId="46F83E7E" w14:textId="7FEAC3AD" w:rsidR="00161270" w:rsidRDefault="00161270" w:rsidP="00161270">
          <w:pPr>
            <w:pStyle w:val="NoSpacing"/>
            <w:spacing w:before="1540" w:after="240"/>
            <w:rPr>
              <w:color w:val="4472C4" w:themeColor="accent1"/>
            </w:rPr>
          </w:pPr>
        </w:p>
        <w:p w14:paraId="26C8F214" w14:textId="4913BFB2" w:rsidR="00587FD2" w:rsidRDefault="00151C3C">
          <w:pPr>
            <w:pStyle w:val="NoSpacing"/>
            <w:spacing w:before="1540" w:after="240"/>
            <w:jc w:val="center"/>
            <w:rPr>
              <w:color w:val="4472C4" w:themeColor="accent1"/>
            </w:rPr>
          </w:pPr>
          <w:r>
            <w:rPr>
              <w:noProof/>
              <w:color w:val="4472C4" w:themeColor="accent1"/>
            </w:rPr>
            <w:drawing>
              <wp:anchor distT="0" distB="0" distL="114300" distR="114300" simplePos="0" relativeHeight="251662336" behindDoc="1" locked="0" layoutInCell="1" allowOverlap="1" wp14:anchorId="4117E6B2" wp14:editId="044B39A7">
                <wp:simplePos x="0" y="0"/>
                <wp:positionH relativeFrom="margin">
                  <wp:posOffset>2556510</wp:posOffset>
                </wp:positionH>
                <wp:positionV relativeFrom="page">
                  <wp:posOffset>5356624</wp:posOffset>
                </wp:positionV>
                <wp:extent cx="758825" cy="478790"/>
                <wp:effectExtent l="0" t="0" r="3175" b="0"/>
                <wp:wrapTight wrapText="bothSides">
                  <wp:wrapPolygon edited="0">
                    <wp:start x="0" y="0"/>
                    <wp:lineTo x="0" y="3438"/>
                    <wp:lineTo x="3796" y="13751"/>
                    <wp:lineTo x="3796" y="14610"/>
                    <wp:lineTo x="8134" y="20626"/>
                    <wp:lineTo x="8676" y="20626"/>
                    <wp:lineTo x="12472" y="20626"/>
                    <wp:lineTo x="13014" y="20626"/>
                    <wp:lineTo x="17352" y="14610"/>
                    <wp:lineTo x="17352" y="13751"/>
                    <wp:lineTo x="21148" y="3438"/>
                    <wp:lineTo x="21148" y="0"/>
                    <wp:lineTo x="0" y="0"/>
                  </wp:wrapPolygon>
                </wp:wrapTight>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825" cy="478790"/>
                        </a:xfrm>
                        <a:prstGeom prst="rect">
                          <a:avLst/>
                        </a:prstGeom>
                      </pic:spPr>
                    </pic:pic>
                  </a:graphicData>
                </a:graphic>
              </wp:anchor>
            </w:drawing>
          </w:r>
          <w:r w:rsidR="00587FD2">
            <w:rPr>
              <w:noProof/>
              <w:color w:val="4472C4" w:themeColor="accent1"/>
            </w:rPr>
            <w:drawing>
              <wp:inline distT="0" distB="0" distL="0" distR="0" wp14:anchorId="5C38CE05" wp14:editId="4EB5397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sz w:val="72"/>
              <w:szCs w:val="72"/>
            </w:rPr>
            <w:alias w:val="Title"/>
            <w:tag w:val=""/>
            <w:id w:val="1735040861"/>
            <w:placeholder>
              <w:docPart w:val="BCE3082F1DDC4DFDABB313AEA711965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5FBB566" w14:textId="258FE6D9" w:rsidR="00587FD2" w:rsidRPr="00E16853" w:rsidRDefault="00D96622">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sz w:val="80"/>
                  <w:szCs w:val="80"/>
                </w:rPr>
              </w:pPr>
              <w:r>
                <w:rPr>
                  <w:rFonts w:asciiTheme="majorHAnsi" w:eastAsiaTheme="majorEastAsia" w:hAnsiTheme="majorHAnsi" w:cstheme="majorBidi"/>
                  <w:caps/>
                  <w:sz w:val="72"/>
                  <w:szCs w:val="72"/>
                </w:rPr>
                <w:t>tHE VISUAL AND EXPRESSIVE ARTS</w:t>
              </w:r>
            </w:p>
          </w:sdtContent>
        </w:sdt>
        <w:p w14:paraId="2B5AFA15" w14:textId="64130781" w:rsidR="00587FD2" w:rsidRDefault="000C648A">
          <w:pPr>
            <w:pStyle w:val="NoSpacing"/>
            <w:spacing w:before="480"/>
            <w:jc w:val="center"/>
            <w:rPr>
              <w:color w:val="4472C4" w:themeColor="accent1"/>
            </w:rPr>
          </w:pPr>
          <w:r w:rsidRPr="00E16853">
            <w:rPr>
              <w:rFonts w:ascii="Bradley Hand ITC" w:hAnsi="Bradley Hand ITC" w:cstheme="minorHAnsi"/>
              <w:b/>
              <w:noProof/>
              <w:sz w:val="40"/>
              <w:szCs w:val="40"/>
              <w:u w:val="single"/>
            </w:rPr>
            <mc:AlternateContent>
              <mc:Choice Requires="wps">
                <w:drawing>
                  <wp:anchor distT="45720" distB="45720" distL="114300" distR="114300" simplePos="0" relativeHeight="251661312" behindDoc="0" locked="0" layoutInCell="1" allowOverlap="1" wp14:anchorId="05B2D0FE" wp14:editId="3D1309A7">
                    <wp:simplePos x="0" y="0"/>
                    <wp:positionH relativeFrom="margin">
                      <wp:posOffset>-723265</wp:posOffset>
                    </wp:positionH>
                    <wp:positionV relativeFrom="paragraph">
                      <wp:posOffset>431800</wp:posOffset>
                    </wp:positionV>
                    <wp:extent cx="7197725" cy="2402840"/>
                    <wp:effectExtent l="0" t="0" r="317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97725" cy="2402840"/>
                            </a:xfrm>
                            <a:prstGeom prst="rect">
                              <a:avLst/>
                            </a:prstGeom>
                            <a:solidFill>
                              <a:srgbClr val="FFFFFF"/>
                            </a:solidFill>
                            <a:ln w="9525">
                              <a:noFill/>
                              <a:miter lim="800000"/>
                              <a:headEnd/>
                              <a:tailEnd/>
                            </a:ln>
                          </wps:spPr>
                          <wps:txbx>
                            <w:txbxContent>
                              <w:p w14:paraId="6B34FCAB" w14:textId="28352A8A" w:rsidR="00161270" w:rsidRDefault="00161270" w:rsidP="00D10FAC">
                                <w:pPr>
                                  <w:jc w:val="center"/>
                                  <w:rPr>
                                    <w:sz w:val="24"/>
                                  </w:rPr>
                                </w:pPr>
                                <w:r>
                                  <w:rPr>
                                    <w:sz w:val="24"/>
                                  </w:rPr>
                                  <w:t>ECAD5005</w:t>
                                </w:r>
                              </w:p>
                              <w:p w14:paraId="1AADCB53" w14:textId="02FD9609" w:rsidR="00161270" w:rsidRDefault="00161270" w:rsidP="00D10FAC">
                                <w:pPr>
                                  <w:jc w:val="center"/>
                                  <w:rPr>
                                    <w:sz w:val="24"/>
                                  </w:rPr>
                                </w:pPr>
                                <w:r>
                                  <w:rPr>
                                    <w:sz w:val="24"/>
                                  </w:rPr>
                                  <w:t xml:space="preserve">Module Lead: </w:t>
                                </w:r>
                                <w:proofErr w:type="spellStart"/>
                                <w:r>
                                  <w:rPr>
                                    <w:sz w:val="24"/>
                                  </w:rPr>
                                  <w:t>Heddwen</w:t>
                                </w:r>
                                <w:proofErr w:type="spellEnd"/>
                                <w:r>
                                  <w:rPr>
                                    <w:sz w:val="24"/>
                                  </w:rPr>
                                  <w:t xml:space="preserve"> Davies</w:t>
                                </w:r>
                              </w:p>
                              <w:p w14:paraId="32F5DA87" w14:textId="02FE2744" w:rsidR="00E16853" w:rsidRPr="00D10FAC" w:rsidRDefault="00E16853" w:rsidP="00D10FAC">
                                <w:pPr>
                                  <w:jc w:val="center"/>
                                  <w:rPr>
                                    <w:sz w:val="24"/>
                                  </w:rPr>
                                </w:pPr>
                                <w:r w:rsidRPr="00D10FAC">
                                  <w:rPr>
                                    <w:sz w:val="24"/>
                                  </w:rPr>
                                  <w:t>STUDENT NUMBER: 1701466</w:t>
                                </w:r>
                              </w:p>
                              <w:p w14:paraId="3D46E968" w14:textId="7334291E" w:rsidR="003E00A0" w:rsidRDefault="003E00A0" w:rsidP="00D10FAC">
                                <w:pPr>
                                  <w:jc w:val="center"/>
                                  <w:rPr>
                                    <w:sz w:val="24"/>
                                  </w:rPr>
                                </w:pPr>
                                <w:r w:rsidRPr="00D10FAC">
                                  <w:rPr>
                                    <w:sz w:val="24"/>
                                  </w:rPr>
                                  <w:t>12</w:t>
                                </w:r>
                                <w:r w:rsidRPr="00D10FAC">
                                  <w:rPr>
                                    <w:sz w:val="24"/>
                                    <w:vertAlign w:val="superscript"/>
                                  </w:rPr>
                                  <w:t>TH</w:t>
                                </w:r>
                                <w:r w:rsidRPr="00D10FAC">
                                  <w:rPr>
                                    <w:sz w:val="24"/>
                                  </w:rPr>
                                  <w:t xml:space="preserve"> NOVE</w:t>
                                </w:r>
                                <w:r w:rsidR="00D10FAC" w:rsidRPr="00D10FAC">
                                  <w:rPr>
                                    <w:sz w:val="24"/>
                                  </w:rPr>
                                  <w:t>MBER 2018</w:t>
                                </w:r>
                              </w:p>
                              <w:p w14:paraId="331A6B5F" w14:textId="38F149A8" w:rsidR="007D285F" w:rsidRDefault="007D285F" w:rsidP="00D10FAC">
                                <w:pPr>
                                  <w:jc w:val="center"/>
                                  <w:rPr>
                                    <w:sz w:val="24"/>
                                  </w:rPr>
                                </w:pPr>
                                <w:r>
                                  <w:rPr>
                                    <w:sz w:val="24"/>
                                  </w:rPr>
                                  <w:t xml:space="preserve">Essay Title: </w:t>
                                </w:r>
                              </w:p>
                              <w:p w14:paraId="1AE5D1D1" w14:textId="355172F3" w:rsidR="007D285F" w:rsidRPr="007D285F" w:rsidRDefault="007D285F" w:rsidP="007D285F">
                                <w:pPr>
                                  <w:jc w:val="center"/>
                                  <w:rPr>
                                    <w:sz w:val="24"/>
                                  </w:rPr>
                                </w:pPr>
                                <w:r>
                                  <w:rPr>
                                    <w:sz w:val="24"/>
                                  </w:rPr>
                                  <w:t xml:space="preserve">Create a thematic resource that is suitable for teachers to use as an inspiration for children’s learning (either </w:t>
                                </w:r>
                                <w:r w:rsidR="00964757">
                                  <w:rPr>
                                    <w:sz w:val="24"/>
                                  </w:rPr>
                                  <w:t>3-7- or 7-11-year</w:t>
                                </w:r>
                                <w:r>
                                  <w:rPr>
                                    <w:sz w:val="24"/>
                                  </w:rPr>
                                  <w:t xml:space="preserve"> olds) in a modern curriculum context. Choose a</w:t>
                                </w:r>
                                <w:r w:rsidR="00964757">
                                  <w:rPr>
                                    <w:sz w:val="24"/>
                                  </w:rPr>
                                  <w:t xml:space="preserve"> modern artefact as a basis to the work. The resource could </w:t>
                                </w:r>
                                <w:proofErr w:type="spellStart"/>
                                <w:r w:rsidR="00964757">
                                  <w:rPr>
                                    <w:sz w:val="24"/>
                                  </w:rPr>
                                  <w:t>inclide</w:t>
                                </w:r>
                                <w:proofErr w:type="spellEnd"/>
                                <w:r w:rsidR="00964757">
                                  <w:rPr>
                                    <w:sz w:val="24"/>
                                  </w:rPr>
                                  <w:t xml:space="preserve"> music, drama, dance, art, design, film and/or media activities. Justify your reasoning with references to theorists and relevant current research. </w:t>
                                </w:r>
                              </w:p>
                              <w:p w14:paraId="157218A8" w14:textId="77777777" w:rsidR="000C648A" w:rsidRDefault="000C648A" w:rsidP="00D10FAC">
                                <w:pPr>
                                  <w:jc w:val="center"/>
                                  <w:rPr>
                                    <w:sz w:val="24"/>
                                  </w:rPr>
                                </w:pPr>
                              </w:p>
                              <w:p w14:paraId="131C7CD4" w14:textId="77777777" w:rsidR="000C648A" w:rsidRPr="00D10FAC" w:rsidRDefault="000C648A" w:rsidP="00D10FAC">
                                <w:pPr>
                                  <w:jc w:val="center"/>
                                  <w:rPr>
                                    <w:sz w:val="24"/>
                                  </w:rPr>
                                </w:pPr>
                              </w:p>
                              <w:p w14:paraId="47B494B9" w14:textId="77777777" w:rsidR="003E00A0" w:rsidRDefault="003E00A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5B2D0FE" id="_x0000_t202" coordsize="21600,21600" o:spt="202" path="m,l,21600r21600,l21600,xe">
                    <v:stroke joinstyle="miter"/>
                    <v:path gradientshapeok="t" o:connecttype="rect"/>
                  </v:shapetype>
                  <v:shape id="Text Box 2" o:spid="_x0000_s1026" type="#_x0000_t202" style="position:absolute;left:0;text-align:left;margin-left:-56.95pt;margin-top:34pt;width:566.75pt;height:189.2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" stroked="f">
                    <v:textbox>
                      <w:txbxContent>
                        <w:p w14:paraId="6B34FCAB" w14:textId="28352A8A" w:rsidR="00161270" w:rsidRDefault="00161270" w:rsidP="00D10FAC">
                          <w:pPr>
                            <w:jc w:val="center"/>
                            <w:rPr>
                              <w:sz w:val="24"/>
                            </w:rPr>
                          </w:pPr>
                          <w:r>
                            <w:rPr>
                              <w:sz w:val="24"/>
                            </w:rPr>
                            <w:t>ECAD5005</w:t>
                          </w:r>
                        </w:p>
                        <w:p w14:paraId="1AADCB53" w14:textId="02FD9609" w:rsidR="00161270" w:rsidRDefault="00161270" w:rsidP="00D10FAC">
                          <w:pPr>
                            <w:jc w:val="center"/>
                            <w:rPr>
                              <w:sz w:val="24"/>
                            </w:rPr>
                          </w:pPr>
                          <w:r>
                            <w:rPr>
                              <w:sz w:val="24"/>
                            </w:rPr>
                            <w:t xml:space="preserve">Module Lead: </w:t>
                          </w:r>
                          <w:proofErr w:type="spellStart"/>
                          <w:r>
                            <w:rPr>
                              <w:sz w:val="24"/>
                            </w:rPr>
                            <w:t>Heddwen</w:t>
                          </w:r>
                          <w:proofErr w:type="spellEnd"/>
                          <w:r>
                            <w:rPr>
                              <w:sz w:val="24"/>
                            </w:rPr>
                            <w:t xml:space="preserve"> Davies</w:t>
                          </w:r>
                        </w:p>
                        <w:p w14:paraId="32F5DA87" w14:textId="02FE2744" w:rsidR="00E16853" w:rsidRPr="00D10FAC" w:rsidRDefault="00E16853" w:rsidP="00D10FAC">
                          <w:pPr>
                            <w:jc w:val="center"/>
                            <w:rPr>
                              <w:sz w:val="24"/>
                            </w:rPr>
                          </w:pPr>
                          <w:r w:rsidRPr="00D10FAC">
                            <w:rPr>
                              <w:sz w:val="24"/>
                            </w:rPr>
                            <w:t>STUDENT NUMBER: 1701466</w:t>
                          </w:r>
                        </w:p>
                        <w:p w14:paraId="3D46E968" w14:textId="7334291E" w:rsidR="003E00A0" w:rsidRDefault="003E00A0" w:rsidP="00D10FAC">
                          <w:pPr>
                            <w:jc w:val="center"/>
                            <w:rPr>
                              <w:sz w:val="24"/>
                            </w:rPr>
                          </w:pPr>
                          <w:r w:rsidRPr="00D10FAC">
                            <w:rPr>
                              <w:sz w:val="24"/>
                            </w:rPr>
                            <w:t>12</w:t>
                          </w:r>
                          <w:r w:rsidRPr="00D10FAC">
                            <w:rPr>
                              <w:sz w:val="24"/>
                              <w:vertAlign w:val="superscript"/>
                            </w:rPr>
                            <w:t>TH</w:t>
                          </w:r>
                          <w:r w:rsidRPr="00D10FAC">
                            <w:rPr>
                              <w:sz w:val="24"/>
                            </w:rPr>
                            <w:t xml:space="preserve"> NOVE</w:t>
                          </w:r>
                          <w:r w:rsidR="00D10FAC" w:rsidRPr="00D10FAC">
                            <w:rPr>
                              <w:sz w:val="24"/>
                            </w:rPr>
                            <w:t>MBER 2018</w:t>
                          </w:r>
                        </w:p>
                        <w:p w14:paraId="331A6B5F" w14:textId="38F149A8" w:rsidR="007D285F" w:rsidRDefault="007D285F" w:rsidP="00D10FAC">
                          <w:pPr>
                            <w:jc w:val="center"/>
                            <w:rPr>
                              <w:sz w:val="24"/>
                            </w:rPr>
                          </w:pPr>
                          <w:r>
                            <w:rPr>
                              <w:sz w:val="24"/>
                            </w:rPr>
                            <w:t xml:space="preserve">Essay Title: </w:t>
                          </w:r>
                        </w:p>
                        <w:p w14:paraId="1AE5D1D1" w14:textId="355172F3" w:rsidR="007D285F" w:rsidRPr="007D285F" w:rsidRDefault="007D285F" w:rsidP="007D285F">
                          <w:pPr>
                            <w:jc w:val="center"/>
                            <w:rPr>
                              <w:sz w:val="24"/>
                            </w:rPr>
                          </w:pPr>
                          <w:r>
                            <w:rPr>
                              <w:sz w:val="24"/>
                            </w:rPr>
                            <w:t xml:space="preserve">Create a thematic resource that is suitable for teachers to use as an inspiration for children’s learning (either </w:t>
                          </w:r>
                          <w:r w:rsidR="00964757">
                            <w:rPr>
                              <w:sz w:val="24"/>
                            </w:rPr>
                            <w:t>3-7- or 7-11-year</w:t>
                          </w:r>
                          <w:r>
                            <w:rPr>
                              <w:sz w:val="24"/>
                            </w:rPr>
                            <w:t xml:space="preserve"> olds) in a modern curriculum context. Choose a</w:t>
                          </w:r>
                          <w:r w:rsidR="00964757">
                            <w:rPr>
                              <w:sz w:val="24"/>
                            </w:rPr>
                            <w:t xml:space="preserve"> modern artefact as a basis to the work. The resource could </w:t>
                          </w:r>
                          <w:proofErr w:type="spellStart"/>
                          <w:r w:rsidR="00964757">
                            <w:rPr>
                              <w:sz w:val="24"/>
                            </w:rPr>
                            <w:t>inclide</w:t>
                          </w:r>
                          <w:proofErr w:type="spellEnd"/>
                          <w:r w:rsidR="00964757">
                            <w:rPr>
                              <w:sz w:val="24"/>
                            </w:rPr>
                            <w:t xml:space="preserve"> music, drama, dance, art, design, film and/or media activities. Justify your reasoning with references to theorists and relevant current research. </w:t>
                          </w:r>
                        </w:p>
                        <w:p w14:paraId="157218A8" w14:textId="77777777" w:rsidR="000C648A" w:rsidRDefault="000C648A" w:rsidP="00D10FAC">
                          <w:pPr>
                            <w:jc w:val="center"/>
                            <w:rPr>
                              <w:sz w:val="24"/>
                            </w:rPr>
                          </w:pPr>
                        </w:p>
                        <w:p w14:paraId="131C7CD4" w14:textId="77777777" w:rsidR="000C648A" w:rsidRPr="00D10FAC" w:rsidRDefault="000C648A" w:rsidP="00D10FAC">
                          <w:pPr>
                            <w:jc w:val="center"/>
                            <w:rPr>
                              <w:sz w:val="24"/>
                            </w:rPr>
                          </w:pPr>
                        </w:p>
                        <w:p w14:paraId="47B494B9" w14:textId="77777777" w:rsidR="003E00A0" w:rsidRDefault="003E00A0"/>
                      </w:txbxContent>
                    </v:textbox>
                    <w10:wrap type="square" anchorx="margin"/>
                  </v:shape>
                </w:pict>
              </mc:Fallback>
            </mc:AlternateContent>
          </w:r>
        </w:p>
        <w:p w14:paraId="4828F9E2" w14:textId="2F04AF6C" w:rsidR="00587FD2" w:rsidRDefault="00587FD2">
          <w:pPr>
            <w:rPr>
              <w:rFonts w:ascii="Bradley Hand ITC" w:hAnsi="Bradley Hand ITC" w:cstheme="minorHAnsi"/>
              <w:b/>
              <w:sz w:val="40"/>
              <w:szCs w:val="40"/>
              <w:u w:val="single"/>
            </w:rPr>
          </w:pPr>
          <w:r>
            <w:rPr>
              <w:rFonts w:ascii="Bradley Hand ITC" w:hAnsi="Bradley Hand ITC" w:cstheme="minorHAnsi"/>
              <w:b/>
              <w:sz w:val="40"/>
              <w:szCs w:val="40"/>
              <w:u w:val="single"/>
            </w:rPr>
            <w:br w:type="page"/>
          </w:r>
        </w:p>
      </w:sdtContent>
    </w:sdt>
    <w:p w14:paraId="3C979456" w14:textId="27716D0C" w:rsidR="00D10FAC" w:rsidRDefault="005B5D91" w:rsidP="005B5D91">
      <w:pPr>
        <w:jc w:val="center"/>
        <w:rPr>
          <w:rFonts w:ascii="Bradley Hand ITC" w:hAnsi="Bradley Hand ITC" w:cstheme="minorHAnsi"/>
          <w:b/>
          <w:sz w:val="40"/>
          <w:szCs w:val="40"/>
          <w:u w:val="single"/>
        </w:rPr>
      </w:pPr>
      <w:r>
        <w:rPr>
          <w:rFonts w:ascii="Bradley Hand ITC" w:hAnsi="Bradley Hand ITC" w:cstheme="minorHAnsi"/>
          <w:b/>
          <w:sz w:val="40"/>
          <w:szCs w:val="40"/>
          <w:u w:val="single"/>
        </w:rPr>
        <w:lastRenderedPageBreak/>
        <w:t>Contents</w:t>
      </w:r>
    </w:p>
    <w:p w14:paraId="2BDE9E64" w14:textId="77777777" w:rsidR="00D10FAC" w:rsidRDefault="00D10FAC" w:rsidP="00D10FAC">
      <w:pPr>
        <w:jc w:val="center"/>
        <w:rPr>
          <w:rFonts w:ascii="Bradley Hand ITC" w:hAnsi="Bradley Hand ITC" w:cstheme="minorHAnsi"/>
          <w:b/>
          <w:sz w:val="40"/>
          <w:szCs w:val="40"/>
          <w:u w:val="single"/>
        </w:rPr>
      </w:pPr>
    </w:p>
    <w:p w14:paraId="6662E035" w14:textId="6A15F350" w:rsidR="00EE5046" w:rsidRDefault="00D10FAC" w:rsidP="00D10FAC">
      <w:pPr>
        <w:rPr>
          <w:rFonts w:ascii="Bradley Hand ITC" w:hAnsi="Bradley Hand ITC" w:cstheme="minorHAnsi"/>
          <w:sz w:val="40"/>
          <w:szCs w:val="40"/>
        </w:rPr>
      </w:pPr>
      <w:r w:rsidRPr="00EE5046">
        <w:rPr>
          <w:rFonts w:ascii="Bradley Hand ITC" w:hAnsi="Bradley Hand ITC" w:cstheme="minorHAnsi"/>
          <w:sz w:val="40"/>
          <w:szCs w:val="40"/>
        </w:rPr>
        <w:t>Overview</w:t>
      </w:r>
      <w:r w:rsidR="00EE5046">
        <w:rPr>
          <w:rFonts w:ascii="Bradley Hand ITC" w:hAnsi="Bradley Hand ITC" w:cstheme="minorHAnsi"/>
          <w:sz w:val="40"/>
          <w:szCs w:val="40"/>
        </w:rPr>
        <w:t>__________________________________________ p.2</w:t>
      </w:r>
    </w:p>
    <w:p w14:paraId="227BD035" w14:textId="54EF663A" w:rsidR="00EE5046" w:rsidRDefault="00EE5046" w:rsidP="00D10FAC">
      <w:pPr>
        <w:rPr>
          <w:rFonts w:ascii="Bradley Hand ITC" w:hAnsi="Bradley Hand ITC" w:cstheme="minorHAnsi"/>
          <w:sz w:val="40"/>
          <w:szCs w:val="40"/>
        </w:rPr>
      </w:pPr>
      <w:r>
        <w:rPr>
          <w:rFonts w:ascii="Bradley Hand ITC" w:hAnsi="Bradley Hand ITC" w:cstheme="minorHAnsi"/>
          <w:sz w:val="40"/>
          <w:szCs w:val="40"/>
        </w:rPr>
        <w:t>Activity 1</w:t>
      </w:r>
      <w:r w:rsidR="00F1176D">
        <w:rPr>
          <w:rFonts w:ascii="Bradley Hand ITC" w:hAnsi="Bradley Hand ITC" w:cstheme="minorHAnsi"/>
          <w:sz w:val="40"/>
          <w:szCs w:val="40"/>
        </w:rPr>
        <w:t>- Art</w:t>
      </w:r>
      <w:r w:rsidR="00DF4102">
        <w:rPr>
          <w:rFonts w:ascii="Bradley Hand ITC" w:hAnsi="Bradley Hand ITC" w:cstheme="minorHAnsi"/>
          <w:sz w:val="40"/>
          <w:szCs w:val="40"/>
        </w:rPr>
        <w:t>____________________________________ p.</w:t>
      </w:r>
      <w:r w:rsidR="00151C3C">
        <w:rPr>
          <w:rFonts w:ascii="Bradley Hand ITC" w:hAnsi="Bradley Hand ITC" w:cstheme="minorHAnsi"/>
          <w:sz w:val="40"/>
          <w:szCs w:val="40"/>
        </w:rPr>
        <w:t>3</w:t>
      </w:r>
    </w:p>
    <w:p w14:paraId="49E72DF0" w14:textId="7F319F80" w:rsidR="00EE5046" w:rsidRDefault="00EE5046" w:rsidP="00D10FAC">
      <w:pPr>
        <w:rPr>
          <w:rFonts w:ascii="Bradley Hand ITC" w:hAnsi="Bradley Hand ITC" w:cstheme="minorHAnsi"/>
          <w:sz w:val="40"/>
          <w:szCs w:val="40"/>
        </w:rPr>
      </w:pPr>
      <w:r>
        <w:rPr>
          <w:rFonts w:ascii="Bradley Hand ITC" w:hAnsi="Bradley Hand ITC" w:cstheme="minorHAnsi"/>
          <w:sz w:val="40"/>
          <w:szCs w:val="40"/>
        </w:rPr>
        <w:t>Activity 2</w:t>
      </w:r>
      <w:r w:rsidR="00F1176D">
        <w:rPr>
          <w:rFonts w:ascii="Bradley Hand ITC" w:hAnsi="Bradley Hand ITC" w:cstheme="minorHAnsi"/>
          <w:sz w:val="40"/>
          <w:szCs w:val="40"/>
        </w:rPr>
        <w:t>- Drama</w:t>
      </w:r>
      <w:r w:rsidR="00DF4102">
        <w:rPr>
          <w:rFonts w:ascii="Bradley Hand ITC" w:hAnsi="Bradley Hand ITC" w:cstheme="minorHAnsi"/>
          <w:sz w:val="40"/>
          <w:szCs w:val="40"/>
        </w:rPr>
        <w:t>________________________________ p.</w:t>
      </w:r>
      <w:r w:rsidR="00151C3C">
        <w:rPr>
          <w:rFonts w:ascii="Bradley Hand ITC" w:hAnsi="Bradley Hand ITC" w:cstheme="minorHAnsi"/>
          <w:sz w:val="40"/>
          <w:szCs w:val="40"/>
        </w:rPr>
        <w:t>5</w:t>
      </w:r>
    </w:p>
    <w:p w14:paraId="3C02BA28" w14:textId="2F473DC9" w:rsidR="00EE5046" w:rsidRDefault="00EE5046" w:rsidP="00D10FAC">
      <w:pPr>
        <w:rPr>
          <w:rFonts w:ascii="Bradley Hand ITC" w:hAnsi="Bradley Hand ITC" w:cstheme="minorHAnsi"/>
          <w:sz w:val="40"/>
          <w:szCs w:val="40"/>
        </w:rPr>
      </w:pPr>
      <w:r>
        <w:rPr>
          <w:rFonts w:ascii="Bradley Hand ITC" w:hAnsi="Bradley Hand ITC" w:cstheme="minorHAnsi"/>
          <w:sz w:val="40"/>
          <w:szCs w:val="40"/>
        </w:rPr>
        <w:t>Activity 3</w:t>
      </w:r>
      <w:r w:rsidR="000F721D">
        <w:rPr>
          <w:rFonts w:ascii="Bradley Hand ITC" w:hAnsi="Bradley Hand ITC" w:cstheme="minorHAnsi"/>
          <w:sz w:val="40"/>
          <w:szCs w:val="40"/>
        </w:rPr>
        <w:t>- Dance</w:t>
      </w:r>
      <w:r w:rsidR="000F721D">
        <w:rPr>
          <w:rFonts w:ascii="Bradley Hand ITC" w:hAnsi="Bradley Hand ITC" w:cstheme="minorHAnsi"/>
          <w:sz w:val="40"/>
          <w:szCs w:val="40"/>
        </w:rPr>
        <w:softHyphen/>
        <w:t>_</w:t>
      </w:r>
      <w:r w:rsidR="00DF4102">
        <w:rPr>
          <w:rFonts w:ascii="Bradley Hand ITC" w:hAnsi="Bradley Hand ITC" w:cstheme="minorHAnsi"/>
          <w:sz w:val="40"/>
          <w:szCs w:val="40"/>
        </w:rPr>
        <w:t>________________________________ p.</w:t>
      </w:r>
      <w:r w:rsidR="00A13AE5">
        <w:rPr>
          <w:rFonts w:ascii="Bradley Hand ITC" w:hAnsi="Bradley Hand ITC" w:cstheme="minorHAnsi"/>
          <w:sz w:val="40"/>
          <w:szCs w:val="40"/>
        </w:rPr>
        <w:t>7</w:t>
      </w:r>
    </w:p>
    <w:p w14:paraId="3E192A84" w14:textId="68150B94" w:rsidR="00EE5046" w:rsidRDefault="00EE5046" w:rsidP="00D10FAC">
      <w:pPr>
        <w:rPr>
          <w:rFonts w:ascii="Bradley Hand ITC" w:hAnsi="Bradley Hand ITC" w:cstheme="minorHAnsi"/>
          <w:sz w:val="40"/>
          <w:szCs w:val="40"/>
        </w:rPr>
      </w:pPr>
      <w:r>
        <w:rPr>
          <w:rFonts w:ascii="Bradley Hand ITC" w:hAnsi="Bradley Hand ITC" w:cstheme="minorHAnsi"/>
          <w:sz w:val="40"/>
          <w:szCs w:val="40"/>
        </w:rPr>
        <w:t>Reference List</w:t>
      </w:r>
      <w:r w:rsidR="00DF4102">
        <w:rPr>
          <w:rFonts w:ascii="Bradley Hand ITC" w:hAnsi="Bradley Hand ITC" w:cstheme="minorHAnsi"/>
          <w:sz w:val="40"/>
          <w:szCs w:val="40"/>
        </w:rPr>
        <w:t xml:space="preserve"> ___________________________________ p.</w:t>
      </w:r>
      <w:r w:rsidR="00A13AE5">
        <w:rPr>
          <w:rFonts w:ascii="Bradley Hand ITC" w:hAnsi="Bradley Hand ITC" w:cstheme="minorHAnsi"/>
          <w:sz w:val="40"/>
          <w:szCs w:val="40"/>
        </w:rPr>
        <w:t xml:space="preserve"> 10</w:t>
      </w:r>
    </w:p>
    <w:p w14:paraId="2549167A" w14:textId="3B3B2C77" w:rsidR="00DF4102" w:rsidRDefault="00EE5046" w:rsidP="00D10FAC">
      <w:pPr>
        <w:rPr>
          <w:rFonts w:ascii="Bradley Hand ITC" w:hAnsi="Bradley Hand ITC" w:cstheme="minorHAnsi"/>
          <w:sz w:val="40"/>
          <w:szCs w:val="40"/>
        </w:rPr>
      </w:pPr>
      <w:r>
        <w:rPr>
          <w:rFonts w:ascii="Bradley Hand ITC" w:hAnsi="Bradley Hand ITC" w:cstheme="minorHAnsi"/>
          <w:sz w:val="40"/>
          <w:szCs w:val="40"/>
        </w:rPr>
        <w:t>Appendices</w:t>
      </w:r>
    </w:p>
    <w:p w14:paraId="2875C2E1" w14:textId="146D06C0" w:rsidR="001C5C21" w:rsidRDefault="00DF4102" w:rsidP="00D10FAC">
      <w:pPr>
        <w:rPr>
          <w:rFonts w:ascii="Bradley Hand ITC" w:hAnsi="Bradley Hand ITC" w:cstheme="minorHAnsi"/>
          <w:sz w:val="40"/>
          <w:szCs w:val="40"/>
        </w:rPr>
      </w:pPr>
      <w:r>
        <w:rPr>
          <w:rFonts w:ascii="Bradley Hand ITC" w:hAnsi="Bradley Hand ITC" w:cstheme="minorHAnsi"/>
          <w:sz w:val="40"/>
          <w:szCs w:val="40"/>
        </w:rPr>
        <w:tab/>
      </w:r>
      <w:r w:rsidR="001C5C21">
        <w:rPr>
          <w:rFonts w:ascii="Bradley Hand ITC" w:hAnsi="Bradley Hand ITC" w:cstheme="minorHAnsi"/>
          <w:sz w:val="40"/>
          <w:szCs w:val="40"/>
        </w:rPr>
        <w:t xml:space="preserve">Appendix 1 – </w:t>
      </w:r>
      <w:r w:rsidR="006D1D1A">
        <w:rPr>
          <w:rFonts w:ascii="Bradley Hand ITC" w:hAnsi="Bradley Hand ITC" w:cstheme="minorHAnsi"/>
          <w:sz w:val="40"/>
          <w:szCs w:val="40"/>
        </w:rPr>
        <w:t xml:space="preserve">Artefact    </w:t>
      </w:r>
    </w:p>
    <w:p w14:paraId="5B45FEDB" w14:textId="35A8AE1F" w:rsidR="00A40588" w:rsidRDefault="001C5C21" w:rsidP="002043B0">
      <w:pPr>
        <w:ind w:left="720"/>
        <w:rPr>
          <w:rFonts w:ascii="Bradley Hand ITC" w:hAnsi="Bradley Hand ITC" w:cstheme="minorHAnsi"/>
          <w:sz w:val="40"/>
          <w:szCs w:val="40"/>
        </w:rPr>
      </w:pPr>
      <w:r>
        <w:rPr>
          <w:rFonts w:ascii="Bradley Hand ITC" w:hAnsi="Bradley Hand ITC" w:cstheme="minorHAnsi"/>
          <w:sz w:val="40"/>
          <w:szCs w:val="40"/>
        </w:rPr>
        <w:t>Appendix 2</w:t>
      </w:r>
      <w:r w:rsidR="00E03837">
        <w:rPr>
          <w:rFonts w:ascii="Bradley Hand ITC" w:hAnsi="Bradley Hand ITC" w:cstheme="minorHAnsi"/>
          <w:sz w:val="40"/>
          <w:szCs w:val="40"/>
        </w:rPr>
        <w:t>A</w:t>
      </w:r>
      <w:r>
        <w:rPr>
          <w:rFonts w:ascii="Bradley Hand ITC" w:hAnsi="Bradley Hand ITC" w:cstheme="minorHAnsi"/>
          <w:sz w:val="40"/>
          <w:szCs w:val="40"/>
        </w:rPr>
        <w:t xml:space="preserve"> </w:t>
      </w:r>
      <w:r w:rsidR="006D1D1A">
        <w:rPr>
          <w:rFonts w:ascii="Bradley Hand ITC" w:hAnsi="Bradley Hand ITC" w:cstheme="minorHAnsi"/>
          <w:sz w:val="40"/>
          <w:szCs w:val="40"/>
        </w:rPr>
        <w:t>- Mind Ma</w:t>
      </w:r>
      <w:r w:rsidR="002043B0">
        <w:rPr>
          <w:rFonts w:ascii="Bradley Hand ITC" w:hAnsi="Bradley Hand ITC" w:cstheme="minorHAnsi"/>
          <w:sz w:val="40"/>
          <w:szCs w:val="40"/>
        </w:rPr>
        <w:t>p- How the artefact supports the Arts</w:t>
      </w:r>
      <w:r w:rsidR="006D1D1A">
        <w:rPr>
          <w:rFonts w:ascii="Bradley Hand ITC" w:hAnsi="Bradley Hand ITC" w:cstheme="minorHAnsi"/>
          <w:sz w:val="40"/>
          <w:szCs w:val="40"/>
        </w:rPr>
        <w:t xml:space="preserve"> </w:t>
      </w:r>
    </w:p>
    <w:p w14:paraId="2225DA57" w14:textId="232CA1D9" w:rsidR="003F68FB" w:rsidRDefault="00A40588" w:rsidP="00A40588">
      <w:pPr>
        <w:rPr>
          <w:rFonts w:ascii="Bradley Hand ITC" w:hAnsi="Bradley Hand ITC" w:cstheme="minorHAnsi"/>
          <w:sz w:val="40"/>
          <w:szCs w:val="40"/>
        </w:rPr>
      </w:pPr>
      <w:r>
        <w:rPr>
          <w:rFonts w:ascii="Bradley Hand ITC" w:hAnsi="Bradley Hand ITC" w:cstheme="minorHAnsi"/>
          <w:sz w:val="40"/>
          <w:szCs w:val="40"/>
        </w:rPr>
        <w:tab/>
        <w:t xml:space="preserve">Appendix </w:t>
      </w:r>
      <w:r w:rsidR="00C15D02">
        <w:rPr>
          <w:rFonts w:ascii="Bradley Hand ITC" w:hAnsi="Bradley Hand ITC" w:cstheme="minorHAnsi"/>
          <w:sz w:val="40"/>
          <w:szCs w:val="40"/>
        </w:rPr>
        <w:t>2B</w:t>
      </w:r>
      <w:r>
        <w:rPr>
          <w:rFonts w:ascii="Bradley Hand ITC" w:hAnsi="Bradley Hand ITC" w:cstheme="minorHAnsi"/>
          <w:sz w:val="40"/>
          <w:szCs w:val="40"/>
        </w:rPr>
        <w:t xml:space="preserve"> </w:t>
      </w:r>
      <w:r w:rsidR="003F68FB">
        <w:rPr>
          <w:rFonts w:ascii="Bradley Hand ITC" w:hAnsi="Bradley Hand ITC" w:cstheme="minorHAnsi"/>
          <w:sz w:val="40"/>
          <w:szCs w:val="40"/>
        </w:rPr>
        <w:t>–</w:t>
      </w:r>
      <w:r w:rsidR="006C3FF0">
        <w:rPr>
          <w:rFonts w:ascii="Bradley Hand ITC" w:hAnsi="Bradley Hand ITC" w:cstheme="minorHAnsi"/>
          <w:sz w:val="40"/>
          <w:szCs w:val="40"/>
        </w:rPr>
        <w:t xml:space="preserve"> Cross-curricular Mind Maps</w:t>
      </w:r>
      <w:r w:rsidR="00E526FB">
        <w:rPr>
          <w:rFonts w:ascii="Bradley Hand ITC" w:hAnsi="Bradley Hand ITC" w:cstheme="minorHAnsi"/>
          <w:sz w:val="40"/>
          <w:szCs w:val="40"/>
        </w:rPr>
        <w:t xml:space="preserve"> </w:t>
      </w:r>
    </w:p>
    <w:p w14:paraId="29725D93" w14:textId="0249B95C" w:rsidR="003F68FB" w:rsidRDefault="003F68FB" w:rsidP="00E616A9">
      <w:pPr>
        <w:ind w:left="720"/>
        <w:rPr>
          <w:rFonts w:ascii="Bradley Hand ITC" w:hAnsi="Bradley Hand ITC" w:cstheme="minorHAnsi"/>
          <w:sz w:val="40"/>
          <w:szCs w:val="40"/>
        </w:rPr>
      </w:pPr>
      <w:r>
        <w:rPr>
          <w:rFonts w:ascii="Bradley Hand ITC" w:hAnsi="Bradley Hand ITC" w:cstheme="minorHAnsi"/>
          <w:sz w:val="40"/>
          <w:szCs w:val="40"/>
        </w:rPr>
        <w:t xml:space="preserve">Appendix </w:t>
      </w:r>
      <w:r w:rsidR="00E616A9">
        <w:rPr>
          <w:rFonts w:ascii="Bradley Hand ITC" w:hAnsi="Bradley Hand ITC" w:cstheme="minorHAnsi"/>
          <w:sz w:val="40"/>
          <w:szCs w:val="40"/>
        </w:rPr>
        <w:t>3</w:t>
      </w:r>
      <w:r>
        <w:rPr>
          <w:rFonts w:ascii="Bradley Hand ITC" w:hAnsi="Bradley Hand ITC" w:cstheme="minorHAnsi"/>
          <w:sz w:val="40"/>
          <w:szCs w:val="40"/>
        </w:rPr>
        <w:t xml:space="preserve"> – </w:t>
      </w:r>
      <w:r w:rsidR="00713CDC">
        <w:rPr>
          <w:rFonts w:ascii="Bradley Hand ITC" w:hAnsi="Bradley Hand ITC" w:cstheme="minorHAnsi"/>
          <w:sz w:val="40"/>
          <w:szCs w:val="40"/>
        </w:rPr>
        <w:t>Example of art</w:t>
      </w:r>
      <w:r w:rsidR="00BF7A28">
        <w:rPr>
          <w:rFonts w:ascii="Bradley Hand ITC" w:hAnsi="Bradley Hand ITC" w:cstheme="minorHAnsi"/>
          <w:sz w:val="40"/>
          <w:szCs w:val="40"/>
        </w:rPr>
        <w:t xml:space="preserve"> project design</w:t>
      </w:r>
      <w:r w:rsidR="00E616A9">
        <w:rPr>
          <w:rFonts w:ascii="Bradley Hand ITC" w:hAnsi="Bradley Hand ITC" w:cstheme="minorHAnsi"/>
          <w:sz w:val="40"/>
          <w:szCs w:val="40"/>
        </w:rPr>
        <w:t xml:space="preserve"> and Venn Diagram</w:t>
      </w:r>
      <w:r w:rsidR="00BF7A28">
        <w:rPr>
          <w:rFonts w:ascii="Bradley Hand ITC" w:hAnsi="Bradley Hand ITC" w:cstheme="minorHAnsi"/>
          <w:sz w:val="40"/>
          <w:szCs w:val="40"/>
        </w:rPr>
        <w:t xml:space="preserve"> </w:t>
      </w:r>
    </w:p>
    <w:p w14:paraId="4149C0E4" w14:textId="6158A263" w:rsidR="00A30A5E" w:rsidRDefault="003F68FB" w:rsidP="00A40588">
      <w:pPr>
        <w:rPr>
          <w:rFonts w:ascii="Bradley Hand ITC" w:hAnsi="Bradley Hand ITC" w:cstheme="minorHAnsi"/>
          <w:sz w:val="40"/>
          <w:szCs w:val="40"/>
        </w:rPr>
      </w:pPr>
      <w:r>
        <w:rPr>
          <w:rFonts w:ascii="Bradley Hand ITC" w:hAnsi="Bradley Hand ITC" w:cstheme="minorHAnsi"/>
          <w:sz w:val="40"/>
          <w:szCs w:val="40"/>
        </w:rPr>
        <w:tab/>
        <w:t xml:space="preserve">Appendix 5 </w:t>
      </w:r>
      <w:r w:rsidR="00A30A5E">
        <w:rPr>
          <w:rFonts w:ascii="Bradley Hand ITC" w:hAnsi="Bradley Hand ITC" w:cstheme="minorHAnsi"/>
          <w:sz w:val="40"/>
          <w:szCs w:val="40"/>
        </w:rPr>
        <w:t>–</w:t>
      </w:r>
      <w:r>
        <w:rPr>
          <w:rFonts w:ascii="Bradley Hand ITC" w:hAnsi="Bradley Hand ITC" w:cstheme="minorHAnsi"/>
          <w:sz w:val="40"/>
          <w:szCs w:val="40"/>
        </w:rPr>
        <w:t xml:space="preserve"> </w:t>
      </w:r>
      <w:r w:rsidR="00A30A5E">
        <w:rPr>
          <w:rFonts w:ascii="Bradley Hand ITC" w:hAnsi="Bradley Hand ITC" w:cstheme="minorHAnsi"/>
          <w:sz w:val="40"/>
          <w:szCs w:val="40"/>
        </w:rPr>
        <w:t>LNF screenshots for Activity 1.</w:t>
      </w:r>
    </w:p>
    <w:p w14:paraId="066717ED" w14:textId="16AB7049" w:rsidR="00A30A5E" w:rsidRDefault="00A30A5E" w:rsidP="00A40588">
      <w:pPr>
        <w:rPr>
          <w:rFonts w:ascii="Bradley Hand ITC" w:hAnsi="Bradley Hand ITC" w:cstheme="minorHAnsi"/>
          <w:sz w:val="40"/>
          <w:szCs w:val="40"/>
        </w:rPr>
      </w:pPr>
      <w:r>
        <w:rPr>
          <w:rFonts w:ascii="Bradley Hand ITC" w:hAnsi="Bradley Hand ITC" w:cstheme="minorHAnsi"/>
          <w:sz w:val="40"/>
          <w:szCs w:val="40"/>
        </w:rPr>
        <w:tab/>
        <w:t>Appendix 6A – Video 1</w:t>
      </w:r>
      <w:r w:rsidR="002B2091">
        <w:rPr>
          <w:rFonts w:ascii="Bradley Hand ITC" w:hAnsi="Bradley Hand ITC" w:cstheme="minorHAnsi"/>
          <w:sz w:val="40"/>
          <w:szCs w:val="40"/>
        </w:rPr>
        <w:t xml:space="preserve"> (on memory stick)</w:t>
      </w:r>
    </w:p>
    <w:p w14:paraId="6DA671A4" w14:textId="77777777" w:rsidR="002B2091" w:rsidRDefault="00A30A5E" w:rsidP="00A40588">
      <w:pPr>
        <w:rPr>
          <w:rFonts w:ascii="Bradley Hand ITC" w:hAnsi="Bradley Hand ITC" w:cstheme="minorHAnsi"/>
          <w:sz w:val="40"/>
          <w:szCs w:val="40"/>
        </w:rPr>
      </w:pPr>
      <w:r>
        <w:rPr>
          <w:rFonts w:ascii="Bradley Hand ITC" w:hAnsi="Bradley Hand ITC" w:cstheme="minorHAnsi"/>
          <w:sz w:val="40"/>
          <w:szCs w:val="40"/>
        </w:rPr>
        <w:tab/>
        <w:t xml:space="preserve">Appendix 6B </w:t>
      </w:r>
      <w:r w:rsidR="002B2091">
        <w:rPr>
          <w:rFonts w:ascii="Bradley Hand ITC" w:hAnsi="Bradley Hand ITC" w:cstheme="minorHAnsi"/>
          <w:sz w:val="40"/>
          <w:szCs w:val="40"/>
        </w:rPr>
        <w:t>–</w:t>
      </w:r>
      <w:r>
        <w:rPr>
          <w:rFonts w:ascii="Bradley Hand ITC" w:hAnsi="Bradley Hand ITC" w:cstheme="minorHAnsi"/>
          <w:sz w:val="40"/>
          <w:szCs w:val="40"/>
        </w:rPr>
        <w:t xml:space="preserve"> </w:t>
      </w:r>
      <w:r w:rsidR="002B2091">
        <w:rPr>
          <w:rFonts w:ascii="Bradley Hand ITC" w:hAnsi="Bradley Hand ITC" w:cstheme="minorHAnsi"/>
          <w:sz w:val="40"/>
          <w:szCs w:val="40"/>
        </w:rPr>
        <w:t>Video 2 (on memory stick)</w:t>
      </w:r>
    </w:p>
    <w:p w14:paraId="7E79321A" w14:textId="205A9100" w:rsidR="00D10FAC" w:rsidRPr="00EE5046" w:rsidRDefault="002B2091" w:rsidP="00A40588">
      <w:pPr>
        <w:rPr>
          <w:rFonts w:ascii="Bradley Hand ITC" w:hAnsi="Bradley Hand ITC" w:cstheme="minorHAnsi"/>
          <w:sz w:val="40"/>
          <w:szCs w:val="40"/>
        </w:rPr>
      </w:pPr>
      <w:r>
        <w:rPr>
          <w:rFonts w:ascii="Bradley Hand ITC" w:hAnsi="Bradley Hand ITC" w:cstheme="minorHAnsi"/>
          <w:sz w:val="40"/>
          <w:szCs w:val="40"/>
        </w:rPr>
        <w:tab/>
        <w:t xml:space="preserve">Appendix 7 </w:t>
      </w:r>
      <w:r w:rsidR="00440BC2">
        <w:rPr>
          <w:rFonts w:ascii="Bradley Hand ITC" w:hAnsi="Bradley Hand ITC" w:cstheme="minorHAnsi"/>
          <w:sz w:val="40"/>
          <w:szCs w:val="40"/>
        </w:rPr>
        <w:t>–</w:t>
      </w:r>
      <w:r>
        <w:rPr>
          <w:rFonts w:ascii="Bradley Hand ITC" w:hAnsi="Bradley Hand ITC" w:cstheme="minorHAnsi"/>
          <w:sz w:val="40"/>
          <w:szCs w:val="40"/>
        </w:rPr>
        <w:t xml:space="preserve"> </w:t>
      </w:r>
      <w:r w:rsidR="00440BC2">
        <w:rPr>
          <w:rFonts w:ascii="Bradley Hand ITC" w:hAnsi="Bradley Hand ITC" w:cstheme="minorHAnsi"/>
          <w:sz w:val="40"/>
          <w:szCs w:val="40"/>
        </w:rPr>
        <w:t xml:space="preserve">Educational Visits mind map </w:t>
      </w:r>
      <w:r w:rsidR="00A40588">
        <w:rPr>
          <w:rFonts w:ascii="Bradley Hand ITC" w:hAnsi="Bradley Hand ITC" w:cstheme="minorHAnsi"/>
          <w:sz w:val="40"/>
          <w:szCs w:val="40"/>
        </w:rPr>
        <w:br/>
      </w:r>
      <w:r w:rsidR="00D10FAC" w:rsidRPr="00EE5046">
        <w:rPr>
          <w:rFonts w:ascii="Bradley Hand ITC" w:hAnsi="Bradley Hand ITC" w:cstheme="minorHAnsi"/>
          <w:sz w:val="40"/>
          <w:szCs w:val="40"/>
        </w:rPr>
        <w:br w:type="page"/>
      </w:r>
    </w:p>
    <w:p w14:paraId="46D41852" w14:textId="1AAD1E89" w:rsidR="00CB156E" w:rsidRPr="00202781" w:rsidRDefault="003253BA" w:rsidP="00202781">
      <w:pPr>
        <w:jc w:val="center"/>
        <w:rPr>
          <w:rFonts w:ascii="Bradley Hand ITC" w:hAnsi="Bradley Hand ITC" w:cstheme="minorHAnsi"/>
          <w:b/>
          <w:sz w:val="40"/>
          <w:szCs w:val="40"/>
          <w:u w:val="single"/>
        </w:rPr>
      </w:pPr>
      <w:r w:rsidRPr="00202781">
        <w:rPr>
          <w:rFonts w:ascii="Bradley Hand ITC" w:hAnsi="Bradley Hand ITC" w:cstheme="minorHAnsi"/>
          <w:b/>
          <w:sz w:val="40"/>
          <w:szCs w:val="40"/>
          <w:u w:val="single"/>
        </w:rPr>
        <w:t>Overview</w:t>
      </w:r>
    </w:p>
    <w:p w14:paraId="7A46DCC2" w14:textId="47233231" w:rsidR="0047740A" w:rsidRDefault="0047740A">
      <w:pPr>
        <w:rPr>
          <w:rFonts w:cstheme="minorHAnsi"/>
        </w:rPr>
      </w:pPr>
      <w:r>
        <w:rPr>
          <w:rFonts w:cstheme="minorHAnsi"/>
        </w:rPr>
        <w:t>The activities detailed in this resource are aimed at learners in Key Stage two, however some</w:t>
      </w:r>
      <w:r w:rsidR="00C34A8E">
        <w:rPr>
          <w:rFonts w:cstheme="minorHAnsi"/>
        </w:rPr>
        <w:t xml:space="preserve"> activities</w:t>
      </w:r>
      <w:r>
        <w:rPr>
          <w:rFonts w:cstheme="minorHAnsi"/>
        </w:rPr>
        <w:t xml:space="preserve"> could also be adapted to suit learners in the Foundation Phase. The activities are aimed to encourage holistic learning for all learners, including those with additional learning needs (ALN). Some suggestions of alterations that could be made to ensure the lessons are inclusive are detailed within this resource, however the alterations should be made on an individual basis. All the focus activities are intended to cover multiple days rather than be completed within a short amount of time. </w:t>
      </w:r>
    </w:p>
    <w:p w14:paraId="13595C25" w14:textId="4C71B665" w:rsidR="00C809A0" w:rsidRDefault="00C809A0">
      <w:pPr>
        <w:rPr>
          <w:rFonts w:cstheme="minorHAnsi"/>
        </w:rPr>
      </w:pPr>
      <w:r>
        <w:rPr>
          <w:rFonts w:cstheme="minorHAnsi"/>
        </w:rPr>
        <w:t xml:space="preserve">The artefact that will be supporting this resource is a painting by Valerie Ganz called ‘Breakfast at the coalface’ (see appendix </w:t>
      </w:r>
      <w:r w:rsidR="006D1D1A">
        <w:rPr>
          <w:rFonts w:cstheme="minorHAnsi"/>
        </w:rPr>
        <w:t>1</w:t>
      </w:r>
      <w:r>
        <w:rPr>
          <w:rFonts w:cstheme="minorHAnsi"/>
        </w:rPr>
        <w:t>)</w:t>
      </w:r>
      <w:r w:rsidR="00FB4A68">
        <w:rPr>
          <w:rFonts w:cstheme="minorHAnsi"/>
        </w:rPr>
        <w:t xml:space="preserve"> which was created between </w:t>
      </w:r>
      <w:r w:rsidR="00BF3B05">
        <w:rPr>
          <w:rFonts w:cstheme="minorHAnsi"/>
        </w:rPr>
        <w:t>1975 and 1980</w:t>
      </w:r>
      <w:r>
        <w:rPr>
          <w:rFonts w:cstheme="minorHAnsi"/>
        </w:rPr>
        <w:t>. Ganz is a Welsh artist based in Swansea</w:t>
      </w:r>
      <w:r w:rsidR="0014534A">
        <w:rPr>
          <w:rFonts w:cstheme="minorHAnsi"/>
        </w:rPr>
        <w:t xml:space="preserve"> and </w:t>
      </w:r>
      <w:r w:rsidR="00B32F1D">
        <w:rPr>
          <w:rFonts w:cstheme="minorHAnsi"/>
        </w:rPr>
        <w:t>as a result her</w:t>
      </w:r>
      <w:r>
        <w:rPr>
          <w:rFonts w:cstheme="minorHAnsi"/>
        </w:rPr>
        <w:t xml:space="preserve"> work focuses greatly upon Welsh life, particularly upon the mining industry. It is believed that Ganz took her inspiration from working in up to 14 collieries in Wales, witnessing the impact that mining had upon both the miners and their families and the wider community (Ganz, 2013). </w:t>
      </w:r>
      <w:r w:rsidR="00A91FF6">
        <w:rPr>
          <w:rFonts w:cstheme="minorHAnsi"/>
        </w:rPr>
        <w:t>The artefact can support many areas of learning, particularly the arts, which is shown in appendix 2A</w:t>
      </w:r>
      <w:r w:rsidR="00D8065F">
        <w:rPr>
          <w:rFonts w:cstheme="minorHAnsi"/>
        </w:rPr>
        <w:t xml:space="preserve">. Separate mind maps in appendix 2B </w:t>
      </w:r>
      <w:r w:rsidR="002F2250">
        <w:rPr>
          <w:rFonts w:cstheme="minorHAnsi"/>
        </w:rPr>
        <w:t xml:space="preserve">show potential cross-curricular links between </w:t>
      </w:r>
      <w:r w:rsidR="006E77BB">
        <w:rPr>
          <w:rFonts w:cstheme="minorHAnsi"/>
        </w:rPr>
        <w:t>the artefact and Art, Drama and Dance and other areas of learning.</w:t>
      </w:r>
      <w:r w:rsidR="007A759C">
        <w:rPr>
          <w:rFonts w:cstheme="minorHAnsi"/>
        </w:rPr>
        <w:t xml:space="preserve"> </w:t>
      </w:r>
    </w:p>
    <w:p w14:paraId="12F039BC" w14:textId="7ED5F1F5" w:rsidR="007B5581" w:rsidRDefault="00BE68C5">
      <w:pPr>
        <w:rPr>
          <w:rFonts w:cstheme="minorHAnsi"/>
        </w:rPr>
      </w:pPr>
      <w:r>
        <w:rPr>
          <w:rFonts w:cstheme="minorHAnsi"/>
        </w:rPr>
        <w:t xml:space="preserve">This resource is intended to </w:t>
      </w:r>
      <w:r w:rsidR="00053325">
        <w:rPr>
          <w:rFonts w:cstheme="minorHAnsi"/>
        </w:rPr>
        <w:t>emphasise the potential impact that the visual and expressive arts can have upon learners when used effectively.</w:t>
      </w:r>
      <w:r w:rsidR="004238C0">
        <w:rPr>
          <w:rFonts w:cstheme="minorHAnsi"/>
        </w:rPr>
        <w:t xml:space="preserve"> </w:t>
      </w:r>
      <w:r w:rsidR="005133D7">
        <w:rPr>
          <w:rFonts w:cstheme="minorHAnsi"/>
        </w:rPr>
        <w:t xml:space="preserve">When the expressive arts are portrayed as equal to more ‘academic’ </w:t>
      </w:r>
      <w:r w:rsidR="00C37136">
        <w:rPr>
          <w:rFonts w:cstheme="minorHAnsi"/>
        </w:rPr>
        <w:t xml:space="preserve">areas of the curriculum we could see </w:t>
      </w:r>
      <w:r w:rsidR="00E00943">
        <w:rPr>
          <w:rFonts w:cstheme="minorHAnsi"/>
        </w:rPr>
        <w:t xml:space="preserve">a </w:t>
      </w:r>
      <w:r w:rsidR="00EB2C7D">
        <w:rPr>
          <w:rFonts w:cstheme="minorHAnsi"/>
        </w:rPr>
        <w:t xml:space="preserve">significant </w:t>
      </w:r>
      <w:r w:rsidR="00E00943">
        <w:rPr>
          <w:rFonts w:cstheme="minorHAnsi"/>
        </w:rPr>
        <w:t>increase in learner engagement and retention of information in a cross-curricular manner.</w:t>
      </w:r>
      <w:r w:rsidR="00E810DE">
        <w:rPr>
          <w:rFonts w:cstheme="minorHAnsi"/>
        </w:rPr>
        <w:t xml:space="preserve"> The increase in learner engagement would be </w:t>
      </w:r>
      <w:r w:rsidR="0001123A">
        <w:rPr>
          <w:rFonts w:cstheme="minorHAnsi"/>
        </w:rPr>
        <w:t>due to the arts targeting various learning styles</w:t>
      </w:r>
      <w:r w:rsidR="009D7FE5">
        <w:rPr>
          <w:rFonts w:cstheme="minorHAnsi"/>
        </w:rPr>
        <w:t>, including learners who thrive on active learning</w:t>
      </w:r>
      <w:r w:rsidR="00C63575">
        <w:rPr>
          <w:rFonts w:cstheme="minorHAnsi"/>
        </w:rPr>
        <w:t xml:space="preserve"> experiences</w:t>
      </w:r>
      <w:r w:rsidR="009D7FE5">
        <w:rPr>
          <w:rFonts w:cstheme="minorHAnsi"/>
        </w:rPr>
        <w:t>.</w:t>
      </w:r>
      <w:r w:rsidR="00392A7B">
        <w:rPr>
          <w:rFonts w:cstheme="minorHAnsi"/>
        </w:rPr>
        <w:t xml:space="preserve"> This is supported by multiple theorists including </w:t>
      </w:r>
      <w:proofErr w:type="spellStart"/>
      <w:r w:rsidR="00392A7B">
        <w:rPr>
          <w:rFonts w:cstheme="minorHAnsi"/>
        </w:rPr>
        <w:t>Gregorc</w:t>
      </w:r>
      <w:proofErr w:type="spellEnd"/>
      <w:r w:rsidR="00CC1D51">
        <w:rPr>
          <w:rFonts w:cstheme="minorHAnsi"/>
        </w:rPr>
        <w:t xml:space="preserve">, who believes that all learners fall into one of </w:t>
      </w:r>
      <w:r w:rsidR="00C63575">
        <w:rPr>
          <w:rFonts w:cstheme="minorHAnsi"/>
        </w:rPr>
        <w:t>the following</w:t>
      </w:r>
      <w:r w:rsidR="00CC1D51">
        <w:rPr>
          <w:rFonts w:cstheme="minorHAnsi"/>
        </w:rPr>
        <w:t xml:space="preserve"> learning styles</w:t>
      </w:r>
      <w:r w:rsidR="00C71B79">
        <w:rPr>
          <w:rFonts w:cstheme="minorHAnsi"/>
        </w:rPr>
        <w:t xml:space="preserve">: </w:t>
      </w:r>
      <w:r w:rsidR="006B6E93">
        <w:rPr>
          <w:rFonts w:cstheme="minorHAnsi"/>
        </w:rPr>
        <w:t>c</w:t>
      </w:r>
      <w:r w:rsidR="001210D3">
        <w:rPr>
          <w:rFonts w:cstheme="minorHAnsi"/>
        </w:rPr>
        <w:t xml:space="preserve">oncrete sequential, abstract sequential, </w:t>
      </w:r>
      <w:r w:rsidR="00224BDB">
        <w:rPr>
          <w:rFonts w:cstheme="minorHAnsi"/>
        </w:rPr>
        <w:t>concrete random and sequential random</w:t>
      </w:r>
      <w:r w:rsidR="001A0612">
        <w:rPr>
          <w:rFonts w:cstheme="minorHAnsi"/>
        </w:rPr>
        <w:t xml:space="preserve"> (</w:t>
      </w:r>
      <w:r w:rsidR="00EB75DA">
        <w:rPr>
          <w:rFonts w:cstheme="minorHAnsi"/>
        </w:rPr>
        <w:t xml:space="preserve">Allen, </w:t>
      </w:r>
      <w:proofErr w:type="spellStart"/>
      <w:r w:rsidR="00EB75DA">
        <w:rPr>
          <w:rFonts w:cstheme="minorHAnsi"/>
        </w:rPr>
        <w:t>Nieter</w:t>
      </w:r>
      <w:proofErr w:type="spellEnd"/>
      <w:r w:rsidR="00EB75DA">
        <w:rPr>
          <w:rFonts w:cstheme="minorHAnsi"/>
        </w:rPr>
        <w:t xml:space="preserve"> and </w:t>
      </w:r>
      <w:proofErr w:type="spellStart"/>
      <w:r w:rsidR="00EB75DA">
        <w:rPr>
          <w:rFonts w:cstheme="minorHAnsi"/>
        </w:rPr>
        <w:t>Sheve</w:t>
      </w:r>
      <w:proofErr w:type="spellEnd"/>
      <w:r w:rsidR="00EB75DA">
        <w:rPr>
          <w:rFonts w:cstheme="minorHAnsi"/>
        </w:rPr>
        <w:t>, 2010, p. 15)</w:t>
      </w:r>
      <w:r w:rsidR="00224BDB">
        <w:rPr>
          <w:rFonts w:cstheme="minorHAnsi"/>
        </w:rPr>
        <w:t xml:space="preserve">. These four learning styles </w:t>
      </w:r>
      <w:r w:rsidR="00847109">
        <w:rPr>
          <w:rFonts w:cstheme="minorHAnsi"/>
        </w:rPr>
        <w:t>support all learners</w:t>
      </w:r>
      <w:r w:rsidR="00C30D29">
        <w:rPr>
          <w:rFonts w:cstheme="minorHAnsi"/>
        </w:rPr>
        <w:t xml:space="preserve"> and are particularly accessible through </w:t>
      </w:r>
      <w:r w:rsidR="00745185">
        <w:rPr>
          <w:rFonts w:cstheme="minorHAnsi"/>
        </w:rPr>
        <w:t>the visual and expressive arts</w:t>
      </w:r>
      <w:r w:rsidR="001F5146">
        <w:rPr>
          <w:rFonts w:cstheme="minorHAnsi"/>
        </w:rPr>
        <w:t xml:space="preserve"> due to the interpretative nature of the area of learning</w:t>
      </w:r>
      <w:r w:rsidR="00745185">
        <w:rPr>
          <w:rFonts w:cstheme="minorHAnsi"/>
        </w:rPr>
        <w:t>.</w:t>
      </w:r>
      <w:r w:rsidR="004E733F">
        <w:rPr>
          <w:rFonts w:cstheme="minorHAnsi"/>
        </w:rPr>
        <w:t xml:space="preserve"> Learners who require a physical object as a</w:t>
      </w:r>
      <w:r w:rsidR="0008687F">
        <w:rPr>
          <w:rFonts w:cstheme="minorHAnsi"/>
        </w:rPr>
        <w:t xml:space="preserve"> </w:t>
      </w:r>
      <w:r w:rsidR="00AF3AA6">
        <w:rPr>
          <w:rFonts w:cstheme="minorHAnsi"/>
        </w:rPr>
        <w:t>stimulus</w:t>
      </w:r>
      <w:r w:rsidR="0008687F">
        <w:rPr>
          <w:rFonts w:cstheme="minorHAnsi"/>
        </w:rPr>
        <w:t xml:space="preserve">, learners who </w:t>
      </w:r>
      <w:r w:rsidR="000A2091">
        <w:rPr>
          <w:rFonts w:cstheme="minorHAnsi"/>
        </w:rPr>
        <w:t xml:space="preserve">need step-by-step instructions for a task and those who don’t can all be supported </w:t>
      </w:r>
      <w:r w:rsidR="002325E2">
        <w:rPr>
          <w:rFonts w:cstheme="minorHAnsi"/>
        </w:rPr>
        <w:t>with little alteration to a lesson plan. Meanwhile in other areas of learning,</w:t>
      </w:r>
      <w:r w:rsidR="008634D4">
        <w:rPr>
          <w:rFonts w:cstheme="minorHAnsi"/>
        </w:rPr>
        <w:t xml:space="preserve"> such alterations can be more challenging</w:t>
      </w:r>
      <w:r w:rsidR="00AF3AA6">
        <w:rPr>
          <w:rFonts w:cstheme="minorHAnsi"/>
        </w:rPr>
        <w:t>, although not impossible,</w:t>
      </w:r>
      <w:r w:rsidR="008634D4">
        <w:rPr>
          <w:rFonts w:cstheme="minorHAnsi"/>
        </w:rPr>
        <w:t xml:space="preserve"> due to the more restricted nature of </w:t>
      </w:r>
      <w:r w:rsidR="00533B1C">
        <w:rPr>
          <w:rFonts w:cstheme="minorHAnsi"/>
        </w:rPr>
        <w:t>exploring</w:t>
      </w:r>
      <w:r w:rsidR="008634D4">
        <w:rPr>
          <w:rFonts w:cstheme="minorHAnsi"/>
        </w:rPr>
        <w:t xml:space="preserve"> </w:t>
      </w:r>
      <w:proofErr w:type="gramStart"/>
      <w:r w:rsidR="008634D4">
        <w:rPr>
          <w:rFonts w:cstheme="minorHAnsi"/>
        </w:rPr>
        <w:t>particular</w:t>
      </w:r>
      <w:r w:rsidR="000C5288">
        <w:rPr>
          <w:rFonts w:cstheme="minorHAnsi"/>
        </w:rPr>
        <w:t xml:space="preserve"> </w:t>
      </w:r>
      <w:r w:rsidR="008634D4">
        <w:rPr>
          <w:rFonts w:cstheme="minorHAnsi"/>
        </w:rPr>
        <w:t>topics</w:t>
      </w:r>
      <w:proofErr w:type="gramEnd"/>
      <w:r w:rsidR="008634D4">
        <w:rPr>
          <w:rFonts w:cstheme="minorHAnsi"/>
        </w:rPr>
        <w:t xml:space="preserve">. </w:t>
      </w:r>
    </w:p>
    <w:p w14:paraId="5E413135" w14:textId="3293A3D6" w:rsidR="003253BA" w:rsidRDefault="006040F9">
      <w:pPr>
        <w:rPr>
          <w:rFonts w:cstheme="minorHAnsi"/>
        </w:rPr>
      </w:pPr>
      <w:r>
        <w:rPr>
          <w:rFonts w:cstheme="minorHAnsi"/>
        </w:rPr>
        <w:t>In my opinion, the expressive arts lack support when compared to other areas of learning</w:t>
      </w:r>
      <w:r w:rsidR="009467F8">
        <w:rPr>
          <w:rFonts w:cstheme="minorHAnsi"/>
        </w:rPr>
        <w:t xml:space="preserve">. I believe that </w:t>
      </w:r>
      <w:r w:rsidR="00EB2C7D">
        <w:rPr>
          <w:rFonts w:cstheme="minorHAnsi"/>
        </w:rPr>
        <w:t>this</w:t>
      </w:r>
      <w:r w:rsidR="009467F8">
        <w:rPr>
          <w:rFonts w:cstheme="minorHAnsi"/>
        </w:rPr>
        <w:t xml:space="preserve"> is because of such little focus within the curriculum documents, poor teacher subject knowledge and confidence</w:t>
      </w:r>
      <w:r w:rsidR="00CE1AF0">
        <w:rPr>
          <w:rFonts w:cstheme="minorHAnsi"/>
        </w:rPr>
        <w:t>, and the stereotypical view that because the arts are not classed as academic area</w:t>
      </w:r>
      <w:r w:rsidR="00B26AE2">
        <w:rPr>
          <w:rFonts w:cstheme="minorHAnsi"/>
        </w:rPr>
        <w:t>s</w:t>
      </w:r>
      <w:r w:rsidR="00CE1AF0">
        <w:rPr>
          <w:rFonts w:cstheme="minorHAnsi"/>
        </w:rPr>
        <w:t xml:space="preserve"> of learning they are not as valuable and have little effect upon our learners</w:t>
      </w:r>
      <w:r w:rsidR="00D96622">
        <w:rPr>
          <w:rFonts w:cstheme="minorHAnsi"/>
        </w:rPr>
        <w:t>’</w:t>
      </w:r>
      <w:r w:rsidR="00CE1AF0">
        <w:rPr>
          <w:rFonts w:cstheme="minorHAnsi"/>
        </w:rPr>
        <w:t xml:space="preserve"> </w:t>
      </w:r>
      <w:r w:rsidR="00440BC2">
        <w:rPr>
          <w:rFonts w:cstheme="minorHAnsi"/>
        </w:rPr>
        <w:t>futures</w:t>
      </w:r>
      <w:r w:rsidR="00CE1AF0">
        <w:rPr>
          <w:rFonts w:cstheme="minorHAnsi"/>
        </w:rPr>
        <w:t>.</w:t>
      </w:r>
      <w:r w:rsidR="009972F7">
        <w:rPr>
          <w:rFonts w:cstheme="minorHAnsi"/>
        </w:rPr>
        <w:t xml:space="preserve"> Within the curriculum, the arts have the least focus and were the last areas of learning to be introduced </w:t>
      </w:r>
      <w:r w:rsidR="00C861A2">
        <w:rPr>
          <w:rFonts w:cstheme="minorHAnsi"/>
        </w:rPr>
        <w:t>to the curriculum</w:t>
      </w:r>
      <w:r w:rsidR="00356F88">
        <w:rPr>
          <w:rFonts w:cstheme="minorHAnsi"/>
        </w:rPr>
        <w:t xml:space="preserve"> </w:t>
      </w:r>
      <w:r w:rsidR="009972F7">
        <w:rPr>
          <w:rFonts w:cstheme="minorHAnsi"/>
        </w:rPr>
        <w:t>(</w:t>
      </w:r>
      <w:r w:rsidR="003C3E9E">
        <w:rPr>
          <w:rFonts w:cstheme="minorHAnsi"/>
        </w:rPr>
        <w:t>Andrews and Taylor, 2</w:t>
      </w:r>
      <w:r w:rsidR="000E0F3C">
        <w:rPr>
          <w:rFonts w:cstheme="minorHAnsi"/>
        </w:rPr>
        <w:t>012)</w:t>
      </w:r>
      <w:r w:rsidR="00356F88">
        <w:rPr>
          <w:rFonts w:cstheme="minorHAnsi"/>
        </w:rPr>
        <w:t>.</w:t>
      </w:r>
      <w:r w:rsidR="00AA3CBA">
        <w:rPr>
          <w:rFonts w:cstheme="minorHAnsi"/>
        </w:rPr>
        <w:t xml:space="preserve"> This resource is intended to counteract this </w:t>
      </w:r>
      <w:r w:rsidR="00362869">
        <w:rPr>
          <w:rFonts w:cstheme="minorHAnsi"/>
        </w:rPr>
        <w:t xml:space="preserve">stereotypical view of the arts and highlight how </w:t>
      </w:r>
      <w:r w:rsidR="005E6148">
        <w:rPr>
          <w:rFonts w:cstheme="minorHAnsi"/>
        </w:rPr>
        <w:t>using an artefact can lead to an in-depth exploration into multiple areas of learning, including the arts.</w:t>
      </w:r>
    </w:p>
    <w:p w14:paraId="0F8DB615" w14:textId="10551FAC" w:rsidR="000C1E55" w:rsidRPr="005C51B7" w:rsidRDefault="00CB156E" w:rsidP="000C1E55">
      <w:pPr>
        <w:rPr>
          <w:rFonts w:cstheme="minorHAnsi"/>
        </w:rPr>
      </w:pPr>
      <w:r>
        <w:rPr>
          <w:rFonts w:cstheme="minorHAnsi"/>
        </w:rPr>
        <w:t>In 1995 a scheme by the National Gallery called Take One Picture was launched. The idea was to develop a system that would support practitioners in their teaching of the visual and expressive arts in a cross-curricular manner. The scheme encourages the exploration of the visual and expressive arts by demonstrating how a painting or alternative artefact can support cross-curricular learning (Janes, 2014, p.35) (National</w:t>
      </w:r>
      <w:r w:rsidR="00565485">
        <w:rPr>
          <w:rFonts w:cstheme="minorHAnsi"/>
        </w:rPr>
        <w:t xml:space="preserve"> Gallery</w:t>
      </w:r>
      <w:r>
        <w:rPr>
          <w:rFonts w:cstheme="minorHAnsi"/>
        </w:rPr>
        <w:t xml:space="preserve">, </w:t>
      </w:r>
      <w:r w:rsidR="00565485">
        <w:rPr>
          <w:rFonts w:cstheme="minorHAnsi"/>
        </w:rPr>
        <w:t>date unknown</w:t>
      </w:r>
      <w:r>
        <w:rPr>
          <w:rFonts w:cstheme="minorHAnsi"/>
        </w:rPr>
        <w:t xml:space="preserve">). This resource pack will follow a similar concept to the scheme, in that the learners’ topic work will be inspired by and focus upon an artefact which will be used across the curriculum. </w:t>
      </w:r>
    </w:p>
    <w:p w14:paraId="1CFB9A5A" w14:textId="21087D75" w:rsidR="006052FB" w:rsidRPr="004B1B8C" w:rsidRDefault="00A41934" w:rsidP="006052FB">
      <w:r>
        <w:t>A great focus upon the ‘core’ subjects</w:t>
      </w:r>
      <w:r w:rsidR="00237749">
        <w:t xml:space="preserve"> </w:t>
      </w:r>
      <w:r w:rsidR="000069E0">
        <w:t>within the curriculum</w:t>
      </w:r>
      <w:r w:rsidR="00237749">
        <w:t xml:space="preserve">, such as Mathematics and Language, </w:t>
      </w:r>
      <w:r w:rsidR="000069E0">
        <w:t xml:space="preserve">could give the impression that </w:t>
      </w:r>
      <w:r w:rsidR="00777A82">
        <w:t>the areas of learning with less focus are less valued. However, i</w:t>
      </w:r>
      <w:r w:rsidR="000C1E55">
        <w:t xml:space="preserve">n 1999 The National Advisory Committee on Creative and Cultural Education (NACCCE) published the report “All Our Futures: Creativity Culture and Education” (NACCCE, 1999) which highlighted the importance of integrating the creative and expressive arts into </w:t>
      </w:r>
      <w:r w:rsidR="00FA6B3E">
        <w:t>other areas of learning</w:t>
      </w:r>
      <w:r w:rsidR="000C1E55">
        <w:t>. The publication emphasised the need for a greater freedom and balance between the teaching of knowledge and skills and “</w:t>
      </w:r>
      <w:r w:rsidR="000C1E55" w:rsidRPr="005751B3">
        <w:rPr>
          <w:rFonts w:cstheme="minorHAnsi"/>
        </w:rPr>
        <w:t xml:space="preserve">having the freedom to innovate and </w:t>
      </w:r>
      <w:r w:rsidR="0017443F">
        <w:rPr>
          <w:rFonts w:cstheme="minorHAnsi"/>
        </w:rPr>
        <w:t>experiment</w:t>
      </w:r>
      <w:r w:rsidR="000C1E55">
        <w:rPr>
          <w:rFonts w:cstheme="minorHAnsi"/>
        </w:rPr>
        <w:t>” (</w:t>
      </w:r>
      <w:r w:rsidR="00E82910">
        <w:rPr>
          <w:rFonts w:cstheme="minorHAnsi"/>
        </w:rPr>
        <w:t>Creativity Culture Education</w:t>
      </w:r>
      <w:r w:rsidR="000C1E55">
        <w:rPr>
          <w:rFonts w:cstheme="minorHAnsi"/>
        </w:rPr>
        <w:t>, 1999) with the arts. Currently, the National Curriculum allows a certain degree of spontaneous creativity which is initiated by the child</w:t>
      </w:r>
      <w:r w:rsidR="00A57FE0">
        <w:rPr>
          <w:rFonts w:cstheme="minorHAnsi"/>
        </w:rPr>
        <w:t>.</w:t>
      </w:r>
      <w:r w:rsidR="000C1E55">
        <w:rPr>
          <w:rFonts w:cstheme="minorHAnsi"/>
        </w:rPr>
        <w:t xml:space="preserve"> </w:t>
      </w:r>
      <w:r w:rsidR="00D85BC1">
        <w:rPr>
          <w:rFonts w:cstheme="minorHAnsi"/>
        </w:rPr>
        <w:t>However,</w:t>
      </w:r>
      <w:r w:rsidR="000C1E55">
        <w:rPr>
          <w:rFonts w:cstheme="minorHAnsi"/>
        </w:rPr>
        <w:t xml:space="preserve"> it is restricted to</w:t>
      </w:r>
      <w:r w:rsidR="00D2026E">
        <w:rPr>
          <w:rFonts w:cstheme="minorHAnsi"/>
        </w:rPr>
        <w:t xml:space="preserve"> both the time available to be spent teaching a non-core subject, and </w:t>
      </w:r>
      <w:r w:rsidR="00D85BC1">
        <w:rPr>
          <w:rFonts w:cstheme="minorHAnsi"/>
        </w:rPr>
        <w:t>to</w:t>
      </w:r>
      <w:r w:rsidR="000C1E55">
        <w:rPr>
          <w:rFonts w:cstheme="minorHAnsi"/>
        </w:rPr>
        <w:t xml:space="preserve"> teacher confidence and knowledge</w:t>
      </w:r>
      <w:r w:rsidR="00D2026E">
        <w:rPr>
          <w:rFonts w:cstheme="minorHAnsi"/>
        </w:rPr>
        <w:t>.</w:t>
      </w:r>
      <w:r w:rsidR="005C1E7B">
        <w:rPr>
          <w:rFonts w:cstheme="minorHAnsi"/>
        </w:rPr>
        <w:t xml:space="preserve"> </w:t>
      </w:r>
      <w:r w:rsidR="006052FB">
        <w:t xml:space="preserve">To appropriately support the learners in their understanding, the practitioner will need to establish a sound knowledge of the appropriate areas of the curriculum for the following activities. As highlighted by TES (2014), sound teacher subject knowledge is pivotal to the learning process, as without it the learners will not have the highest quality learning experience </w:t>
      </w:r>
      <w:r w:rsidR="00CB14CD">
        <w:t>possible</w:t>
      </w:r>
      <w:r w:rsidR="006052FB">
        <w:t xml:space="preserve">. This view is also supported by Desailly (2015), adding that some practitioners do not believe they have </w:t>
      </w:r>
      <w:proofErr w:type="gramStart"/>
      <w:r w:rsidR="00614EA2">
        <w:t>sufficient</w:t>
      </w:r>
      <w:proofErr w:type="gramEnd"/>
      <w:r w:rsidR="00614EA2">
        <w:t xml:space="preserve"> knowledge of the</w:t>
      </w:r>
      <w:r w:rsidR="006052FB">
        <w:t xml:space="preserve"> arts</w:t>
      </w:r>
      <w:r w:rsidR="00614EA2">
        <w:t xml:space="preserve"> to teach </w:t>
      </w:r>
      <w:r w:rsidR="00881A61">
        <w:t xml:space="preserve">it as an area of learning due to their own lack of education within the arts. </w:t>
      </w:r>
      <w:r w:rsidR="002A747E">
        <w:t xml:space="preserve">This is another reason why the </w:t>
      </w:r>
      <w:r w:rsidR="008D74E1">
        <w:t xml:space="preserve">quality and frequency of teaching the arts is declining. </w:t>
      </w:r>
    </w:p>
    <w:p w14:paraId="2892003B" w14:textId="77777777" w:rsidR="00305CB5" w:rsidRDefault="00305CB5" w:rsidP="000C1E55">
      <w:pPr>
        <w:rPr>
          <w:rFonts w:cstheme="minorHAnsi"/>
        </w:rPr>
      </w:pPr>
    </w:p>
    <w:p w14:paraId="5ED2524E" w14:textId="019AFD42" w:rsidR="00CB76E6" w:rsidRDefault="00CB76E6" w:rsidP="00343678">
      <w:pPr>
        <w:jc w:val="center"/>
        <w:rPr>
          <w:rFonts w:ascii="Bradley Hand ITC" w:hAnsi="Bradley Hand ITC" w:cstheme="minorHAnsi"/>
          <w:b/>
          <w:sz w:val="40"/>
          <w:u w:val="single"/>
        </w:rPr>
      </w:pPr>
      <w:r w:rsidRPr="00343678">
        <w:rPr>
          <w:rFonts w:ascii="Bradley Hand ITC" w:hAnsi="Bradley Hand ITC" w:cstheme="minorHAnsi"/>
          <w:b/>
          <w:sz w:val="40"/>
          <w:u w:val="single"/>
        </w:rPr>
        <w:t>Activity</w:t>
      </w:r>
      <w:r w:rsidR="00F20E5A">
        <w:rPr>
          <w:rFonts w:ascii="Bradley Hand ITC" w:hAnsi="Bradley Hand ITC" w:cstheme="minorHAnsi"/>
          <w:b/>
          <w:sz w:val="40"/>
          <w:u w:val="single"/>
        </w:rPr>
        <w:t xml:space="preserve"> </w:t>
      </w:r>
      <w:r w:rsidR="00343678" w:rsidRPr="00343678">
        <w:rPr>
          <w:rFonts w:ascii="Bradley Hand ITC" w:hAnsi="Bradley Hand ITC" w:cstheme="minorHAnsi"/>
          <w:b/>
          <w:sz w:val="40"/>
          <w:u w:val="single"/>
        </w:rPr>
        <w:t>1</w:t>
      </w:r>
      <w:r w:rsidR="008D74E1">
        <w:rPr>
          <w:rFonts w:ascii="Bradley Hand ITC" w:hAnsi="Bradley Hand ITC" w:cstheme="minorHAnsi"/>
          <w:b/>
          <w:sz w:val="40"/>
          <w:u w:val="single"/>
        </w:rPr>
        <w:t>- Art</w:t>
      </w:r>
    </w:p>
    <w:p w14:paraId="67B2FFBA" w14:textId="2C536226" w:rsidR="00A9546B" w:rsidRDefault="00A9546B" w:rsidP="00A9546B">
      <w:r>
        <w:t xml:space="preserve">As highlighted by Robinson, the Art curriculum should “take account of the individuality of each </w:t>
      </w:r>
      <w:r w:rsidR="00CB14CD">
        <w:t>child</w:t>
      </w:r>
      <w:r>
        <w:t xml:space="preserve">” (2002, p.144) rather than presume that all learners have the same attainment level. At present, the </w:t>
      </w:r>
      <w:r w:rsidR="001A603B">
        <w:t>c</w:t>
      </w:r>
      <w:r>
        <w:t xml:space="preserve">urriculum for Wales requires that all learners of a given age reach a certain milestone by the end of the academic year. This does not consider the individual circumstances, abilities or interests of any child, contradicting the viewpoint of Robinson. Within the report ‘Successful Futures’ (Donaldson, 2015, p.56), Professor Graham Donaldson introduces the concept of a learning continuum. This supports Robinson’s concept of treating each learner as an individual and not expecting all learners to achieve the same targets. Learners will still be assessed at five key stages within their education, however rather than being points of judgement they will instead be points of reference (Donaldson, 2015). This is intended to aid the evaluation of the academic progress of any given child </w:t>
      </w:r>
      <w:proofErr w:type="gramStart"/>
      <w:r>
        <w:t>and also</w:t>
      </w:r>
      <w:proofErr w:type="gramEnd"/>
      <w:r>
        <w:t xml:space="preserve"> avoid comparing learners</w:t>
      </w:r>
      <w:r w:rsidR="003D3347">
        <w:t>’</w:t>
      </w:r>
      <w:r>
        <w:t xml:space="preserve"> attainment levels</w:t>
      </w:r>
      <w:r w:rsidR="008D3E3E">
        <w:t xml:space="preserve"> against one another.</w:t>
      </w:r>
    </w:p>
    <w:p w14:paraId="49B5581B" w14:textId="3175BB6F" w:rsidR="00A9546B" w:rsidRDefault="00A9546B" w:rsidP="00A9546B">
      <w:r>
        <w:t xml:space="preserve">The following series of activities are intended to support this concept of a learning continuum. The activities have been designed to allow for a wide range of creative attainment levels. Learners of most abilities will be able to participate and develop their skills and understanding in relation to the art curriculum. The main activity will mostly be learner-led, therefore individuals who have additional challenges to contend with, for example Autism Spectrum Disorders, Dyslexia or Cerebral Palsy, will also be able to access all elements of the lessons, which can be adapted to suit individuals where necessary. These adaptions could include 1:1 support, different or reduced resources or an alternative, quieter environment. Crucially, these adaptions can be made on a whole-class or an individual level, ensuring that all learners have equal opportunities to explore art. </w:t>
      </w:r>
    </w:p>
    <w:p w14:paraId="4D01E5F7" w14:textId="77777777" w:rsidR="00A9546B" w:rsidRDefault="00A9546B" w:rsidP="00A9546B">
      <w:r w:rsidRPr="00DC0033">
        <w:t>This project, as with the other activities suggested within this resource</w:t>
      </w:r>
      <w:r>
        <w:t xml:space="preserve"> pack</w:t>
      </w:r>
      <w:r w:rsidRPr="00DC0033">
        <w:t>, is intended to encourage cross-curricular learning. This allows the learners to explore the visual and expressive arts alongside other areas of the curriculum, such as History. Learners’ exploration in other areas of learning should contribute to this project. For example, learning what the working conditions were like for miners could assist the learners in knowing how to portray daily life within a painting of a miner with his family.</w:t>
      </w:r>
    </w:p>
    <w:p w14:paraId="1A510C13" w14:textId="058321FE" w:rsidR="00A9546B" w:rsidRPr="00DC0033" w:rsidRDefault="00A9546B" w:rsidP="00A9546B">
      <w:r>
        <w:t xml:space="preserve">In the subsequent activities the artefact will either be the </w:t>
      </w:r>
      <w:proofErr w:type="gramStart"/>
      <w:r>
        <w:t>main focus</w:t>
      </w:r>
      <w:proofErr w:type="gramEnd"/>
      <w:r>
        <w:t xml:space="preserve"> of the lesson or will be supporting or enhancing the lesson. The art project will span multiple lessons, aiming to develop team work, collaboration and, in line with the Art Curriculum, the ability to make practical decisions (DCELLS, 2008</w:t>
      </w:r>
      <w:r w:rsidR="004160A9">
        <w:t>a</w:t>
      </w:r>
      <w:r>
        <w:t xml:space="preserve">). </w:t>
      </w:r>
    </w:p>
    <w:p w14:paraId="3249065A" w14:textId="4CB66251" w:rsidR="00A9546B" w:rsidRPr="00BE25D2" w:rsidRDefault="00A9546B" w:rsidP="00A9546B">
      <w:r>
        <w:t xml:space="preserve">Prior to all the activities suggested within this resource pack the learners will have explored the challenges of working as a miner in Wales, supported by a visit to Big Pit. By having the personal, first-hand experience of being in a mine the learners’ understanding of our topic will be enhanced. Rather than simply researching or reading about life as a miner, they can instead refer to their own experience of being in a mine. Another previous lesson will have involved the learners visiting the Oriel Mimosa Gallery in Llandeilo to explore some of Valerie Ganz’s work. Both excursions are intended to support the delivery of Y </w:t>
      </w:r>
      <w:proofErr w:type="spellStart"/>
      <w:r>
        <w:t>Cwricwlwm</w:t>
      </w:r>
      <w:proofErr w:type="spellEnd"/>
      <w:r>
        <w:t xml:space="preserve"> </w:t>
      </w:r>
      <w:proofErr w:type="spellStart"/>
      <w:r>
        <w:t>Cymreig</w:t>
      </w:r>
      <w:proofErr w:type="spellEnd"/>
      <w:r w:rsidR="00651FB5">
        <w:t xml:space="preserve"> (YCC)</w:t>
      </w:r>
      <w:r>
        <w:t xml:space="preserve">, </w:t>
      </w:r>
      <w:r w:rsidR="00126564">
        <w:t xml:space="preserve">focusing upon </w:t>
      </w:r>
      <w:r>
        <w:t xml:space="preserve">the cultural aspect which encourages the exploration of the creative and expressive arts (ACCAC, 2003). </w:t>
      </w:r>
    </w:p>
    <w:p w14:paraId="3807124D" w14:textId="67BD9577" w:rsidR="00A9546B" w:rsidRDefault="00A9546B" w:rsidP="00A9546B">
      <w:pPr>
        <w:rPr>
          <w:rFonts w:cstheme="minorHAnsi"/>
        </w:rPr>
      </w:pPr>
      <w:r>
        <w:rPr>
          <w:rFonts w:cstheme="minorHAnsi"/>
        </w:rPr>
        <w:t xml:space="preserve">At the gallery the learners will have worked in groups of 5 to choose two pieces of artwork to focus upon for their art project. One piece of artwork will be by Valerie Ganz, the other will be their choice of artist. On return to school, the next task will be to design their own interpretation of their chosen pieces of artwork as a group, using up to four different materials and processes in their design (see </w:t>
      </w:r>
      <w:r w:rsidR="00713CDC">
        <w:rPr>
          <w:rFonts w:cstheme="minorHAnsi"/>
        </w:rPr>
        <w:t>appendix</w:t>
      </w:r>
      <w:r>
        <w:rPr>
          <w:rFonts w:cstheme="minorHAnsi"/>
        </w:rPr>
        <w:t xml:space="preserve"> </w:t>
      </w:r>
      <w:r w:rsidR="00BA12DF">
        <w:rPr>
          <w:rFonts w:cstheme="minorHAnsi"/>
        </w:rPr>
        <w:t>3</w:t>
      </w:r>
      <w:r>
        <w:rPr>
          <w:rFonts w:cstheme="minorHAnsi"/>
        </w:rPr>
        <w:t>). The learners will have the opportunity to explore elements of the Digital Competency Framework (DCF) and YCC whilst researching which media they would like to use</w:t>
      </w:r>
      <w:r w:rsidR="000F17E6" w:rsidRPr="000F17E6">
        <w:rPr>
          <w:rFonts w:cstheme="minorHAnsi"/>
        </w:rPr>
        <w:t xml:space="preserve"> </w:t>
      </w:r>
      <w:r w:rsidR="000F17E6">
        <w:rPr>
          <w:rFonts w:cstheme="minorHAnsi"/>
        </w:rPr>
        <w:t>(Welsh Government, 2016</w:t>
      </w:r>
      <w:r w:rsidR="005D7B38">
        <w:rPr>
          <w:rFonts w:cstheme="minorHAnsi"/>
        </w:rPr>
        <w:t>a</w:t>
      </w:r>
      <w:r w:rsidR="000F17E6">
        <w:rPr>
          <w:rFonts w:cstheme="minorHAnsi"/>
        </w:rPr>
        <w:t>)</w:t>
      </w:r>
      <w:r>
        <w:rPr>
          <w:rFonts w:cstheme="minorHAnsi"/>
        </w:rPr>
        <w:t xml:space="preserve"> and other artists who have used the </w:t>
      </w:r>
      <w:r w:rsidR="00934B57">
        <w:rPr>
          <w:rFonts w:cstheme="minorHAnsi"/>
        </w:rPr>
        <w:t>media</w:t>
      </w:r>
      <w:r>
        <w:rPr>
          <w:rFonts w:cstheme="minorHAnsi"/>
        </w:rPr>
        <w:t xml:space="preserve"> (</w:t>
      </w:r>
      <w:r w:rsidR="000F17E6">
        <w:rPr>
          <w:rFonts w:cstheme="minorHAnsi"/>
        </w:rPr>
        <w:t xml:space="preserve">ACCAC, 2003). </w:t>
      </w:r>
      <w:r>
        <w:rPr>
          <w:rFonts w:cstheme="minorHAnsi"/>
        </w:rPr>
        <w:t xml:space="preserve">The element of the DCF that the learners will focus upon is how to use reliable resources in their research (see </w:t>
      </w:r>
      <w:r w:rsidR="00A6713F">
        <w:rPr>
          <w:rFonts w:cstheme="minorHAnsi"/>
        </w:rPr>
        <w:t>appendix</w:t>
      </w:r>
      <w:r>
        <w:rPr>
          <w:rFonts w:cstheme="minorHAnsi"/>
        </w:rPr>
        <w:t xml:space="preserve"> </w:t>
      </w:r>
      <w:r w:rsidR="00783BE8">
        <w:rPr>
          <w:rFonts w:cstheme="minorHAnsi"/>
        </w:rPr>
        <w:t>4</w:t>
      </w:r>
      <w:r>
        <w:rPr>
          <w:rFonts w:cstheme="minorHAnsi"/>
        </w:rPr>
        <w:t>). The learners will do this for both pieces of artwork they found at the museum, comparing their final designs using a Venn Diagram within a maths lesson (see appendix</w:t>
      </w:r>
      <w:r w:rsidR="002F447A">
        <w:rPr>
          <w:rFonts w:cstheme="minorHAnsi"/>
        </w:rPr>
        <w:t xml:space="preserve"> 3</w:t>
      </w:r>
      <w:r>
        <w:rPr>
          <w:rFonts w:cstheme="minorHAnsi"/>
        </w:rPr>
        <w:t xml:space="preserve"> </w:t>
      </w:r>
      <w:r w:rsidR="00A6713F">
        <w:rPr>
          <w:rFonts w:cstheme="minorHAnsi"/>
        </w:rPr>
        <w:t>for</w:t>
      </w:r>
      <w:r>
        <w:rPr>
          <w:rFonts w:cstheme="minorHAnsi"/>
        </w:rPr>
        <w:t xml:space="preserve"> an </w:t>
      </w:r>
      <w:r w:rsidR="00662165">
        <w:rPr>
          <w:rFonts w:cstheme="minorHAnsi"/>
        </w:rPr>
        <w:t>example</w:t>
      </w:r>
      <w:r>
        <w:rPr>
          <w:rFonts w:cstheme="minorHAnsi"/>
        </w:rPr>
        <w:t>) (</w:t>
      </w:r>
      <w:r w:rsidR="00662165">
        <w:rPr>
          <w:rFonts w:cstheme="minorHAnsi"/>
        </w:rPr>
        <w:t>Welsh Government, 2016d</w:t>
      </w:r>
      <w:r>
        <w:rPr>
          <w:rFonts w:cstheme="minorHAnsi"/>
        </w:rPr>
        <w:t>) and deciding which design to use. Finally, the learners should be asked to explain their decision and present their explanation to the class, which supports the Literacy and Numeracy Framework (</w:t>
      </w:r>
      <w:r w:rsidR="00491C52">
        <w:rPr>
          <w:rFonts w:cstheme="minorHAnsi"/>
        </w:rPr>
        <w:t>LNF</w:t>
      </w:r>
      <w:r>
        <w:rPr>
          <w:rFonts w:cstheme="minorHAnsi"/>
        </w:rPr>
        <w:t>) (</w:t>
      </w:r>
      <w:r w:rsidR="00A01C8C">
        <w:rPr>
          <w:rFonts w:cstheme="minorHAnsi"/>
        </w:rPr>
        <w:t>Welsh Government, 2016</w:t>
      </w:r>
      <w:proofErr w:type="gramStart"/>
      <w:r w:rsidR="002C4188">
        <w:rPr>
          <w:rFonts w:cstheme="minorHAnsi"/>
        </w:rPr>
        <w:t>c</w:t>
      </w:r>
      <w:r>
        <w:rPr>
          <w:rFonts w:cstheme="minorHAnsi"/>
        </w:rPr>
        <w:t>)(</w:t>
      </w:r>
      <w:proofErr w:type="gramEnd"/>
      <w:r>
        <w:rPr>
          <w:rFonts w:cstheme="minorHAnsi"/>
        </w:rPr>
        <w:t xml:space="preserve">see </w:t>
      </w:r>
      <w:r w:rsidR="008D648D">
        <w:rPr>
          <w:rFonts w:cstheme="minorHAnsi"/>
        </w:rPr>
        <w:t>appendix</w:t>
      </w:r>
      <w:r>
        <w:rPr>
          <w:rFonts w:cstheme="minorHAnsi"/>
        </w:rPr>
        <w:t xml:space="preserve"> </w:t>
      </w:r>
      <w:r w:rsidR="008D648D">
        <w:rPr>
          <w:rFonts w:cstheme="minorHAnsi"/>
        </w:rPr>
        <w:t>5</w:t>
      </w:r>
      <w:r>
        <w:rPr>
          <w:rFonts w:cstheme="minorHAnsi"/>
        </w:rPr>
        <w:t>).</w:t>
      </w:r>
    </w:p>
    <w:p w14:paraId="0255DE9B" w14:textId="6EB6AC3D" w:rsidR="00A9546B" w:rsidRDefault="00A9546B" w:rsidP="00A9546B">
      <w:r>
        <w:t xml:space="preserve">During the focus lesson, the learners </w:t>
      </w:r>
      <w:r w:rsidR="0019493F">
        <w:t>should</w:t>
      </w:r>
      <w:r>
        <w:t xml:space="preserve"> begin to make their interpretation of their chosen piece of artwork from the previous sessions. At the start of the lesson, the practitioner will share the lesson objectives and the learners should be encouraged to suggest success criteria, remembering that each group will be using different materials and have different </w:t>
      </w:r>
      <w:r w:rsidR="00491C52">
        <w:t>abilities</w:t>
      </w:r>
      <w:r>
        <w:t xml:space="preserve">. By the learners generating the success criteria themselves, they have greater impact as it allows for personalised learning (Dunn, 2012). Personally, whilst on teaching practise I observed that learners were consistently more engaged and eager to achieve success criteria when they developed the criteria themselves. This assessment for learning technique also allows the practitioner to establish any gaps in prior knowledge </w:t>
      </w:r>
      <w:proofErr w:type="gramStart"/>
      <w:r>
        <w:t>and also</w:t>
      </w:r>
      <w:proofErr w:type="gramEnd"/>
      <w:r>
        <w:t xml:space="preserve"> how confident learners are with a topic. </w:t>
      </w:r>
    </w:p>
    <w:p w14:paraId="3349907D" w14:textId="67CF9943" w:rsidR="00A9546B" w:rsidRDefault="00A9546B" w:rsidP="00A9546B">
      <w:r>
        <w:t xml:space="preserve">This focus activity should take place in a dedicated art room where possible rather than the classroom. This is to support the idea that “fostering creativity requires commitment to space” (Craft, 2000, p.116). This means that the environment will aim to support and foster the learners’ creativity rather than distract from it. Simultaneously, the learners will have access to any resources that they believe will support their creation, including their personal sketchbooks, any research they have already recorded, books and access to the internet. </w:t>
      </w:r>
    </w:p>
    <w:p w14:paraId="2891DE81" w14:textId="77777777" w:rsidR="00A9546B" w:rsidRDefault="00A9546B" w:rsidP="00A9546B">
      <w:r>
        <w:t xml:space="preserve">This activity mostly follows a cognitivist approach to learning, where learners “require active participation in order to learn” (David, 2015). The learners are exposed to the creative aspect of art through first-hand exploration rather than the concepts of creativity in art being verbally explained and having no hands-on experience. </w:t>
      </w:r>
    </w:p>
    <w:p w14:paraId="7F11D5E6" w14:textId="36921BE7" w:rsidR="00A9546B" w:rsidRDefault="00A9546B" w:rsidP="00A9546B">
      <w:r>
        <w:t xml:space="preserve">Following the focus lesson, the learners should complete their artwork before it is displayed in a temporary school gallery. This is a way of celebrating the learners’ work, allowing them to share their achievements with peers, staff and family members. </w:t>
      </w:r>
    </w:p>
    <w:p w14:paraId="1E453B12" w14:textId="126BE8BF" w:rsidR="00C42BEC" w:rsidRDefault="00C42BEC" w:rsidP="00A9546B">
      <w:r>
        <w:t>This ac</w:t>
      </w:r>
      <w:r w:rsidR="005E4D4B">
        <w:t xml:space="preserve">tivity will </w:t>
      </w:r>
      <w:r w:rsidR="00BD71AB">
        <w:t>target the art</w:t>
      </w:r>
      <w:r w:rsidR="0071166A">
        <w:t xml:space="preserve"> curriculum </w:t>
      </w:r>
      <w:r w:rsidR="009124F5">
        <w:t>but will also allow for development of areas of the Personal and Social Education (PSE) curriculum</w:t>
      </w:r>
      <w:r w:rsidR="003517DD">
        <w:t xml:space="preserve">, </w:t>
      </w:r>
      <w:r w:rsidR="00E24830">
        <w:t>focussing</w:t>
      </w:r>
      <w:r w:rsidR="00385A0F">
        <w:t xml:space="preserve"> upon </w:t>
      </w:r>
      <w:r w:rsidR="00FA0ACC">
        <w:t>emotional wellbeing</w:t>
      </w:r>
      <w:r w:rsidR="00DF04B5">
        <w:t xml:space="preserve"> (DCELLS, 2008</w:t>
      </w:r>
      <w:r w:rsidR="00E24830">
        <w:t>d</w:t>
      </w:r>
      <w:r w:rsidR="00DF04B5">
        <w:t>)</w:t>
      </w:r>
      <w:r w:rsidR="00FA0ACC">
        <w:t>. The learners will develop their understanding and appreciation of how miners might have felt whilst working in the mines</w:t>
      </w:r>
      <w:r w:rsidR="008C51BF">
        <w:t>, which will be translated into their artwork. This links to PSE, Art and History curriculums, whilst also supporting the LNF</w:t>
      </w:r>
      <w:r w:rsidR="00651FB5">
        <w:t xml:space="preserve"> and YCC. </w:t>
      </w:r>
      <w:r w:rsidR="001E73B5">
        <w:t xml:space="preserve">This activity supports many aspects of the curriculum, highlighting how effective combining the arts with other areas of learning can be. </w:t>
      </w:r>
    </w:p>
    <w:p w14:paraId="369A0132" w14:textId="38BE56A5" w:rsidR="001A5A45" w:rsidRDefault="00CA3F5B" w:rsidP="001A5A45">
      <w:pPr>
        <w:jc w:val="center"/>
        <w:rPr>
          <w:rFonts w:ascii="Bradley Hand ITC" w:hAnsi="Bradley Hand ITC"/>
          <w:b/>
          <w:sz w:val="40"/>
          <w:u w:val="single"/>
        </w:rPr>
      </w:pPr>
      <w:r>
        <w:rPr>
          <w:rFonts w:ascii="Bradley Hand ITC" w:hAnsi="Bradley Hand ITC"/>
          <w:b/>
          <w:sz w:val="40"/>
          <w:u w:val="single"/>
        </w:rPr>
        <w:t>Activity</w:t>
      </w:r>
      <w:r w:rsidR="001A5A45" w:rsidRPr="001A5A45">
        <w:rPr>
          <w:rFonts w:ascii="Bradley Hand ITC" w:hAnsi="Bradley Hand ITC"/>
          <w:b/>
          <w:sz w:val="40"/>
          <w:u w:val="single"/>
        </w:rPr>
        <w:t xml:space="preserve"> 2</w:t>
      </w:r>
      <w:r w:rsidR="00924D1D">
        <w:rPr>
          <w:rFonts w:ascii="Bradley Hand ITC" w:hAnsi="Bradley Hand ITC"/>
          <w:b/>
          <w:sz w:val="40"/>
          <w:u w:val="single"/>
        </w:rPr>
        <w:t>- Drama</w:t>
      </w:r>
    </w:p>
    <w:p w14:paraId="24E6F6B0" w14:textId="581B2DE5" w:rsidR="000941AE" w:rsidRDefault="000941AE" w:rsidP="000941AE">
      <w:pPr>
        <w:jc w:val="both"/>
      </w:pPr>
      <w:r>
        <w:t xml:space="preserve">The second activity </w:t>
      </w:r>
      <w:r w:rsidR="00DC77FE">
        <w:t>is</w:t>
      </w:r>
      <w:r>
        <w:t xml:space="preserve"> be based upon the exploration of mime, taken from the national English curriculum for </w:t>
      </w:r>
      <w:r w:rsidR="0081730E">
        <w:t>Wales</w:t>
      </w:r>
      <w:r>
        <w:t xml:space="preserve"> (</w:t>
      </w:r>
      <w:r w:rsidR="00CA3F5B">
        <w:t>Welsh Government, 2016</w:t>
      </w:r>
      <w:r w:rsidR="00E24830">
        <w:t>b</w:t>
      </w:r>
      <w:r>
        <w:t xml:space="preserve">). Woolland acknowledges that there is debate upon the significance of drama being within the national curriculum. He highlights the key skills that are developed, which include self-expression and co-operation (Woolland, 1993, p.8), however also immediately highlights that the reason for uncertainty of the importance of drama being included within the curriculum rises from the fact that many areas of learning also target these skills. This leads to a more in-depth analysis of the benefits of the teaching and learning of drama. These </w:t>
      </w:r>
      <w:r w:rsidR="00293D75">
        <w:t>include but</w:t>
      </w:r>
      <w:r>
        <w:t xml:space="preserve"> are not limited to: the development of role, narrative, both verbal and non-verbal language and use of space (Woolland, 1993, p.8). These are all key skills that learners need to develop, however there is no other area of learning which naturally lends itself to the development of all these skills, perhaps giving reason for the inclusion of drama, and the arts in general, in the national curriculum. </w:t>
      </w:r>
    </w:p>
    <w:p w14:paraId="1B6EB026" w14:textId="4BDC026B" w:rsidR="000941AE" w:rsidRDefault="000941AE" w:rsidP="000941AE">
      <w:pPr>
        <w:rPr>
          <w:rFonts w:cstheme="minorHAnsi"/>
        </w:rPr>
      </w:pPr>
      <w:r>
        <w:rPr>
          <w:rFonts w:cstheme="minorHAnsi"/>
        </w:rPr>
        <w:t xml:space="preserve">Prior to the focus activity, the learners </w:t>
      </w:r>
      <w:r w:rsidR="00DC77FE">
        <w:rPr>
          <w:rFonts w:cstheme="minorHAnsi"/>
        </w:rPr>
        <w:t>should</w:t>
      </w:r>
      <w:r>
        <w:rPr>
          <w:rFonts w:cstheme="minorHAnsi"/>
        </w:rPr>
        <w:t xml:space="preserve"> have explored the use of music and silence to support mime. In line with the English curriculum the learners will have explored how to present ideas using </w:t>
      </w:r>
      <w:r w:rsidR="00293D75">
        <w:rPr>
          <w:rFonts w:cstheme="minorHAnsi"/>
        </w:rPr>
        <w:t>drama</w:t>
      </w:r>
      <w:r>
        <w:rPr>
          <w:rFonts w:cstheme="minorHAnsi"/>
        </w:rPr>
        <w:t xml:space="preserve"> (</w:t>
      </w:r>
      <w:r w:rsidR="00B42B6C">
        <w:rPr>
          <w:rFonts w:cstheme="minorHAnsi"/>
        </w:rPr>
        <w:t>Welsh Government, 2016</w:t>
      </w:r>
      <w:r w:rsidR="008F15A5">
        <w:rPr>
          <w:rFonts w:cstheme="minorHAnsi"/>
        </w:rPr>
        <w:t>b</w:t>
      </w:r>
      <w:r>
        <w:rPr>
          <w:rFonts w:cstheme="minorHAnsi"/>
        </w:rPr>
        <w:t xml:space="preserve">). The learners </w:t>
      </w:r>
      <w:r w:rsidR="00A60024">
        <w:rPr>
          <w:rFonts w:cstheme="minorHAnsi"/>
        </w:rPr>
        <w:t>should</w:t>
      </w:r>
      <w:r>
        <w:rPr>
          <w:rFonts w:cstheme="minorHAnsi"/>
        </w:rPr>
        <w:t xml:space="preserve"> have watched a video (see </w:t>
      </w:r>
      <w:r w:rsidR="00EB5ADB">
        <w:rPr>
          <w:rFonts w:cstheme="minorHAnsi"/>
        </w:rPr>
        <w:t>appendix</w:t>
      </w:r>
      <w:r>
        <w:rPr>
          <w:rFonts w:cstheme="minorHAnsi"/>
        </w:rPr>
        <w:t xml:space="preserve"> </w:t>
      </w:r>
      <w:r w:rsidR="00CE5176">
        <w:rPr>
          <w:rFonts w:cstheme="minorHAnsi"/>
        </w:rPr>
        <w:t>6A</w:t>
      </w:r>
      <w:r>
        <w:rPr>
          <w:rFonts w:cstheme="minorHAnsi"/>
        </w:rPr>
        <w:t xml:space="preserve">) of a mime artist and a young boy performing a sketch to an audience. The learners should make notes on </w:t>
      </w:r>
      <w:r w:rsidR="00EA0CCB">
        <w:rPr>
          <w:rFonts w:cstheme="minorHAnsi"/>
        </w:rPr>
        <w:t>the</w:t>
      </w:r>
      <w:r>
        <w:rPr>
          <w:rFonts w:cstheme="minorHAnsi"/>
        </w:rPr>
        <w:t xml:space="preserve"> techniques that </w:t>
      </w:r>
      <w:r w:rsidR="00EA0CCB">
        <w:rPr>
          <w:rFonts w:cstheme="minorHAnsi"/>
        </w:rPr>
        <w:t xml:space="preserve">the </w:t>
      </w:r>
      <w:r>
        <w:rPr>
          <w:rFonts w:cstheme="minorHAnsi"/>
        </w:rPr>
        <w:t>mime artist uses to create an effective performance. The learners should then be engaged in a class discussion about these techniques. Once the learners have explored the traits of drama, particularly focusing upon mime, the learners will have the opportunity to develop their own performance using mime in pairs</w:t>
      </w:r>
      <w:r w:rsidR="00EB5ADB">
        <w:rPr>
          <w:rFonts w:cstheme="minorHAnsi"/>
        </w:rPr>
        <w:t>.</w:t>
      </w:r>
      <w:r>
        <w:rPr>
          <w:rFonts w:cstheme="minorHAnsi"/>
        </w:rPr>
        <w:t xml:space="preserve"> In a following lesson, the learners </w:t>
      </w:r>
      <w:r w:rsidR="00CE5176">
        <w:rPr>
          <w:rFonts w:cstheme="minorHAnsi"/>
        </w:rPr>
        <w:t>should have</w:t>
      </w:r>
      <w:r>
        <w:rPr>
          <w:rFonts w:cstheme="minorHAnsi"/>
        </w:rPr>
        <w:t xml:space="preserve"> undertake</w:t>
      </w:r>
      <w:r w:rsidR="00CE5176">
        <w:rPr>
          <w:rFonts w:cstheme="minorHAnsi"/>
        </w:rPr>
        <w:t>n</w:t>
      </w:r>
      <w:r>
        <w:rPr>
          <w:rFonts w:cstheme="minorHAnsi"/>
        </w:rPr>
        <w:t xml:space="preserve"> a similar task, however this time watching a video of a group performing a mime sketch</w:t>
      </w:r>
      <w:r w:rsidR="005C7E3E">
        <w:rPr>
          <w:rFonts w:cstheme="minorHAnsi"/>
        </w:rPr>
        <w:t xml:space="preserve"> with </w:t>
      </w:r>
      <w:r w:rsidR="00534A12">
        <w:rPr>
          <w:rFonts w:cstheme="minorHAnsi"/>
        </w:rPr>
        <w:t xml:space="preserve">supporting </w:t>
      </w:r>
      <w:r w:rsidR="005C7E3E">
        <w:rPr>
          <w:rFonts w:cstheme="minorHAnsi"/>
        </w:rPr>
        <w:t>music</w:t>
      </w:r>
      <w:r>
        <w:rPr>
          <w:rFonts w:cstheme="minorHAnsi"/>
        </w:rPr>
        <w:t xml:space="preserve"> (see </w:t>
      </w:r>
      <w:r w:rsidR="00440BC2">
        <w:rPr>
          <w:rFonts w:cstheme="minorHAnsi"/>
        </w:rPr>
        <w:t>appendix</w:t>
      </w:r>
      <w:r>
        <w:rPr>
          <w:rFonts w:cstheme="minorHAnsi"/>
        </w:rPr>
        <w:t xml:space="preserve"> </w:t>
      </w:r>
      <w:r w:rsidR="00827A0A">
        <w:rPr>
          <w:rFonts w:cstheme="minorHAnsi"/>
        </w:rPr>
        <w:t>6B</w:t>
      </w:r>
      <w:r>
        <w:rPr>
          <w:rFonts w:cstheme="minorHAnsi"/>
        </w:rPr>
        <w:t>). The learners should be asked to consider how the music changes the performance and whether it demonstrates greater skill of the mime artists involved. As in the previous lesson, the learners will then progress to develop their own performance using mime, this time working in small groups</w:t>
      </w:r>
      <w:r w:rsidR="00827A0A">
        <w:rPr>
          <w:rFonts w:cstheme="minorHAnsi"/>
        </w:rPr>
        <w:t>.</w:t>
      </w:r>
      <w:r>
        <w:rPr>
          <w:rFonts w:cstheme="minorHAnsi"/>
        </w:rPr>
        <w:t xml:space="preserve"> </w:t>
      </w:r>
      <w:proofErr w:type="gramStart"/>
      <w:r>
        <w:rPr>
          <w:rFonts w:cstheme="minorHAnsi"/>
        </w:rPr>
        <w:t>Both of these</w:t>
      </w:r>
      <w:proofErr w:type="gramEnd"/>
      <w:r>
        <w:rPr>
          <w:rFonts w:cstheme="minorHAnsi"/>
        </w:rPr>
        <w:t xml:space="preserve"> activities are intended to gradually introduce mime as a dramatic approach, and also develop an awareness of how music can impact different situations. </w:t>
      </w:r>
    </w:p>
    <w:p w14:paraId="00686159" w14:textId="798D3996" w:rsidR="000941AE" w:rsidRDefault="000941AE" w:rsidP="000941AE">
      <w:pPr>
        <w:rPr>
          <w:rFonts w:ascii="Bradley Hand ITC" w:hAnsi="Bradley Hand ITC"/>
          <w:b/>
          <w:sz w:val="40"/>
          <w:u w:val="single"/>
        </w:rPr>
      </w:pPr>
      <w:r>
        <w:rPr>
          <w:rFonts w:cstheme="minorHAnsi"/>
        </w:rPr>
        <w:t xml:space="preserve">This will focus upon a few areas of the curriculum, including thinking skills, Y </w:t>
      </w:r>
      <w:proofErr w:type="spellStart"/>
      <w:r>
        <w:rPr>
          <w:rFonts w:cstheme="minorHAnsi"/>
        </w:rPr>
        <w:t>Cwricwlwm</w:t>
      </w:r>
      <w:proofErr w:type="spellEnd"/>
      <w:r>
        <w:rPr>
          <w:rFonts w:cstheme="minorHAnsi"/>
        </w:rPr>
        <w:t xml:space="preserve"> </w:t>
      </w:r>
      <w:proofErr w:type="spellStart"/>
      <w:r>
        <w:rPr>
          <w:rFonts w:cstheme="minorHAnsi"/>
        </w:rPr>
        <w:t>Cymreig</w:t>
      </w:r>
      <w:proofErr w:type="spellEnd"/>
      <w:r w:rsidR="00C26BE4">
        <w:rPr>
          <w:rFonts w:cstheme="minorHAnsi"/>
        </w:rPr>
        <w:t>, and Music</w:t>
      </w:r>
      <w:r>
        <w:rPr>
          <w:rFonts w:cstheme="minorHAnsi"/>
        </w:rPr>
        <w:t xml:space="preserve"> and English. Previous activities will primarily focus upon learning to speak confidently in front of their peers</w:t>
      </w:r>
      <w:r w:rsidR="00925747">
        <w:rPr>
          <w:rFonts w:cstheme="minorHAnsi"/>
        </w:rPr>
        <w:t xml:space="preserve">, supporting the </w:t>
      </w:r>
      <w:r w:rsidR="00440BC2">
        <w:rPr>
          <w:rFonts w:cstheme="minorHAnsi"/>
        </w:rPr>
        <w:t>LNF</w:t>
      </w:r>
      <w:r w:rsidR="00925747">
        <w:rPr>
          <w:rFonts w:cstheme="minorHAnsi"/>
        </w:rPr>
        <w:t xml:space="preserve"> (</w:t>
      </w:r>
      <w:r w:rsidR="005100B4">
        <w:rPr>
          <w:rFonts w:cstheme="minorHAnsi"/>
        </w:rPr>
        <w:t>Welsh Government, 2016</w:t>
      </w:r>
      <w:r w:rsidR="008F15A5">
        <w:rPr>
          <w:rFonts w:cstheme="minorHAnsi"/>
        </w:rPr>
        <w:t>c</w:t>
      </w:r>
      <w:r w:rsidR="00925747">
        <w:rPr>
          <w:rFonts w:cstheme="minorHAnsi"/>
        </w:rPr>
        <w:t>)</w:t>
      </w:r>
      <w:r>
        <w:rPr>
          <w:rFonts w:cstheme="minorHAnsi"/>
        </w:rPr>
        <w:t xml:space="preserve">. </w:t>
      </w:r>
    </w:p>
    <w:p w14:paraId="11B642CE" w14:textId="3BAB755D" w:rsidR="000941AE" w:rsidRDefault="000941AE" w:rsidP="000941AE">
      <w:pPr>
        <w:rPr>
          <w:rFonts w:cstheme="minorHAnsi"/>
        </w:rPr>
      </w:pPr>
      <w:r>
        <w:rPr>
          <w:rFonts w:cstheme="minorHAnsi"/>
        </w:rPr>
        <w:t xml:space="preserve">The focus activity that the learners will partake in will largely focus upon enhancing and developing prior knowledge of drama, mime and performance. For this task, once again, the learners will be working in groups to support one another, supported by Vygotsky’s theory of social development (McLeod, 2018 and David, </w:t>
      </w:r>
      <w:r w:rsidR="00B87B88">
        <w:rPr>
          <w:rFonts w:cstheme="minorHAnsi"/>
        </w:rPr>
        <w:t>23</w:t>
      </w:r>
      <w:r w:rsidR="00B87B88" w:rsidRPr="00B87B88">
        <w:rPr>
          <w:rFonts w:cstheme="minorHAnsi"/>
          <w:vertAlign w:val="superscript"/>
        </w:rPr>
        <w:t>rd</w:t>
      </w:r>
      <w:r w:rsidR="00B87B88">
        <w:rPr>
          <w:rFonts w:cstheme="minorHAnsi"/>
        </w:rPr>
        <w:t xml:space="preserve"> July </w:t>
      </w:r>
      <w:r>
        <w:rPr>
          <w:rFonts w:cstheme="minorHAnsi"/>
        </w:rPr>
        <w:t xml:space="preserve">2014). Vygotsky suggested that learners’ social interactions prompt cognitive development (McLeod, 2018 and David, </w:t>
      </w:r>
      <w:r w:rsidR="00F34256">
        <w:rPr>
          <w:rFonts w:cstheme="minorHAnsi"/>
        </w:rPr>
        <w:t>23</w:t>
      </w:r>
      <w:r w:rsidR="00F34256" w:rsidRPr="00F34256">
        <w:rPr>
          <w:rFonts w:cstheme="minorHAnsi"/>
          <w:vertAlign w:val="superscript"/>
        </w:rPr>
        <w:t>rd</w:t>
      </w:r>
      <w:r w:rsidR="00F34256">
        <w:rPr>
          <w:rFonts w:cstheme="minorHAnsi"/>
        </w:rPr>
        <w:t xml:space="preserve"> July </w:t>
      </w:r>
      <w:r>
        <w:rPr>
          <w:rFonts w:cstheme="minorHAnsi"/>
        </w:rPr>
        <w:t xml:space="preserve">2014), contrasting to the view of Piaget, who believed cognitive development causes social interaction (McLeod, 2018). Within this activity, learners will be exploring the use of mime, supporting one another in their discoveries, </w:t>
      </w:r>
      <w:r w:rsidR="001F4BCE">
        <w:rPr>
          <w:rFonts w:cstheme="minorHAnsi"/>
        </w:rPr>
        <w:t>in line with</w:t>
      </w:r>
      <w:r>
        <w:rPr>
          <w:rFonts w:cstheme="minorHAnsi"/>
        </w:rPr>
        <w:t xml:space="preserve"> Vygotsky’s theory. However, this lesson would also support Bruner’s view that the teacher should encourage learners to explore concepts and relationships between information themselves (McLeod, 2008).</w:t>
      </w:r>
    </w:p>
    <w:p w14:paraId="2A21400F" w14:textId="7573E150" w:rsidR="000941AE" w:rsidRDefault="000941AE" w:rsidP="000941AE">
      <w:pPr>
        <w:rPr>
          <w:rFonts w:cstheme="minorHAnsi"/>
        </w:rPr>
      </w:pPr>
      <w:r>
        <w:rPr>
          <w:rFonts w:cstheme="minorHAnsi"/>
        </w:rPr>
        <w:t xml:space="preserve">In line with the views of Desailly (2015, p.47), at the beginning of the focus </w:t>
      </w:r>
      <w:proofErr w:type="spellStart"/>
      <w:r>
        <w:rPr>
          <w:rFonts w:cstheme="minorHAnsi"/>
        </w:rPr>
        <w:t>lesson</w:t>
      </w:r>
      <w:proofErr w:type="spellEnd"/>
      <w:r>
        <w:rPr>
          <w:rFonts w:cstheme="minorHAnsi"/>
        </w:rPr>
        <w:t xml:space="preserve"> the practitioner should discuss with the learners that at times they will find the work frustrating due to its creative nature. A discussion should be held regarding ways that the learners can overcome any feelings of frustration due to the activity, including ways to support peers. This also links in with the P</w:t>
      </w:r>
      <w:r w:rsidR="00DA1DA8">
        <w:rPr>
          <w:rFonts w:cstheme="minorHAnsi"/>
        </w:rPr>
        <w:t>SE</w:t>
      </w:r>
      <w:r>
        <w:rPr>
          <w:rFonts w:cstheme="minorHAnsi"/>
        </w:rPr>
        <w:t xml:space="preserve"> Framework</w:t>
      </w:r>
      <w:r w:rsidR="00A435E9">
        <w:rPr>
          <w:rFonts w:cstheme="minorHAnsi"/>
        </w:rPr>
        <w:t>, targeting</w:t>
      </w:r>
      <w:r>
        <w:rPr>
          <w:rFonts w:cstheme="minorHAnsi"/>
        </w:rPr>
        <w:t xml:space="preserve"> emotional wellbeing (DCELLS, 2008</w:t>
      </w:r>
      <w:r w:rsidR="00286A58">
        <w:rPr>
          <w:rFonts w:cstheme="minorHAnsi"/>
        </w:rPr>
        <w:t>d</w:t>
      </w:r>
      <w:r>
        <w:rPr>
          <w:rFonts w:cstheme="minorHAnsi"/>
        </w:rPr>
        <w:t xml:space="preserve">). </w:t>
      </w:r>
      <w:r w:rsidR="00917793">
        <w:rPr>
          <w:rFonts w:cstheme="minorHAnsi"/>
        </w:rPr>
        <w:t>Linking strongly with the curriculum, t</w:t>
      </w:r>
      <w:r>
        <w:rPr>
          <w:rFonts w:cstheme="minorHAnsi"/>
        </w:rPr>
        <w:t>his discussion would allow the learners to become more aware of how situations affect us emotionally (DCELLS, 2008</w:t>
      </w:r>
      <w:r w:rsidR="00286A58">
        <w:rPr>
          <w:rFonts w:cstheme="minorHAnsi"/>
        </w:rPr>
        <w:t>d</w:t>
      </w:r>
      <w:r>
        <w:rPr>
          <w:rFonts w:cstheme="minorHAnsi"/>
        </w:rPr>
        <w:t>, p.20), and how significant support can be when experiencing these emotions. This also provides the practitioner with the opportunity to emphasise to the learners that anyone can feel frustrated due to the work that they are doing, regardless of topic, ability or the age of the person</w:t>
      </w:r>
      <w:r w:rsidR="0019398F">
        <w:rPr>
          <w:rFonts w:cstheme="minorHAnsi"/>
        </w:rPr>
        <w:t xml:space="preserve"> (Desailly, 2015)</w:t>
      </w:r>
      <w:r>
        <w:rPr>
          <w:rFonts w:cstheme="minorHAnsi"/>
        </w:rPr>
        <w:t xml:space="preserve">. </w:t>
      </w:r>
    </w:p>
    <w:p w14:paraId="6E4DABC7" w14:textId="4D5646DF" w:rsidR="000941AE" w:rsidRDefault="000941AE" w:rsidP="000941AE">
      <w:r>
        <w:rPr>
          <w:rFonts w:cstheme="minorHAnsi"/>
        </w:rPr>
        <w:t xml:space="preserve"> </w:t>
      </w:r>
      <w:r w:rsidR="00293D75">
        <w:rPr>
          <w:rFonts w:cstheme="minorHAnsi"/>
        </w:rPr>
        <w:t>The</w:t>
      </w:r>
      <w:r>
        <w:rPr>
          <w:rFonts w:cstheme="minorHAnsi"/>
        </w:rPr>
        <w:t xml:space="preserve"> learners’ challenge will be to study the painting ‘Breakfast at the Coalface’ (see appendix 1) and determine in groups of 5 what they believe is being portrayed. Once the learners have had a short </w:t>
      </w:r>
      <w:r w:rsidR="00293D75">
        <w:rPr>
          <w:rFonts w:cstheme="minorHAnsi"/>
        </w:rPr>
        <w:t>discussion</w:t>
      </w:r>
      <w:r>
        <w:rPr>
          <w:rFonts w:cstheme="minorHAnsi"/>
        </w:rPr>
        <w:t xml:space="preserve">, they </w:t>
      </w:r>
      <w:r w:rsidR="005B684E">
        <w:rPr>
          <w:rFonts w:cstheme="minorHAnsi"/>
        </w:rPr>
        <w:t>should</w:t>
      </w:r>
      <w:r>
        <w:rPr>
          <w:rFonts w:cstheme="minorHAnsi"/>
        </w:rPr>
        <w:t xml:space="preserve"> be asked to share their ideas with their classmates. At this point, the practitioner should ask a range of questions using Bloom’s Taxonomy</w:t>
      </w:r>
      <w:r w:rsidR="00286A58">
        <w:rPr>
          <w:rFonts w:cstheme="minorHAnsi"/>
        </w:rPr>
        <w:t xml:space="preserve"> </w:t>
      </w:r>
      <w:r w:rsidR="00670F77">
        <w:rPr>
          <w:rFonts w:cstheme="minorHAnsi"/>
        </w:rPr>
        <w:t>(David,</w:t>
      </w:r>
      <w:r w:rsidR="00A54331">
        <w:rPr>
          <w:rFonts w:cstheme="minorHAnsi"/>
        </w:rPr>
        <w:t xml:space="preserve"> 24</w:t>
      </w:r>
      <w:r w:rsidR="00A54331" w:rsidRPr="00A54331">
        <w:rPr>
          <w:rFonts w:cstheme="minorHAnsi"/>
          <w:vertAlign w:val="superscript"/>
        </w:rPr>
        <w:t>th</w:t>
      </w:r>
      <w:r w:rsidR="001753F6">
        <w:rPr>
          <w:rFonts w:cstheme="minorHAnsi"/>
        </w:rPr>
        <w:t xml:space="preserve"> July </w:t>
      </w:r>
      <w:r w:rsidR="00670F77">
        <w:rPr>
          <w:rFonts w:cstheme="minorHAnsi"/>
        </w:rPr>
        <w:t>2014</w:t>
      </w:r>
      <w:r w:rsidR="00D55DC3">
        <w:rPr>
          <w:rFonts w:cstheme="minorHAnsi"/>
        </w:rPr>
        <w:t xml:space="preserve">) </w:t>
      </w:r>
      <w:r>
        <w:rPr>
          <w:rFonts w:cstheme="minorHAnsi"/>
        </w:rPr>
        <w:t xml:space="preserve">to </w:t>
      </w:r>
      <w:r w:rsidR="00171C4D">
        <w:rPr>
          <w:rFonts w:cstheme="minorHAnsi"/>
        </w:rPr>
        <w:t>develop</w:t>
      </w:r>
      <w:r>
        <w:rPr>
          <w:rFonts w:cstheme="minorHAnsi"/>
        </w:rPr>
        <w:t xml:space="preserve"> questioning and understanding. This assessment for learning strategy should assist the practitioner in establishing how much support the learners </w:t>
      </w:r>
      <w:r w:rsidR="006D3531">
        <w:rPr>
          <w:rFonts w:cstheme="minorHAnsi"/>
        </w:rPr>
        <w:t>might</w:t>
      </w:r>
      <w:r>
        <w:rPr>
          <w:rFonts w:cstheme="minorHAnsi"/>
        </w:rPr>
        <w:t xml:space="preserve"> need in the main task. </w:t>
      </w:r>
      <w:r>
        <w:t xml:space="preserve">Key elements of this lesson will be learning to listen to one another attentively, </w:t>
      </w:r>
      <w:proofErr w:type="gramStart"/>
      <w:r>
        <w:t>and also</w:t>
      </w:r>
      <w:proofErr w:type="gramEnd"/>
      <w:r>
        <w:t xml:space="preserve"> respond to a stimulus or artefact</w:t>
      </w:r>
      <w:r w:rsidR="006D3531">
        <w:t xml:space="preserve"> </w:t>
      </w:r>
      <w:r>
        <w:t>through the use of drama in line with the curriculum</w:t>
      </w:r>
      <w:r w:rsidR="006D3531">
        <w:t xml:space="preserve"> (</w:t>
      </w:r>
      <w:r w:rsidR="00A11900">
        <w:t>Welsh Government, 2016b)</w:t>
      </w:r>
      <w:r>
        <w:t xml:space="preserve">. The main task for the learners will be to develop a dramatic performance of what they believe might have happened after the image they see portrayed in the artefact. The learners </w:t>
      </w:r>
      <w:r w:rsidR="006D3531">
        <w:t>should</w:t>
      </w:r>
      <w:r>
        <w:t xml:space="preserve"> continue to work in their groups for this </w:t>
      </w:r>
      <w:r w:rsidR="00293D75">
        <w:t>task</w:t>
      </w:r>
      <w:r>
        <w:t>.</w:t>
      </w:r>
      <w:r w:rsidR="004725B4">
        <w:t xml:space="preserve"> </w:t>
      </w:r>
      <w:r w:rsidR="009267C1">
        <w:t xml:space="preserve">This challenge draws upon the history curriculum, allowing the learners to </w:t>
      </w:r>
      <w:r w:rsidR="00841B44">
        <w:t xml:space="preserve">use an artefact to </w:t>
      </w:r>
      <w:r w:rsidR="00D50FE7">
        <w:t xml:space="preserve">explore the history of mining. </w:t>
      </w:r>
      <w:r w:rsidR="00913504">
        <w:t xml:space="preserve">The learners </w:t>
      </w:r>
      <w:r w:rsidR="002B7C1D">
        <w:t>should</w:t>
      </w:r>
      <w:r w:rsidR="00913504">
        <w:t xml:space="preserve"> have already carried out research into the history of the daily life of a miner</w:t>
      </w:r>
      <w:r w:rsidR="00353611">
        <w:t>,</w:t>
      </w:r>
      <w:r w:rsidR="00182BE5">
        <w:t xml:space="preserve"> which will inform their drama production. </w:t>
      </w:r>
      <w:r w:rsidR="002A464B">
        <w:t>This activity is accessible to all learners</w:t>
      </w:r>
      <w:r w:rsidR="0039378D">
        <w:t>, particularly suiting learners who are active in nature</w:t>
      </w:r>
      <w:r w:rsidR="007743FC">
        <w:t xml:space="preserve"> and produce high quality work when actively involved in their learning. </w:t>
      </w:r>
    </w:p>
    <w:p w14:paraId="44026FCD" w14:textId="552A6E39" w:rsidR="00E935E5" w:rsidRPr="00534A12" w:rsidRDefault="00E935E5" w:rsidP="000941AE">
      <w:pPr>
        <w:rPr>
          <w:rFonts w:cstheme="minorHAnsi"/>
        </w:rPr>
      </w:pPr>
      <w:r>
        <w:rPr>
          <w:rFonts w:cstheme="minorHAnsi"/>
        </w:rPr>
        <w:t>In a following lesson, the learners could develop their dramatic performance to include music</w:t>
      </w:r>
      <w:r w:rsidR="00A732D7">
        <w:rPr>
          <w:rFonts w:cstheme="minorHAnsi"/>
        </w:rPr>
        <w:t xml:space="preserve"> which they could </w:t>
      </w:r>
      <w:r w:rsidR="002567DA">
        <w:rPr>
          <w:rFonts w:cstheme="minorHAnsi"/>
        </w:rPr>
        <w:t>create</w:t>
      </w:r>
      <w:r w:rsidR="00A732D7">
        <w:rPr>
          <w:rFonts w:cstheme="minorHAnsi"/>
        </w:rPr>
        <w:t xml:space="preserve"> themselves in order to foster a link with the music </w:t>
      </w:r>
      <w:r w:rsidR="0054285E">
        <w:rPr>
          <w:rFonts w:cstheme="minorHAnsi"/>
        </w:rPr>
        <w:t>curriculum</w:t>
      </w:r>
      <w:r w:rsidR="00A732D7">
        <w:rPr>
          <w:rFonts w:cstheme="minorHAnsi"/>
        </w:rPr>
        <w:t xml:space="preserve"> (</w:t>
      </w:r>
      <w:r w:rsidR="00A50964">
        <w:rPr>
          <w:rFonts w:cstheme="minorHAnsi"/>
        </w:rPr>
        <w:t>DCELLS, 20</w:t>
      </w:r>
      <w:r w:rsidR="00654F04">
        <w:rPr>
          <w:rFonts w:cstheme="minorHAnsi"/>
        </w:rPr>
        <w:t>08c</w:t>
      </w:r>
      <w:r w:rsidR="00A732D7">
        <w:rPr>
          <w:rFonts w:cstheme="minorHAnsi"/>
        </w:rPr>
        <w:t>)</w:t>
      </w:r>
      <w:r w:rsidR="00B71E77">
        <w:rPr>
          <w:rFonts w:cstheme="minorHAnsi"/>
        </w:rPr>
        <w:t>. Alternatively, the practitioner could decide to link this</w:t>
      </w:r>
      <w:r w:rsidR="00AD0899">
        <w:rPr>
          <w:rFonts w:cstheme="minorHAnsi"/>
        </w:rPr>
        <w:t xml:space="preserve"> exploration within the expressive arts to elements of the English curriculum, including writing for different </w:t>
      </w:r>
      <w:r w:rsidR="00EF3BC7">
        <w:rPr>
          <w:rFonts w:cstheme="minorHAnsi"/>
        </w:rPr>
        <w:t>purposes</w:t>
      </w:r>
      <w:r w:rsidR="00F126F9">
        <w:rPr>
          <w:rFonts w:cstheme="minorHAnsi"/>
        </w:rPr>
        <w:t xml:space="preserve"> (</w:t>
      </w:r>
      <w:r w:rsidR="00EF3BC7">
        <w:rPr>
          <w:rFonts w:cstheme="minorHAnsi"/>
        </w:rPr>
        <w:t>Welsh Government, 2016</w:t>
      </w:r>
      <w:r w:rsidR="006C6C69">
        <w:rPr>
          <w:rFonts w:cstheme="minorHAnsi"/>
        </w:rPr>
        <w:t>b</w:t>
      </w:r>
      <w:r w:rsidR="00F126F9">
        <w:rPr>
          <w:rFonts w:cstheme="minorHAnsi"/>
        </w:rPr>
        <w:t>)</w:t>
      </w:r>
      <w:r w:rsidR="005A3FF9">
        <w:rPr>
          <w:rFonts w:cstheme="minorHAnsi"/>
        </w:rPr>
        <w:t>. The learners could write a script of their dramatic performance which could lead to a</w:t>
      </w:r>
      <w:r w:rsidR="00BD7263">
        <w:rPr>
          <w:rFonts w:cstheme="minorHAnsi"/>
        </w:rPr>
        <w:t xml:space="preserve"> performance to friends and family. </w:t>
      </w:r>
      <w:r w:rsidR="00F126F9">
        <w:rPr>
          <w:rFonts w:cstheme="minorHAnsi"/>
        </w:rPr>
        <w:t xml:space="preserve">This also provides </w:t>
      </w:r>
      <w:r w:rsidR="002B591C">
        <w:rPr>
          <w:rFonts w:cstheme="minorHAnsi"/>
        </w:rPr>
        <w:t xml:space="preserve">an opportunity to celebrate the learners’ progress and achievement. </w:t>
      </w:r>
    </w:p>
    <w:p w14:paraId="34C3DA32" w14:textId="77777777" w:rsidR="000941AE" w:rsidRDefault="000941AE" w:rsidP="000941AE">
      <w:pPr>
        <w:jc w:val="both"/>
      </w:pPr>
    </w:p>
    <w:p w14:paraId="58966F07" w14:textId="77777777" w:rsidR="000941AE" w:rsidRDefault="000941AE" w:rsidP="000941AE">
      <w:pPr>
        <w:jc w:val="both"/>
      </w:pPr>
    </w:p>
    <w:p w14:paraId="1E2E4898" w14:textId="77777777" w:rsidR="000941AE" w:rsidRDefault="000941AE" w:rsidP="000941AE">
      <w:pPr>
        <w:jc w:val="both"/>
      </w:pPr>
    </w:p>
    <w:p w14:paraId="499CDB3E" w14:textId="12B825C4" w:rsidR="0002173F" w:rsidRDefault="0002173F" w:rsidP="0002173F">
      <w:pPr>
        <w:jc w:val="center"/>
        <w:rPr>
          <w:rFonts w:ascii="Bradley Hand ITC" w:hAnsi="Bradley Hand ITC"/>
          <w:b/>
          <w:sz w:val="40"/>
          <w:u w:val="single"/>
        </w:rPr>
      </w:pPr>
      <w:r w:rsidRPr="00591A8C">
        <w:rPr>
          <w:rFonts w:ascii="Bradley Hand ITC" w:hAnsi="Bradley Hand ITC"/>
          <w:b/>
          <w:sz w:val="40"/>
          <w:u w:val="single"/>
        </w:rPr>
        <w:t>Activity 3</w:t>
      </w:r>
      <w:r w:rsidR="002B591C">
        <w:rPr>
          <w:rFonts w:ascii="Bradley Hand ITC" w:hAnsi="Bradley Hand ITC"/>
          <w:b/>
          <w:sz w:val="40"/>
          <w:u w:val="single"/>
        </w:rPr>
        <w:t>- Dance</w:t>
      </w:r>
    </w:p>
    <w:p w14:paraId="7FD7A219" w14:textId="527388EC" w:rsidR="00711DB6" w:rsidRDefault="00711DB6" w:rsidP="00711DB6">
      <w:pPr>
        <w:jc w:val="both"/>
      </w:pPr>
      <w:r>
        <w:t>According to Ken Robinson</w:t>
      </w:r>
      <w:r w:rsidR="00E97B70">
        <w:t>,</w:t>
      </w:r>
      <w:r>
        <w:t xml:space="preserve"> (</w:t>
      </w:r>
      <w:proofErr w:type="spellStart"/>
      <w:r>
        <w:t>Aronica</w:t>
      </w:r>
      <w:proofErr w:type="spellEnd"/>
      <w:r>
        <w:t xml:space="preserve"> and Robinson, 2015) not only is there a hierarchical format to the curriculum </w:t>
      </w:r>
      <w:proofErr w:type="gramStart"/>
      <w:r>
        <w:t>as a whole</w:t>
      </w:r>
      <w:r w:rsidR="00E97B70">
        <w:t xml:space="preserve"> but</w:t>
      </w:r>
      <w:proofErr w:type="gramEnd"/>
      <w:r>
        <w:t xml:space="preserve"> the areas of learning within the arts are also prioritised. Typically, drama and dance come at the bottom of the hierarchy (</w:t>
      </w:r>
      <w:proofErr w:type="spellStart"/>
      <w:r>
        <w:t>Aronica</w:t>
      </w:r>
      <w:proofErr w:type="spellEnd"/>
      <w:r>
        <w:t xml:space="preserve"> and Robinson, 2015) and are often completely avoided. Robinson also argues that we should be providing opportunities for learners to “engage with the wor</w:t>
      </w:r>
      <w:r w:rsidR="00B0371F">
        <w:t>l</w:t>
      </w:r>
      <w:r>
        <w:t>d within them… [and] the world around them” (</w:t>
      </w:r>
      <w:proofErr w:type="spellStart"/>
      <w:r>
        <w:t>Aronica</w:t>
      </w:r>
      <w:proofErr w:type="spellEnd"/>
      <w:r>
        <w:t xml:space="preserve"> and Robinson, 2015, p.51)</w:t>
      </w:r>
      <w:r w:rsidR="000604B6">
        <w:t>, meaning</w:t>
      </w:r>
      <w:r>
        <w:t xml:space="preserve"> that</w:t>
      </w:r>
      <w:r w:rsidR="000604B6">
        <w:t xml:space="preserve"> in line with the PSE curriculum</w:t>
      </w:r>
      <w:r w:rsidR="009228CA">
        <w:t>,</w:t>
      </w:r>
      <w:r>
        <w:t xml:space="preserve"> learners should have opportunities to explore methods to keep the mind and body healthy (DCELLS,</w:t>
      </w:r>
      <w:r w:rsidR="006C6C69">
        <w:t xml:space="preserve"> 2008</w:t>
      </w:r>
      <w:r w:rsidR="00F02DDA">
        <w:t>d</w:t>
      </w:r>
      <w:r>
        <w:t xml:space="preserve"> p.18). </w:t>
      </w:r>
    </w:p>
    <w:p w14:paraId="0E728DC0" w14:textId="355897DB" w:rsidR="00711DB6" w:rsidRDefault="00711DB6" w:rsidP="00711DB6">
      <w:pPr>
        <w:rPr>
          <w:rFonts w:cstheme="minorHAnsi"/>
        </w:rPr>
      </w:pPr>
      <w:r>
        <w:rPr>
          <w:rFonts w:cstheme="minorHAnsi"/>
        </w:rPr>
        <w:t xml:space="preserve">This activity focuses upon Dance, from within the Physical Education </w:t>
      </w:r>
      <w:r w:rsidR="00EF3BC7">
        <w:rPr>
          <w:rFonts w:cstheme="minorHAnsi"/>
        </w:rPr>
        <w:t>curriculum (DCELLS, 2008</w:t>
      </w:r>
      <w:r w:rsidR="00F02DDA">
        <w:rPr>
          <w:rFonts w:cstheme="minorHAnsi"/>
        </w:rPr>
        <w:t>e</w:t>
      </w:r>
      <w:r w:rsidR="00EF3BC7">
        <w:rPr>
          <w:rFonts w:cstheme="minorHAnsi"/>
        </w:rPr>
        <w:t>)</w:t>
      </w:r>
      <w:r>
        <w:rPr>
          <w:rFonts w:cstheme="minorHAnsi"/>
        </w:rPr>
        <w:t xml:space="preserve">, however can be used in conjunction with other areas of learning, such as History. The learners will be </w:t>
      </w:r>
      <w:r w:rsidR="00EF3BC7">
        <w:rPr>
          <w:rFonts w:cstheme="minorHAnsi"/>
        </w:rPr>
        <w:t>drawing</w:t>
      </w:r>
      <w:r>
        <w:rPr>
          <w:rFonts w:cstheme="minorHAnsi"/>
        </w:rPr>
        <w:t xml:space="preserve"> upon the eighth habit of mind (Costa and </w:t>
      </w:r>
      <w:proofErr w:type="spellStart"/>
      <w:r>
        <w:rPr>
          <w:rFonts w:cstheme="minorHAnsi"/>
        </w:rPr>
        <w:t>Kallick</w:t>
      </w:r>
      <w:proofErr w:type="spellEnd"/>
      <w:r>
        <w:rPr>
          <w:rFonts w:cstheme="minorHAnsi"/>
        </w:rPr>
        <w:t>, date unknown) to apply past knowledge and understanding to a new situation</w:t>
      </w:r>
      <w:r w:rsidR="00DC2280">
        <w:rPr>
          <w:rFonts w:cstheme="minorHAnsi"/>
        </w:rPr>
        <w:t xml:space="preserve">, namely their prior knowledge of the history of mining to an expressive activity. </w:t>
      </w:r>
    </w:p>
    <w:p w14:paraId="5BB4AB2E" w14:textId="3591C38E" w:rsidR="00711DB6" w:rsidRDefault="00263703" w:rsidP="00711DB6">
      <w:pPr>
        <w:rPr>
          <w:rFonts w:cstheme="minorHAnsi"/>
        </w:rPr>
      </w:pPr>
      <w:r>
        <w:rPr>
          <w:rFonts w:cstheme="minorHAnsi"/>
        </w:rPr>
        <w:t>Prior to the main activity</w:t>
      </w:r>
      <w:r w:rsidR="004E5923">
        <w:rPr>
          <w:rFonts w:cstheme="minorHAnsi"/>
        </w:rPr>
        <w:t xml:space="preserve"> </w:t>
      </w:r>
      <w:r w:rsidR="00711DB6">
        <w:rPr>
          <w:rFonts w:cstheme="minorHAnsi"/>
        </w:rPr>
        <w:t xml:space="preserve">the learners will be asked to </w:t>
      </w:r>
      <w:r>
        <w:rPr>
          <w:rFonts w:cstheme="minorHAnsi"/>
        </w:rPr>
        <w:t xml:space="preserve">use </w:t>
      </w:r>
      <w:r w:rsidR="00711DB6">
        <w:rPr>
          <w:rFonts w:cstheme="minorHAnsi"/>
        </w:rPr>
        <w:t xml:space="preserve">their research into the mining life from previous history lessons and use it to assist in the choreography of a class dance. The learners should develop their travelling and balancing in this activity, in line with the PE </w:t>
      </w:r>
      <w:r w:rsidR="00C558DD">
        <w:rPr>
          <w:rFonts w:cstheme="minorHAnsi"/>
        </w:rPr>
        <w:t>curriculum</w:t>
      </w:r>
      <w:r w:rsidR="00711DB6">
        <w:rPr>
          <w:rFonts w:cstheme="minorHAnsi"/>
        </w:rPr>
        <w:t xml:space="preserve"> (</w:t>
      </w:r>
      <w:r w:rsidR="00C558DD">
        <w:rPr>
          <w:rFonts w:cstheme="minorHAnsi"/>
        </w:rPr>
        <w:t>DCELLS, 2008</w:t>
      </w:r>
      <w:r w:rsidR="00F02DDA">
        <w:rPr>
          <w:rFonts w:cstheme="minorHAnsi"/>
        </w:rPr>
        <w:t>e</w:t>
      </w:r>
      <w:r w:rsidR="00711DB6">
        <w:rPr>
          <w:rFonts w:cstheme="minorHAnsi"/>
        </w:rPr>
        <w:t xml:space="preserve">). A discussion about the benefits of dance, including the effects upon the mind and body </w:t>
      </w:r>
      <w:r w:rsidR="004E5923">
        <w:rPr>
          <w:rFonts w:cstheme="minorHAnsi"/>
        </w:rPr>
        <w:t>should also</w:t>
      </w:r>
      <w:r w:rsidR="00711DB6">
        <w:rPr>
          <w:rFonts w:cstheme="minorHAnsi"/>
        </w:rPr>
        <w:t xml:space="preserve"> have occurred prior to the activity to ensure the learners are aware of the purpose of the learning, whilst simultaneously supporting the PSE curriculum</w:t>
      </w:r>
      <w:r w:rsidR="00936594">
        <w:rPr>
          <w:rFonts w:cstheme="minorHAnsi"/>
        </w:rPr>
        <w:t xml:space="preserve"> (</w:t>
      </w:r>
      <w:r w:rsidR="00EF3BC7">
        <w:rPr>
          <w:rFonts w:cstheme="minorHAnsi"/>
        </w:rPr>
        <w:t>DCELLS, 2008</w:t>
      </w:r>
      <w:r w:rsidR="00F02DDA">
        <w:rPr>
          <w:rFonts w:cstheme="minorHAnsi"/>
        </w:rPr>
        <w:t>d</w:t>
      </w:r>
      <w:r w:rsidR="00936594">
        <w:rPr>
          <w:rFonts w:cstheme="minorHAnsi"/>
        </w:rPr>
        <w:t>)</w:t>
      </w:r>
      <w:r w:rsidR="00711DB6">
        <w:rPr>
          <w:rFonts w:cstheme="minorHAnsi"/>
        </w:rPr>
        <w:t xml:space="preserve">. </w:t>
      </w:r>
    </w:p>
    <w:p w14:paraId="5BB46CB0" w14:textId="2FE650F2" w:rsidR="00711DB6" w:rsidRDefault="00711DB6" w:rsidP="00711DB6">
      <w:pPr>
        <w:rPr>
          <w:rFonts w:cstheme="minorHAnsi"/>
        </w:rPr>
      </w:pPr>
      <w:r>
        <w:rPr>
          <w:rFonts w:cstheme="minorHAnsi"/>
        </w:rPr>
        <w:t xml:space="preserve">An educational visit to </w:t>
      </w:r>
      <w:proofErr w:type="spellStart"/>
      <w:r>
        <w:rPr>
          <w:rFonts w:cstheme="minorHAnsi"/>
        </w:rPr>
        <w:t>Abergwili</w:t>
      </w:r>
      <w:proofErr w:type="spellEnd"/>
      <w:r>
        <w:rPr>
          <w:rFonts w:cstheme="minorHAnsi"/>
        </w:rPr>
        <w:t xml:space="preserve"> museum should support the learners when they consider how a miner might have felt</w:t>
      </w:r>
      <w:r w:rsidR="00936594">
        <w:rPr>
          <w:rFonts w:cstheme="minorHAnsi"/>
        </w:rPr>
        <w:t xml:space="preserve"> whilst working underground</w:t>
      </w:r>
      <w:r>
        <w:rPr>
          <w:rFonts w:cstheme="minorHAnsi"/>
        </w:rPr>
        <w:t xml:space="preserve">. The artwork at the museum, particularly photographs, should highlight some of the emotions and daily challenges that the miners would have endured. These will be a point of reference for the learners when they need </w:t>
      </w:r>
      <w:r w:rsidR="005246DE">
        <w:rPr>
          <w:rFonts w:cstheme="minorHAnsi"/>
        </w:rPr>
        <w:t>t</w:t>
      </w:r>
      <w:r>
        <w:rPr>
          <w:rFonts w:cstheme="minorHAnsi"/>
        </w:rPr>
        <w:t xml:space="preserve">o create an emotive dance representing the daily life of a miner. </w:t>
      </w:r>
      <w:r w:rsidR="005E4CDC">
        <w:rPr>
          <w:rFonts w:cstheme="minorHAnsi"/>
        </w:rPr>
        <w:t>Meanwhile, a</w:t>
      </w:r>
      <w:r>
        <w:rPr>
          <w:rFonts w:cstheme="minorHAnsi"/>
        </w:rPr>
        <w:t>n educational visit to Big Pit will allow the learners to experience</w:t>
      </w:r>
      <w:r w:rsidR="00AB7831">
        <w:rPr>
          <w:rFonts w:cstheme="minorHAnsi"/>
        </w:rPr>
        <w:t xml:space="preserve"> for themselves how being underground might have felt. </w:t>
      </w:r>
      <w:r w:rsidR="00AD6967">
        <w:rPr>
          <w:rFonts w:cstheme="minorHAnsi"/>
        </w:rPr>
        <w:t>Supporting YCC</w:t>
      </w:r>
      <w:r w:rsidR="00EF2C6A">
        <w:rPr>
          <w:rFonts w:cstheme="minorHAnsi"/>
        </w:rPr>
        <w:t xml:space="preserve">, </w:t>
      </w:r>
      <w:r w:rsidR="00AD6967">
        <w:rPr>
          <w:rFonts w:cstheme="minorHAnsi"/>
        </w:rPr>
        <w:t>PSE</w:t>
      </w:r>
      <w:r w:rsidR="00EF2C6A">
        <w:rPr>
          <w:rFonts w:cstheme="minorHAnsi"/>
        </w:rPr>
        <w:t xml:space="preserve"> and History frameworks</w:t>
      </w:r>
      <w:r w:rsidR="00AD6967">
        <w:rPr>
          <w:rFonts w:cstheme="minorHAnsi"/>
        </w:rPr>
        <w:t>, t</w:t>
      </w:r>
      <w:r>
        <w:rPr>
          <w:rFonts w:cstheme="minorHAnsi"/>
        </w:rPr>
        <w:t xml:space="preserve">he learners will be able to explore a mine with guidance from a retired miner. Again, this is an experience which will support the learners in </w:t>
      </w:r>
      <w:proofErr w:type="gramStart"/>
      <w:r>
        <w:rPr>
          <w:rFonts w:cstheme="minorHAnsi"/>
        </w:rPr>
        <w:t>all of</w:t>
      </w:r>
      <w:proofErr w:type="gramEnd"/>
      <w:r>
        <w:rPr>
          <w:rFonts w:cstheme="minorHAnsi"/>
        </w:rPr>
        <w:t xml:space="preserve"> their work relating to mining</w:t>
      </w:r>
      <w:r w:rsidR="003D6E37">
        <w:rPr>
          <w:rFonts w:cstheme="minorHAnsi"/>
        </w:rPr>
        <w:t xml:space="preserve"> and</w:t>
      </w:r>
      <w:r>
        <w:rPr>
          <w:rFonts w:cstheme="minorHAnsi"/>
        </w:rPr>
        <w:t xml:space="preserve"> not just dance</w:t>
      </w:r>
      <w:r w:rsidR="00F047A8">
        <w:rPr>
          <w:rFonts w:cstheme="minorHAnsi"/>
        </w:rPr>
        <w:t xml:space="preserve">, </w:t>
      </w:r>
      <w:r w:rsidR="003D6E37">
        <w:rPr>
          <w:rFonts w:cstheme="minorHAnsi"/>
        </w:rPr>
        <w:t xml:space="preserve">as </w:t>
      </w:r>
      <w:r w:rsidR="00F047A8">
        <w:rPr>
          <w:rFonts w:cstheme="minorHAnsi"/>
        </w:rPr>
        <w:t xml:space="preserve">demonstrated in appendix </w:t>
      </w:r>
      <w:r w:rsidR="003D6E37">
        <w:rPr>
          <w:rFonts w:cstheme="minorHAnsi"/>
        </w:rPr>
        <w:t>7.</w:t>
      </w:r>
    </w:p>
    <w:p w14:paraId="17C0115E" w14:textId="0AA5538E" w:rsidR="00711DB6" w:rsidRDefault="00711DB6" w:rsidP="00711DB6">
      <w:pPr>
        <w:rPr>
          <w:rFonts w:cstheme="minorHAnsi"/>
        </w:rPr>
      </w:pPr>
      <w:r>
        <w:rPr>
          <w:rFonts w:cstheme="minorHAnsi"/>
        </w:rPr>
        <w:t>Educational visits have numerous benefits, one of them being that they can be used to support a cross-curricular topic such as mining</w:t>
      </w:r>
      <w:r w:rsidR="00807F84">
        <w:rPr>
          <w:rFonts w:cstheme="minorHAnsi"/>
        </w:rPr>
        <w:t xml:space="preserve"> (see appendix 7)</w:t>
      </w:r>
      <w:r>
        <w:rPr>
          <w:rFonts w:cstheme="minorHAnsi"/>
        </w:rPr>
        <w:t xml:space="preserve">. As well as this, an out-of-classroom learning experience often proves to engage children who tend not to be as focused within the classroom and can be used as a “motivational tool” to encourage otherwise disengaged learners (Education and Skills Committee, 2005). </w:t>
      </w:r>
    </w:p>
    <w:p w14:paraId="3E66FB7F" w14:textId="3407EC96" w:rsidR="00711DB6" w:rsidRDefault="00711DB6" w:rsidP="00711DB6">
      <w:pPr>
        <w:rPr>
          <w:rFonts w:cstheme="minorHAnsi"/>
        </w:rPr>
      </w:pPr>
      <w:r>
        <w:rPr>
          <w:rFonts w:cstheme="minorHAnsi"/>
        </w:rPr>
        <w:t xml:space="preserve">Having already experienced many aspects of mining life themselves, the learners </w:t>
      </w:r>
      <w:r w:rsidR="00490247">
        <w:rPr>
          <w:rFonts w:cstheme="minorHAnsi"/>
        </w:rPr>
        <w:t>should</w:t>
      </w:r>
      <w:r>
        <w:rPr>
          <w:rFonts w:cstheme="minorHAnsi"/>
        </w:rPr>
        <w:t xml:space="preserve"> be asked to draw upon this understanding to create an expressive dance as part of a group. The learners should initially be asked what they think daily life might have looked like in a mine and consider how the miners might have </w:t>
      </w:r>
      <w:r w:rsidR="00C558DD">
        <w:rPr>
          <w:rFonts w:cstheme="minorHAnsi"/>
        </w:rPr>
        <w:t>felt</w:t>
      </w:r>
      <w:r>
        <w:rPr>
          <w:rFonts w:cstheme="minorHAnsi"/>
        </w:rPr>
        <w:t xml:space="preserve"> working long hours underground in a dangerous environment</w:t>
      </w:r>
      <w:r w:rsidR="009302F3">
        <w:rPr>
          <w:rFonts w:cstheme="minorHAnsi"/>
        </w:rPr>
        <w:t>, linking to the PSE curriculum (</w:t>
      </w:r>
      <w:r w:rsidR="00C558DD">
        <w:rPr>
          <w:rFonts w:cstheme="minorHAnsi"/>
        </w:rPr>
        <w:t>DCELLS, 2008</w:t>
      </w:r>
      <w:r w:rsidR="00F02DDA">
        <w:rPr>
          <w:rFonts w:cstheme="minorHAnsi"/>
        </w:rPr>
        <w:t>d</w:t>
      </w:r>
      <w:r w:rsidR="009302F3">
        <w:rPr>
          <w:rFonts w:cstheme="minorHAnsi"/>
        </w:rPr>
        <w:t>)</w:t>
      </w:r>
      <w:r>
        <w:rPr>
          <w:rFonts w:cstheme="minorHAnsi"/>
        </w:rPr>
        <w:t xml:space="preserve">. This should take place within the introduction to the lesson, in order to establish prior knowledge before the main activity, linking to the eighth habit of mind (Costa and </w:t>
      </w:r>
      <w:proofErr w:type="spellStart"/>
      <w:r>
        <w:rPr>
          <w:rFonts w:cstheme="minorHAnsi"/>
        </w:rPr>
        <w:t>Kallick</w:t>
      </w:r>
      <w:proofErr w:type="spellEnd"/>
      <w:r>
        <w:rPr>
          <w:rFonts w:cstheme="minorHAnsi"/>
        </w:rPr>
        <w:t xml:space="preserve">, date unknown). The learners will then be introduced to the work of John Cornwell, who took many photos of miners working in Wales. </w:t>
      </w:r>
      <w:r w:rsidR="00473C0B">
        <w:rPr>
          <w:rFonts w:cstheme="minorHAnsi"/>
        </w:rPr>
        <w:t xml:space="preserve">This exploration will also support the </w:t>
      </w:r>
      <w:proofErr w:type="gramStart"/>
      <w:r w:rsidR="00473C0B">
        <w:rPr>
          <w:rFonts w:cstheme="minorHAnsi"/>
        </w:rPr>
        <w:t>learners</w:t>
      </w:r>
      <w:proofErr w:type="gramEnd"/>
      <w:r w:rsidR="00473C0B">
        <w:rPr>
          <w:rFonts w:cstheme="minorHAnsi"/>
        </w:rPr>
        <w:t xml:space="preserve"> dev</w:t>
      </w:r>
      <w:r w:rsidR="00764476">
        <w:rPr>
          <w:rFonts w:cstheme="minorHAnsi"/>
        </w:rPr>
        <w:t xml:space="preserve">elopment of skills in relation to YCC (ACCAC, 2003). </w:t>
      </w:r>
      <w:r>
        <w:rPr>
          <w:rFonts w:cstheme="minorHAnsi"/>
        </w:rPr>
        <w:t>The learners should choose two of his photos to translate into a dance, developing their own routine as a group. The learners should develop the success criteria themselves to ensure that they are involved in the evaluation of their learning, as suggested by Dunn (2012).</w:t>
      </w:r>
      <w:r w:rsidR="00CD2D1D">
        <w:rPr>
          <w:rFonts w:cstheme="minorHAnsi"/>
        </w:rPr>
        <w:t xml:space="preserve"> </w:t>
      </w:r>
    </w:p>
    <w:p w14:paraId="2BD20C6B" w14:textId="68600902" w:rsidR="00E86142" w:rsidRDefault="00E86142" w:rsidP="00711DB6">
      <w:pPr>
        <w:rPr>
          <w:rFonts w:cstheme="minorHAnsi"/>
        </w:rPr>
      </w:pPr>
      <w:r>
        <w:rPr>
          <w:rFonts w:cstheme="minorHAnsi"/>
        </w:rPr>
        <w:t xml:space="preserve">To conclude the learning journey, the </w:t>
      </w:r>
      <w:r w:rsidR="00F67DB5">
        <w:rPr>
          <w:rFonts w:cstheme="minorHAnsi"/>
        </w:rPr>
        <w:t xml:space="preserve">dances could be recorded and shared within a whole school assembly in order to celebrate achievement. </w:t>
      </w:r>
      <w:r w:rsidR="00EE4F1F">
        <w:rPr>
          <w:rFonts w:cstheme="minorHAnsi"/>
        </w:rPr>
        <w:t xml:space="preserve">The learners could record their dances themselves in order to </w:t>
      </w:r>
      <w:r w:rsidR="00FE28EF">
        <w:rPr>
          <w:rFonts w:cstheme="minorHAnsi"/>
        </w:rPr>
        <w:t xml:space="preserve">explore the DCF. </w:t>
      </w:r>
    </w:p>
    <w:p w14:paraId="353DD691" w14:textId="1A804C3F" w:rsidR="00086580" w:rsidRPr="00C558DD" w:rsidRDefault="00711DB6">
      <w:pPr>
        <w:rPr>
          <w:rFonts w:cstheme="minorHAnsi"/>
        </w:rPr>
      </w:pPr>
      <w:r>
        <w:rPr>
          <w:rFonts w:cstheme="minorHAnsi"/>
        </w:rPr>
        <w:t xml:space="preserve">This activity has been carefully designed to ensure that all learners can access the learning opportunities. Armstrong (1999) highlights that the visual and expressive arts can often provide a release for individuals who have Attention Deficit Hyperactivity Disorder (ADHD) or Attention Deficit Disorder (ADD). When learners are engaged in expressive arts activities they are provided with “channels” that the energy can flow through (Armstrong, 1999, p.82). </w:t>
      </w:r>
      <w:r w:rsidR="00B51D8D">
        <w:rPr>
          <w:rFonts w:cstheme="minorHAnsi"/>
        </w:rPr>
        <w:t xml:space="preserve">From personal experience, I also acknowledge that dance allows </w:t>
      </w:r>
      <w:r w:rsidR="00E86142">
        <w:rPr>
          <w:rFonts w:cstheme="minorHAnsi"/>
        </w:rPr>
        <w:t xml:space="preserve">learners to express feelings which they might otherwise struggle to explain verbally. </w:t>
      </w:r>
    </w:p>
    <w:p w14:paraId="4876C9FE" w14:textId="7E6127A0" w:rsidR="00BF15CB" w:rsidRDefault="00D30FDB" w:rsidP="00D802D1">
      <w:pPr>
        <w:jc w:val="center"/>
        <w:rPr>
          <w:rFonts w:ascii="Bradley Hand ITC" w:hAnsi="Bradley Hand ITC"/>
          <w:b/>
          <w:sz w:val="40"/>
          <w:u w:val="single"/>
        </w:rPr>
      </w:pPr>
      <w:r w:rsidRPr="00D30FDB">
        <w:rPr>
          <w:rFonts w:ascii="Bradley Hand ITC" w:hAnsi="Bradley Hand ITC"/>
          <w:b/>
          <w:sz w:val="40"/>
          <w:u w:val="single"/>
        </w:rPr>
        <w:t>Conclusion</w:t>
      </w:r>
    </w:p>
    <w:p w14:paraId="0347D41D" w14:textId="53BA5906" w:rsidR="009D7FE5" w:rsidRDefault="00124E7C" w:rsidP="009D7FE5">
      <w:pPr>
        <w:rPr>
          <w:rFonts w:cstheme="minorHAnsi"/>
        </w:rPr>
      </w:pPr>
      <w:r>
        <w:rPr>
          <w:rFonts w:cstheme="minorHAnsi"/>
        </w:rPr>
        <w:t>Perhaps one of the main</w:t>
      </w:r>
      <w:r w:rsidR="00C259C2">
        <w:rPr>
          <w:rFonts w:cstheme="minorHAnsi"/>
        </w:rPr>
        <w:t xml:space="preserve"> reason</w:t>
      </w:r>
      <w:r w:rsidR="00B91A8B">
        <w:rPr>
          <w:rFonts w:cstheme="minorHAnsi"/>
        </w:rPr>
        <w:t>s</w:t>
      </w:r>
      <w:r w:rsidR="00C259C2">
        <w:rPr>
          <w:rFonts w:cstheme="minorHAnsi"/>
        </w:rPr>
        <w:t xml:space="preserve"> why we should teach t</w:t>
      </w:r>
      <w:r w:rsidR="00BF15CB">
        <w:rPr>
          <w:rFonts w:cstheme="minorHAnsi"/>
        </w:rPr>
        <w:t>he visual and expressive arts</w:t>
      </w:r>
      <w:r w:rsidR="00C259C2">
        <w:rPr>
          <w:rFonts w:cstheme="minorHAnsi"/>
        </w:rPr>
        <w:t xml:space="preserve"> is because </w:t>
      </w:r>
      <w:r w:rsidR="00D10CED">
        <w:rPr>
          <w:rFonts w:cstheme="minorHAnsi"/>
        </w:rPr>
        <w:t>the arts simultaneously</w:t>
      </w:r>
      <w:r w:rsidR="00BF15CB">
        <w:rPr>
          <w:rFonts w:cstheme="minorHAnsi"/>
        </w:rPr>
        <w:t xml:space="preserve"> </w:t>
      </w:r>
      <w:r w:rsidR="008620CC">
        <w:rPr>
          <w:rFonts w:cstheme="minorHAnsi"/>
        </w:rPr>
        <w:t xml:space="preserve">develop </w:t>
      </w:r>
      <w:r w:rsidR="00DA7B11">
        <w:rPr>
          <w:rFonts w:cstheme="minorHAnsi"/>
        </w:rPr>
        <w:t>multiple areas of the</w:t>
      </w:r>
      <w:r w:rsidR="00D10CED">
        <w:rPr>
          <w:rFonts w:cstheme="minorHAnsi"/>
        </w:rPr>
        <w:t xml:space="preserve"> national</w:t>
      </w:r>
      <w:r w:rsidR="00DA7B11">
        <w:rPr>
          <w:rFonts w:cstheme="minorHAnsi"/>
        </w:rPr>
        <w:t xml:space="preserve"> curriculum</w:t>
      </w:r>
      <w:r w:rsidR="005E76AC">
        <w:rPr>
          <w:rFonts w:cstheme="minorHAnsi"/>
        </w:rPr>
        <w:t>. The arts</w:t>
      </w:r>
      <w:r w:rsidR="00C259C2">
        <w:rPr>
          <w:rFonts w:cstheme="minorHAnsi"/>
        </w:rPr>
        <w:t xml:space="preserve"> </w:t>
      </w:r>
      <w:r w:rsidR="00DA7B11">
        <w:rPr>
          <w:rFonts w:cstheme="minorHAnsi"/>
        </w:rPr>
        <w:t xml:space="preserve">can be used </w:t>
      </w:r>
      <w:r w:rsidR="00852C04">
        <w:rPr>
          <w:rFonts w:cstheme="minorHAnsi"/>
        </w:rPr>
        <w:t xml:space="preserve">in a cross curricular manner very effectively, as I have outlined in the above activities. </w:t>
      </w:r>
      <w:r w:rsidR="00C259C2">
        <w:rPr>
          <w:rFonts w:cstheme="minorHAnsi"/>
        </w:rPr>
        <w:t xml:space="preserve">Not only this, but they </w:t>
      </w:r>
      <w:r w:rsidR="000E6717">
        <w:rPr>
          <w:rFonts w:cstheme="minorHAnsi"/>
        </w:rPr>
        <w:t xml:space="preserve">provide </w:t>
      </w:r>
      <w:r w:rsidR="00C259C2">
        <w:rPr>
          <w:rFonts w:cstheme="minorHAnsi"/>
        </w:rPr>
        <w:t xml:space="preserve">learners who </w:t>
      </w:r>
      <w:r w:rsidR="002B4BAC">
        <w:rPr>
          <w:rFonts w:cstheme="minorHAnsi"/>
        </w:rPr>
        <w:t>thrive in hands-on experiences</w:t>
      </w:r>
      <w:r w:rsidR="000E6717">
        <w:rPr>
          <w:rFonts w:cstheme="minorHAnsi"/>
        </w:rPr>
        <w:t xml:space="preserve"> greater freedom and access to the style of learning that suits them</w:t>
      </w:r>
      <w:r w:rsidR="00D561FD">
        <w:rPr>
          <w:rFonts w:cstheme="minorHAnsi"/>
        </w:rPr>
        <w:t xml:space="preserve">, </w:t>
      </w:r>
      <w:r w:rsidR="005C7FBB">
        <w:rPr>
          <w:rFonts w:cstheme="minorHAnsi"/>
        </w:rPr>
        <w:t xml:space="preserve">including those with ALN. </w:t>
      </w:r>
      <w:r w:rsidR="00ED5225">
        <w:rPr>
          <w:rFonts w:cstheme="minorHAnsi"/>
        </w:rPr>
        <w:t xml:space="preserve">It is also a legal requirement to provide </w:t>
      </w:r>
      <w:r w:rsidR="00E77AA9">
        <w:rPr>
          <w:rFonts w:cstheme="minorHAnsi"/>
        </w:rPr>
        <w:t>visual and expressive arts education</w:t>
      </w:r>
      <w:r w:rsidR="002D688A">
        <w:rPr>
          <w:rFonts w:cstheme="minorHAnsi"/>
        </w:rPr>
        <w:t xml:space="preserve"> in line with the National Curriculum</w:t>
      </w:r>
      <w:r w:rsidR="00374D87">
        <w:rPr>
          <w:rFonts w:cstheme="minorHAnsi"/>
        </w:rPr>
        <w:t xml:space="preserve">. </w:t>
      </w:r>
      <w:r w:rsidR="00FA3F6D">
        <w:rPr>
          <w:rFonts w:cstheme="minorHAnsi"/>
        </w:rPr>
        <w:t>The UNCRC (</w:t>
      </w:r>
      <w:proofErr w:type="spellStart"/>
      <w:r w:rsidR="00E359F7">
        <w:rPr>
          <w:rFonts w:cstheme="minorHAnsi"/>
        </w:rPr>
        <w:t>Unicef</w:t>
      </w:r>
      <w:proofErr w:type="spellEnd"/>
      <w:r w:rsidR="00E359F7">
        <w:rPr>
          <w:rFonts w:cstheme="minorHAnsi"/>
        </w:rPr>
        <w:t xml:space="preserve">, </w:t>
      </w:r>
      <w:r w:rsidR="00C913E1">
        <w:rPr>
          <w:rFonts w:cstheme="minorHAnsi"/>
        </w:rPr>
        <w:t>1990)</w:t>
      </w:r>
      <w:r w:rsidR="004E1D6A">
        <w:rPr>
          <w:rFonts w:cstheme="minorHAnsi"/>
        </w:rPr>
        <w:t xml:space="preserve"> also requires that individuals have the right to </w:t>
      </w:r>
      <w:r w:rsidR="003A50D7">
        <w:rPr>
          <w:rFonts w:cstheme="minorHAnsi"/>
        </w:rPr>
        <w:t xml:space="preserve">have an education which develops individual </w:t>
      </w:r>
      <w:r w:rsidR="009040DB">
        <w:rPr>
          <w:rFonts w:cstheme="minorHAnsi"/>
        </w:rPr>
        <w:t>abili</w:t>
      </w:r>
      <w:r w:rsidR="005D4674">
        <w:rPr>
          <w:rFonts w:cstheme="minorHAnsi"/>
        </w:rPr>
        <w:t xml:space="preserve">ties </w:t>
      </w:r>
      <w:r w:rsidR="009040DB">
        <w:rPr>
          <w:rFonts w:cstheme="minorHAnsi"/>
        </w:rPr>
        <w:t>(Article 29</w:t>
      </w:r>
      <w:r w:rsidR="00E359F7">
        <w:rPr>
          <w:rFonts w:cstheme="minorHAnsi"/>
        </w:rPr>
        <w:t>)</w:t>
      </w:r>
      <w:r w:rsidR="009040DB">
        <w:rPr>
          <w:rFonts w:cstheme="minorHAnsi"/>
        </w:rPr>
        <w:t xml:space="preserve"> </w:t>
      </w:r>
      <w:r w:rsidR="005D4674">
        <w:rPr>
          <w:rFonts w:cstheme="minorHAnsi"/>
        </w:rPr>
        <w:t xml:space="preserve">and the right to take part in a wide range of </w:t>
      </w:r>
      <w:r w:rsidR="00477988">
        <w:rPr>
          <w:rFonts w:cstheme="minorHAnsi"/>
        </w:rPr>
        <w:t xml:space="preserve">cultural and artistic activities (Article 31). </w:t>
      </w:r>
      <w:proofErr w:type="spellStart"/>
      <w:r w:rsidR="00680D3F">
        <w:rPr>
          <w:rFonts w:cstheme="minorHAnsi"/>
        </w:rPr>
        <w:t>Unicef</w:t>
      </w:r>
      <w:proofErr w:type="spellEnd"/>
      <w:r w:rsidR="00680D3F">
        <w:rPr>
          <w:rFonts w:cstheme="minorHAnsi"/>
        </w:rPr>
        <w:t xml:space="preserve"> have specifically referred to expressive activities, highlighting th</w:t>
      </w:r>
      <w:r w:rsidR="005E618A">
        <w:rPr>
          <w:rFonts w:cstheme="minorHAnsi"/>
        </w:rPr>
        <w:t xml:space="preserve">e importance of the inclusion of the visual and expressive arts in the curriculum. </w:t>
      </w:r>
    </w:p>
    <w:p w14:paraId="4D1874E2" w14:textId="3A68CDEA" w:rsidR="00676401" w:rsidRDefault="009D7FE5" w:rsidP="009D7FE5">
      <w:pPr>
        <w:rPr>
          <w:rFonts w:cstheme="minorHAnsi"/>
        </w:rPr>
      </w:pPr>
      <w:r>
        <w:rPr>
          <w:rFonts w:cstheme="minorHAnsi"/>
        </w:rPr>
        <w:t>Professor Dai Smith suggested within his report that for individual learners to be appropriately equipped for their path in life, we must look “</w:t>
      </w:r>
      <w:r w:rsidR="003B158A">
        <w:rPr>
          <w:rFonts w:cstheme="minorHAnsi"/>
        </w:rPr>
        <w:t xml:space="preserve">beyond </w:t>
      </w:r>
      <w:r>
        <w:rPr>
          <w:rFonts w:cstheme="minorHAnsi"/>
        </w:rPr>
        <w:t>the merely necessary” (2013</w:t>
      </w:r>
      <w:r w:rsidR="00CB3DD6">
        <w:rPr>
          <w:rFonts w:cstheme="minorHAnsi"/>
        </w:rPr>
        <w:t>, p.</w:t>
      </w:r>
      <w:r>
        <w:rPr>
          <w:rFonts w:cstheme="minorHAnsi"/>
        </w:rPr>
        <w:t xml:space="preserve">8) aspects of education and instead venture into an exploration of the areas that the learners wish to explore. </w:t>
      </w:r>
      <w:r w:rsidR="00807597">
        <w:rPr>
          <w:rFonts w:cstheme="minorHAnsi"/>
        </w:rPr>
        <w:t xml:space="preserve">Supporting this approach is the </w:t>
      </w:r>
      <w:proofErr w:type="spellStart"/>
      <w:r w:rsidR="00807597">
        <w:rPr>
          <w:rFonts w:cstheme="minorHAnsi"/>
        </w:rPr>
        <w:t>Calouste</w:t>
      </w:r>
      <w:proofErr w:type="spellEnd"/>
      <w:r w:rsidR="00807597">
        <w:rPr>
          <w:rFonts w:cstheme="minorHAnsi"/>
        </w:rPr>
        <w:t xml:space="preserve"> </w:t>
      </w:r>
      <w:proofErr w:type="spellStart"/>
      <w:r w:rsidR="00807597">
        <w:rPr>
          <w:rFonts w:cstheme="minorHAnsi"/>
        </w:rPr>
        <w:t>Gulbenkian</w:t>
      </w:r>
      <w:proofErr w:type="spellEnd"/>
      <w:r w:rsidR="00807597">
        <w:rPr>
          <w:rFonts w:cstheme="minorHAnsi"/>
        </w:rPr>
        <w:t xml:space="preserve"> Foundation</w:t>
      </w:r>
      <w:r w:rsidR="0070270C">
        <w:rPr>
          <w:rFonts w:cstheme="minorHAnsi"/>
        </w:rPr>
        <w:t xml:space="preserve"> (1982)</w:t>
      </w:r>
      <w:r w:rsidR="00BC40E2">
        <w:rPr>
          <w:rFonts w:cstheme="minorHAnsi"/>
        </w:rPr>
        <w:t xml:space="preserve"> which raises the point that we are educating the children of our future. Perhaps due to the implementation and advances of technology, an increasing number of future careers will potentially focus less upon academic skills such as numeracy</w:t>
      </w:r>
      <w:r w:rsidR="009777EA">
        <w:rPr>
          <w:rFonts w:cstheme="minorHAnsi"/>
        </w:rPr>
        <w:t>,</w:t>
      </w:r>
      <w:r w:rsidR="00CF5F3C">
        <w:rPr>
          <w:rFonts w:cstheme="minorHAnsi"/>
        </w:rPr>
        <w:t xml:space="preserve"> </w:t>
      </w:r>
      <w:r w:rsidR="009777EA">
        <w:rPr>
          <w:rFonts w:cstheme="minorHAnsi"/>
        </w:rPr>
        <w:t>instead</w:t>
      </w:r>
      <w:r w:rsidR="00CF5F3C">
        <w:rPr>
          <w:rFonts w:cstheme="minorHAnsi"/>
        </w:rPr>
        <w:t xml:space="preserve"> focus</w:t>
      </w:r>
      <w:r w:rsidR="009777EA">
        <w:rPr>
          <w:rFonts w:cstheme="minorHAnsi"/>
        </w:rPr>
        <w:t>ing</w:t>
      </w:r>
      <w:r w:rsidR="00CF5F3C">
        <w:rPr>
          <w:rFonts w:cstheme="minorHAnsi"/>
        </w:rPr>
        <w:t xml:space="preserve"> more greatly upon skills gained through the exploration of the visual and expressive arts (</w:t>
      </w:r>
      <w:proofErr w:type="spellStart"/>
      <w:r w:rsidR="004F189E">
        <w:rPr>
          <w:rFonts w:cstheme="minorHAnsi"/>
        </w:rPr>
        <w:t>Calouste</w:t>
      </w:r>
      <w:proofErr w:type="spellEnd"/>
      <w:r w:rsidR="004F189E">
        <w:rPr>
          <w:rFonts w:cstheme="minorHAnsi"/>
        </w:rPr>
        <w:t xml:space="preserve"> </w:t>
      </w:r>
      <w:proofErr w:type="spellStart"/>
      <w:r w:rsidR="004F189E">
        <w:rPr>
          <w:rFonts w:cstheme="minorHAnsi"/>
        </w:rPr>
        <w:t>Gulbenkian</w:t>
      </w:r>
      <w:proofErr w:type="spellEnd"/>
      <w:r w:rsidR="004F189E">
        <w:rPr>
          <w:rFonts w:cstheme="minorHAnsi"/>
        </w:rPr>
        <w:t xml:space="preserve"> Foundation, 1982). </w:t>
      </w:r>
    </w:p>
    <w:p w14:paraId="575C2C00" w14:textId="6EA0C52B" w:rsidR="00BC6E48" w:rsidRDefault="002E43C5" w:rsidP="006052FB">
      <w:pPr>
        <w:rPr>
          <w:rFonts w:cstheme="minorHAnsi"/>
        </w:rPr>
      </w:pPr>
      <w:r>
        <w:rPr>
          <w:rFonts w:cstheme="minorHAnsi"/>
        </w:rPr>
        <w:t>Supporting the cross-curricular approach to learning, t</w:t>
      </w:r>
      <w:r w:rsidR="006D58CF">
        <w:rPr>
          <w:rFonts w:cstheme="minorHAnsi"/>
        </w:rPr>
        <w:t xml:space="preserve">he Arts Council for Wales </w:t>
      </w:r>
      <w:r w:rsidR="008D27A6">
        <w:rPr>
          <w:rFonts w:cstheme="minorHAnsi"/>
        </w:rPr>
        <w:t>states that the visual and expressive arts can be used to “tackle</w:t>
      </w:r>
      <w:r w:rsidR="00E0700D">
        <w:rPr>
          <w:rFonts w:cstheme="minorHAnsi"/>
        </w:rPr>
        <w:t xml:space="preserve"> lack of aspiration and low level of engagement” (date unknown, p.</w:t>
      </w:r>
      <w:r w:rsidR="00D7269F">
        <w:rPr>
          <w:rFonts w:cstheme="minorHAnsi"/>
        </w:rPr>
        <w:t>6)</w:t>
      </w:r>
      <w:r w:rsidR="00F54A9E">
        <w:rPr>
          <w:rFonts w:cstheme="minorHAnsi"/>
        </w:rPr>
        <w:t xml:space="preserve">. </w:t>
      </w:r>
      <w:r w:rsidR="00166135">
        <w:rPr>
          <w:rFonts w:cstheme="minorHAnsi"/>
        </w:rPr>
        <w:t>Engagement is key in order to ensure that learners gain the most from their education</w:t>
      </w:r>
      <w:r w:rsidR="0068355E">
        <w:rPr>
          <w:rFonts w:cstheme="minorHAnsi"/>
        </w:rPr>
        <w:t xml:space="preserve">. </w:t>
      </w:r>
      <w:r w:rsidR="00EE13E1">
        <w:rPr>
          <w:rFonts w:cstheme="minorHAnsi"/>
        </w:rPr>
        <w:t>Esty</w:t>
      </w:r>
      <w:r w:rsidR="000458E2">
        <w:rPr>
          <w:rFonts w:cstheme="minorHAnsi"/>
        </w:rPr>
        <w:t>n inspections have also revealed that schools using expressive arts as the foundation of their teaching and learning</w:t>
      </w:r>
      <w:r w:rsidR="000E183D">
        <w:rPr>
          <w:rFonts w:cstheme="minorHAnsi"/>
        </w:rPr>
        <w:t xml:space="preserve"> methods successfully</w:t>
      </w:r>
      <w:r w:rsidR="000458E2">
        <w:rPr>
          <w:rFonts w:cstheme="minorHAnsi"/>
        </w:rPr>
        <w:t xml:space="preserve"> </w:t>
      </w:r>
      <w:r w:rsidR="007048BE">
        <w:rPr>
          <w:rFonts w:cstheme="minorHAnsi"/>
        </w:rPr>
        <w:t xml:space="preserve">promote and assist the development </w:t>
      </w:r>
      <w:r w:rsidR="00E03F3B">
        <w:rPr>
          <w:rFonts w:cstheme="minorHAnsi"/>
        </w:rPr>
        <w:t>of critical and creative thinking skills</w:t>
      </w:r>
      <w:r w:rsidR="000E183D">
        <w:rPr>
          <w:rFonts w:cstheme="minorHAnsi"/>
        </w:rPr>
        <w:t xml:space="preserve"> in their learners</w:t>
      </w:r>
      <w:r w:rsidR="00325FE5">
        <w:rPr>
          <w:rFonts w:cstheme="minorHAnsi"/>
        </w:rPr>
        <w:t xml:space="preserve"> (Estyn, 2017)</w:t>
      </w:r>
      <w:r w:rsidR="000E183D">
        <w:rPr>
          <w:rFonts w:cstheme="minorHAnsi"/>
        </w:rPr>
        <w:t xml:space="preserve">. </w:t>
      </w:r>
      <w:r w:rsidR="00396639">
        <w:rPr>
          <w:rFonts w:cstheme="minorHAnsi"/>
        </w:rPr>
        <w:t>The holistic inclusion of the arts allows for greater stimulation</w:t>
      </w:r>
      <w:r w:rsidR="002C31DE">
        <w:rPr>
          <w:rFonts w:cstheme="minorHAnsi"/>
        </w:rPr>
        <w:t>, leading to greater understanding and engagement (Estyn, 2017)</w:t>
      </w:r>
      <w:r w:rsidR="00325FE5">
        <w:rPr>
          <w:rFonts w:cstheme="minorHAnsi"/>
        </w:rPr>
        <w:t>.</w:t>
      </w:r>
    </w:p>
    <w:p w14:paraId="4E81F4B7" w14:textId="22A2F289" w:rsidR="00E02A9C" w:rsidRDefault="006632EF">
      <w:pPr>
        <w:rPr>
          <w:rFonts w:cstheme="minorHAnsi"/>
        </w:rPr>
      </w:pPr>
      <w:r>
        <w:rPr>
          <w:rFonts w:cstheme="minorHAnsi"/>
        </w:rPr>
        <w:t xml:space="preserve">Ultimately, in my opinion the ideal learning environment should support and challenge all learners, </w:t>
      </w:r>
      <w:r w:rsidR="005F1EF6">
        <w:rPr>
          <w:rFonts w:cstheme="minorHAnsi"/>
        </w:rPr>
        <w:t>allowing exploration of individual interests</w:t>
      </w:r>
      <w:r w:rsidR="008F3FF9">
        <w:rPr>
          <w:rFonts w:cstheme="minorHAnsi"/>
        </w:rPr>
        <w:t xml:space="preserve"> and should</w:t>
      </w:r>
      <w:r w:rsidR="0067363E">
        <w:rPr>
          <w:rFonts w:cstheme="minorHAnsi"/>
        </w:rPr>
        <w:t xml:space="preserve"> suppor</w:t>
      </w:r>
      <w:r w:rsidR="008F3FF9">
        <w:rPr>
          <w:rFonts w:cstheme="minorHAnsi"/>
        </w:rPr>
        <w:t>t</w:t>
      </w:r>
      <w:r w:rsidR="0067363E">
        <w:rPr>
          <w:rFonts w:cstheme="minorHAnsi"/>
        </w:rPr>
        <w:t xml:space="preserve"> </w:t>
      </w:r>
      <w:r w:rsidR="008F3FF9">
        <w:rPr>
          <w:rFonts w:cstheme="minorHAnsi"/>
        </w:rPr>
        <w:t xml:space="preserve">a range of </w:t>
      </w:r>
      <w:r w:rsidR="0067363E">
        <w:rPr>
          <w:rFonts w:cstheme="minorHAnsi"/>
        </w:rPr>
        <w:t>creative approaches</w:t>
      </w:r>
      <w:r w:rsidR="008F3FF9">
        <w:rPr>
          <w:rFonts w:cstheme="minorHAnsi"/>
        </w:rPr>
        <w:t xml:space="preserve">, </w:t>
      </w:r>
      <w:r>
        <w:rPr>
          <w:rFonts w:cstheme="minorHAnsi"/>
        </w:rPr>
        <w:t>regardless of learning style</w:t>
      </w:r>
      <w:r w:rsidR="008E63F2">
        <w:rPr>
          <w:rFonts w:cstheme="minorHAnsi"/>
        </w:rPr>
        <w:t xml:space="preserve"> or</w:t>
      </w:r>
      <w:r>
        <w:rPr>
          <w:rFonts w:cstheme="minorHAnsi"/>
        </w:rPr>
        <w:t xml:space="preserve"> attainment level</w:t>
      </w:r>
      <w:r w:rsidR="008E63F2">
        <w:rPr>
          <w:rFonts w:cstheme="minorHAnsi"/>
        </w:rPr>
        <w:t>. A cross-curricular approach to teaching and learning would</w:t>
      </w:r>
      <w:r w:rsidR="00CD1D7B">
        <w:rPr>
          <w:rFonts w:cstheme="minorHAnsi"/>
        </w:rPr>
        <w:t xml:space="preserve"> greatly</w:t>
      </w:r>
      <w:r w:rsidR="008E63F2">
        <w:rPr>
          <w:rFonts w:cstheme="minorHAnsi"/>
        </w:rPr>
        <w:t xml:space="preserve"> support this</w:t>
      </w:r>
      <w:r w:rsidR="00CD1D7B">
        <w:rPr>
          <w:rFonts w:cstheme="minorHAnsi"/>
        </w:rPr>
        <w:t>.</w:t>
      </w:r>
      <w:r w:rsidR="00B16E57">
        <w:rPr>
          <w:rFonts w:cstheme="minorHAnsi"/>
        </w:rPr>
        <w:t xml:space="preserve"> The visual and expressive arts allow learners to investigate different ways of expression</w:t>
      </w:r>
      <w:r w:rsidR="00574E3E">
        <w:rPr>
          <w:rFonts w:cstheme="minorHAnsi"/>
        </w:rPr>
        <w:t xml:space="preserve"> whilst simultaneously developing key skills, such as </w:t>
      </w:r>
      <w:r w:rsidR="00AF2658">
        <w:rPr>
          <w:rFonts w:cstheme="minorHAnsi"/>
        </w:rPr>
        <w:t xml:space="preserve">the ability to vocalise opinions and improving levels of confidence. </w:t>
      </w:r>
    </w:p>
    <w:p w14:paraId="6195C8E7" w14:textId="5B1A06F5" w:rsidR="00A11900" w:rsidRDefault="00A11900">
      <w:pPr>
        <w:rPr>
          <w:rFonts w:cstheme="minorHAnsi"/>
        </w:rPr>
      </w:pPr>
    </w:p>
    <w:p w14:paraId="1089D506" w14:textId="12BE0FDD" w:rsidR="00A13AE5" w:rsidRDefault="00A13AE5">
      <w:pPr>
        <w:rPr>
          <w:rFonts w:cstheme="minorHAnsi"/>
        </w:rPr>
      </w:pPr>
    </w:p>
    <w:p w14:paraId="20734C1B" w14:textId="023B71D8" w:rsidR="00A13AE5" w:rsidRDefault="00A13AE5">
      <w:pPr>
        <w:rPr>
          <w:rFonts w:cstheme="minorHAnsi"/>
        </w:rPr>
      </w:pPr>
    </w:p>
    <w:p w14:paraId="3D8B0A44" w14:textId="1A159F49" w:rsidR="00A13AE5" w:rsidRDefault="00A13AE5">
      <w:pPr>
        <w:rPr>
          <w:rFonts w:cstheme="minorHAnsi"/>
        </w:rPr>
      </w:pPr>
    </w:p>
    <w:p w14:paraId="4A8C7010" w14:textId="08B3E6AA" w:rsidR="00A13AE5" w:rsidRDefault="00A13AE5">
      <w:pPr>
        <w:rPr>
          <w:rFonts w:cstheme="minorHAnsi"/>
        </w:rPr>
      </w:pPr>
    </w:p>
    <w:p w14:paraId="78A4BADB" w14:textId="62A15F1D" w:rsidR="00A13AE5" w:rsidRDefault="00A13AE5">
      <w:pPr>
        <w:rPr>
          <w:rFonts w:cstheme="minorHAnsi"/>
        </w:rPr>
      </w:pPr>
    </w:p>
    <w:p w14:paraId="63CAC99A" w14:textId="75A512A0" w:rsidR="00A13AE5" w:rsidRDefault="00A13AE5">
      <w:pPr>
        <w:rPr>
          <w:rFonts w:cstheme="minorHAnsi"/>
        </w:rPr>
      </w:pPr>
    </w:p>
    <w:p w14:paraId="58C883BA" w14:textId="1F725D4D" w:rsidR="00A13AE5" w:rsidRDefault="00A13AE5">
      <w:pPr>
        <w:rPr>
          <w:rFonts w:cstheme="minorHAnsi"/>
        </w:rPr>
      </w:pPr>
    </w:p>
    <w:p w14:paraId="01720794" w14:textId="0E995983" w:rsidR="00A13AE5" w:rsidRDefault="00A13AE5">
      <w:pPr>
        <w:rPr>
          <w:rFonts w:cstheme="minorHAnsi"/>
        </w:rPr>
      </w:pPr>
    </w:p>
    <w:p w14:paraId="2C0BB888" w14:textId="58B2F263" w:rsidR="00A13AE5" w:rsidRDefault="00A13AE5">
      <w:pPr>
        <w:rPr>
          <w:rFonts w:cstheme="minorHAnsi"/>
        </w:rPr>
      </w:pPr>
    </w:p>
    <w:p w14:paraId="6409B244" w14:textId="6308CB3E" w:rsidR="00A13AE5" w:rsidRDefault="00A13AE5">
      <w:pPr>
        <w:rPr>
          <w:rFonts w:cstheme="minorHAnsi"/>
        </w:rPr>
      </w:pPr>
    </w:p>
    <w:p w14:paraId="636A02FB" w14:textId="750141E1" w:rsidR="00A13AE5" w:rsidRDefault="00A13AE5">
      <w:pPr>
        <w:rPr>
          <w:rFonts w:cstheme="minorHAnsi"/>
        </w:rPr>
      </w:pPr>
    </w:p>
    <w:p w14:paraId="4C4947C1" w14:textId="32528A0F" w:rsidR="00A13AE5" w:rsidRDefault="00A13AE5">
      <w:pPr>
        <w:rPr>
          <w:rFonts w:cstheme="minorHAnsi"/>
        </w:rPr>
      </w:pPr>
    </w:p>
    <w:p w14:paraId="23873E36" w14:textId="166A7284" w:rsidR="00A13AE5" w:rsidRDefault="00A13AE5">
      <w:pPr>
        <w:rPr>
          <w:rFonts w:cstheme="minorHAnsi"/>
        </w:rPr>
      </w:pPr>
    </w:p>
    <w:p w14:paraId="0CB7DDB7" w14:textId="04C16BF5" w:rsidR="00A13AE5" w:rsidRDefault="00A13AE5">
      <w:pPr>
        <w:rPr>
          <w:rFonts w:cstheme="minorHAnsi"/>
        </w:rPr>
      </w:pPr>
    </w:p>
    <w:p w14:paraId="0B574B82" w14:textId="2EF861DD" w:rsidR="00A13AE5" w:rsidRDefault="00A13AE5">
      <w:pPr>
        <w:rPr>
          <w:rFonts w:cstheme="minorHAnsi"/>
        </w:rPr>
      </w:pPr>
    </w:p>
    <w:p w14:paraId="09CF3880" w14:textId="6DB7387A" w:rsidR="00A13AE5" w:rsidRDefault="00A13AE5">
      <w:pPr>
        <w:rPr>
          <w:rFonts w:cstheme="minorHAnsi"/>
        </w:rPr>
      </w:pPr>
    </w:p>
    <w:p w14:paraId="28FE8015" w14:textId="46845E80" w:rsidR="00A13AE5" w:rsidRDefault="00A13AE5">
      <w:pPr>
        <w:rPr>
          <w:rFonts w:cstheme="minorHAnsi"/>
        </w:rPr>
      </w:pPr>
    </w:p>
    <w:p w14:paraId="5F2A292B" w14:textId="6F7A3A33" w:rsidR="00A13AE5" w:rsidRDefault="00A13AE5">
      <w:pPr>
        <w:rPr>
          <w:rFonts w:cstheme="minorHAnsi"/>
        </w:rPr>
      </w:pPr>
    </w:p>
    <w:p w14:paraId="3F179FBA" w14:textId="08577D50" w:rsidR="00A13AE5" w:rsidRDefault="00A13AE5">
      <w:pPr>
        <w:rPr>
          <w:rFonts w:cstheme="minorHAnsi"/>
        </w:rPr>
      </w:pPr>
    </w:p>
    <w:p w14:paraId="1F6F1844" w14:textId="0402B702" w:rsidR="00A13AE5" w:rsidRDefault="00A13AE5">
      <w:pPr>
        <w:rPr>
          <w:rFonts w:cstheme="minorHAnsi"/>
        </w:rPr>
      </w:pPr>
    </w:p>
    <w:p w14:paraId="77337415" w14:textId="0BF937DA" w:rsidR="00A13AE5" w:rsidRDefault="00A13AE5">
      <w:pPr>
        <w:rPr>
          <w:rFonts w:cstheme="minorHAnsi"/>
        </w:rPr>
      </w:pPr>
    </w:p>
    <w:p w14:paraId="72E06129" w14:textId="24FC603A" w:rsidR="00A13AE5" w:rsidRDefault="00A13AE5">
      <w:pPr>
        <w:rPr>
          <w:rFonts w:cstheme="minorHAnsi"/>
        </w:rPr>
      </w:pPr>
    </w:p>
    <w:p w14:paraId="01044E24" w14:textId="1D366FFB" w:rsidR="00A13AE5" w:rsidRDefault="00A13AE5">
      <w:pPr>
        <w:rPr>
          <w:rFonts w:cstheme="minorHAnsi"/>
        </w:rPr>
      </w:pPr>
    </w:p>
    <w:p w14:paraId="4C72ACCD" w14:textId="665C17CA" w:rsidR="00A13AE5" w:rsidRDefault="00A13AE5">
      <w:pPr>
        <w:rPr>
          <w:rFonts w:cstheme="minorHAnsi"/>
        </w:rPr>
      </w:pPr>
    </w:p>
    <w:p w14:paraId="76098456" w14:textId="6626BCEB" w:rsidR="00A13AE5" w:rsidRDefault="00A13AE5">
      <w:pPr>
        <w:rPr>
          <w:rFonts w:cstheme="minorHAnsi"/>
        </w:rPr>
      </w:pPr>
    </w:p>
    <w:p w14:paraId="772A6FF0" w14:textId="321551F5" w:rsidR="00A13AE5" w:rsidRDefault="00A13AE5">
      <w:pPr>
        <w:rPr>
          <w:rFonts w:cstheme="minorHAnsi"/>
        </w:rPr>
      </w:pPr>
    </w:p>
    <w:p w14:paraId="76F602EF" w14:textId="56DB9058" w:rsidR="00A13AE5" w:rsidRDefault="00A13AE5">
      <w:pPr>
        <w:rPr>
          <w:rFonts w:cstheme="minorHAnsi"/>
        </w:rPr>
      </w:pPr>
    </w:p>
    <w:p w14:paraId="403D742F" w14:textId="77777777" w:rsidR="00A13AE5" w:rsidRPr="00C558DD" w:rsidRDefault="00A13AE5">
      <w:pPr>
        <w:rPr>
          <w:rFonts w:cstheme="minorHAnsi"/>
        </w:rPr>
      </w:pPr>
    </w:p>
    <w:p w14:paraId="4EE5C5D3" w14:textId="619117DF" w:rsidR="00D00AEE" w:rsidRDefault="00E02A9C" w:rsidP="00930FE4">
      <w:pPr>
        <w:jc w:val="center"/>
        <w:rPr>
          <w:rFonts w:ascii="Bradley Hand ITC" w:hAnsi="Bradley Hand ITC"/>
          <w:b/>
          <w:sz w:val="40"/>
          <w:u w:val="single"/>
        </w:rPr>
      </w:pPr>
      <w:r w:rsidRPr="002E6662">
        <w:rPr>
          <w:rFonts w:ascii="Bradley Hand ITC" w:hAnsi="Bradley Hand ITC"/>
          <w:b/>
          <w:sz w:val="40"/>
          <w:u w:val="single"/>
        </w:rPr>
        <w:t>Reference list</w:t>
      </w:r>
    </w:p>
    <w:p w14:paraId="6D86F7B4" w14:textId="17D07E8B" w:rsidR="00083C7B" w:rsidRDefault="00083C7B" w:rsidP="000C66FA">
      <w:r>
        <w:t>ACCAC</w:t>
      </w:r>
      <w:r w:rsidRPr="00406A72">
        <w:t xml:space="preserve">. (2003) Developing the Curriculum </w:t>
      </w:r>
      <w:proofErr w:type="spellStart"/>
      <w:r w:rsidRPr="00406A72">
        <w:t>Cymreig</w:t>
      </w:r>
      <w:proofErr w:type="spellEnd"/>
      <w:r w:rsidRPr="00406A72">
        <w:t>, Cardiff: QCAA</w:t>
      </w:r>
      <w:r>
        <w:t>W</w:t>
      </w:r>
      <w:r w:rsidRPr="00406A72">
        <w:t>.</w:t>
      </w:r>
      <w:r>
        <w:t xml:space="preserve"> Available at: </w:t>
      </w:r>
      <w:hyperlink r:id="rId10" w:history="1">
        <w:r w:rsidRPr="008B177D">
          <w:rPr>
            <w:rStyle w:val="Hyperlink"/>
          </w:rPr>
          <w:t>http://learning.gov.wales/docs/learningwales/publications/130424-developing-the-curriculum-cymreig-en.pdf</w:t>
        </w:r>
      </w:hyperlink>
      <w:r>
        <w:t xml:space="preserve"> (Accessed: 2</w:t>
      </w:r>
      <w:r w:rsidRPr="00C530DF">
        <w:rPr>
          <w:vertAlign w:val="superscript"/>
        </w:rPr>
        <w:t>nd</w:t>
      </w:r>
      <w:r>
        <w:t xml:space="preserve"> November 2018)</w:t>
      </w:r>
      <w:r w:rsidRPr="00406A72">
        <w:t xml:space="preserve">  </w:t>
      </w:r>
    </w:p>
    <w:p w14:paraId="22FE8350" w14:textId="7028EFDD" w:rsidR="00D00AEE" w:rsidRDefault="00D00AEE" w:rsidP="000C66FA">
      <w:r>
        <w:t xml:space="preserve">Allen, </w:t>
      </w:r>
      <w:r w:rsidR="00FA5D74">
        <w:t>K.</w:t>
      </w:r>
      <w:r w:rsidR="00C10540">
        <w:t xml:space="preserve"> </w:t>
      </w:r>
      <w:proofErr w:type="spellStart"/>
      <w:r w:rsidR="00C10540">
        <w:t>Nieter</w:t>
      </w:r>
      <w:proofErr w:type="spellEnd"/>
      <w:r w:rsidR="00C10540">
        <w:t xml:space="preserve">, V. and </w:t>
      </w:r>
      <w:proofErr w:type="spellStart"/>
      <w:r w:rsidR="00F26DA5">
        <w:t>Sheve</w:t>
      </w:r>
      <w:proofErr w:type="spellEnd"/>
      <w:r w:rsidR="00F26DA5">
        <w:t xml:space="preserve">, J. (2010) </w:t>
      </w:r>
      <w:r w:rsidR="00584528">
        <w:rPr>
          <w:i/>
        </w:rPr>
        <w:t xml:space="preserve">Understanding Learning Styles: Making a Difference for Diverse Learners. </w:t>
      </w:r>
      <w:r w:rsidR="001A3775">
        <w:t xml:space="preserve">California: Shell Education. </w:t>
      </w:r>
    </w:p>
    <w:p w14:paraId="7779B593" w14:textId="6A628ACB" w:rsidR="001F30CF" w:rsidRPr="00645D65" w:rsidRDefault="001F30CF" w:rsidP="000C66FA">
      <w:r>
        <w:t>Andrews, G. and Taylor, R. (</w:t>
      </w:r>
      <w:r w:rsidR="001A7BDE">
        <w:t xml:space="preserve">2012) </w:t>
      </w:r>
      <w:r w:rsidR="001A7BDE">
        <w:rPr>
          <w:i/>
        </w:rPr>
        <w:t>The Arts in the Primary School</w:t>
      </w:r>
      <w:r w:rsidR="00645D65">
        <w:rPr>
          <w:i/>
        </w:rPr>
        <w:t xml:space="preserve">. </w:t>
      </w:r>
      <w:r w:rsidR="00645D65">
        <w:t xml:space="preserve">Oxford: Routledge. </w:t>
      </w:r>
    </w:p>
    <w:p w14:paraId="3CC709BA" w14:textId="5FE30332" w:rsidR="000C0435" w:rsidRPr="00657BB9" w:rsidRDefault="000C0435" w:rsidP="000C66FA">
      <w:r>
        <w:t xml:space="preserve">Armstrong, </w:t>
      </w:r>
      <w:r w:rsidR="00657BB9">
        <w:t xml:space="preserve">T. (1999) </w:t>
      </w:r>
      <w:r w:rsidR="00657BB9">
        <w:rPr>
          <w:i/>
        </w:rPr>
        <w:t xml:space="preserve">ADD/ADHD Alternatives </w:t>
      </w:r>
      <w:proofErr w:type="gramStart"/>
      <w:r w:rsidR="00657BB9">
        <w:rPr>
          <w:i/>
        </w:rPr>
        <w:t>In</w:t>
      </w:r>
      <w:proofErr w:type="gramEnd"/>
      <w:r w:rsidR="00657BB9">
        <w:rPr>
          <w:i/>
        </w:rPr>
        <w:t xml:space="preserve"> The Classroom. </w:t>
      </w:r>
      <w:r w:rsidR="00971EC5">
        <w:t>Washington:</w:t>
      </w:r>
      <w:r w:rsidR="00DA2C16">
        <w:t xml:space="preserve"> ASCD</w:t>
      </w:r>
    </w:p>
    <w:p w14:paraId="3E71720C" w14:textId="31B2A83A" w:rsidR="000C66FA" w:rsidRDefault="000C66FA" w:rsidP="000C66FA">
      <w:proofErr w:type="spellStart"/>
      <w:r>
        <w:t>Aronica</w:t>
      </w:r>
      <w:proofErr w:type="spellEnd"/>
      <w:r>
        <w:t xml:space="preserve">, L. and Robinson, K. (2015) </w:t>
      </w:r>
      <w:r>
        <w:rPr>
          <w:i/>
        </w:rPr>
        <w:t xml:space="preserve">Creative Schools: Revolutionizing Education from the Ground Up. </w:t>
      </w:r>
      <w:r>
        <w:t xml:space="preserve">London: Allen Lane. </w:t>
      </w:r>
    </w:p>
    <w:p w14:paraId="2DEC8187" w14:textId="3D419F42" w:rsidR="006468B5" w:rsidRDefault="006468B5" w:rsidP="000C66FA">
      <w:r>
        <w:t>Arts Council for Wales (</w:t>
      </w:r>
      <w:r w:rsidR="001C6D45">
        <w:t>date unknown)</w:t>
      </w:r>
      <w:r w:rsidR="003117CB">
        <w:t xml:space="preserve"> </w:t>
      </w:r>
      <w:r w:rsidR="005C5AFF">
        <w:rPr>
          <w:i/>
        </w:rPr>
        <w:t xml:space="preserve">Creative learning through the arts- an action plan for Wales. </w:t>
      </w:r>
      <w:r w:rsidR="00E97805">
        <w:t xml:space="preserve">Welsh Government. Available at: </w:t>
      </w:r>
      <w:hyperlink r:id="rId11" w:history="1">
        <w:r w:rsidR="00E97805" w:rsidRPr="00027C20">
          <w:rPr>
            <w:rStyle w:val="Hyperlink"/>
          </w:rPr>
          <w:t>https://beta.gov.wales/sites/default/files/publications/2018-02/creative-learning-through-the-arts-an-action-plan-for-wales-2015-2020.pdf</w:t>
        </w:r>
      </w:hyperlink>
      <w:r w:rsidR="00E97805">
        <w:t xml:space="preserve"> (Accessed: </w:t>
      </w:r>
      <w:r w:rsidR="00B6118D">
        <w:t>11th November 2018)</w:t>
      </w:r>
    </w:p>
    <w:p w14:paraId="1987744E" w14:textId="63313679" w:rsidR="00C80778" w:rsidRPr="009C76C8" w:rsidRDefault="00C80778" w:rsidP="000C66FA">
      <w:proofErr w:type="spellStart"/>
      <w:r>
        <w:t>Calouste</w:t>
      </w:r>
      <w:proofErr w:type="spellEnd"/>
      <w:r>
        <w:t xml:space="preserve"> </w:t>
      </w:r>
      <w:proofErr w:type="spellStart"/>
      <w:r>
        <w:t>Gulbenkian</w:t>
      </w:r>
      <w:proofErr w:type="spellEnd"/>
      <w:r>
        <w:t xml:space="preserve"> Foundation (1982) </w:t>
      </w:r>
      <w:r w:rsidR="009C76C8">
        <w:rPr>
          <w:i/>
        </w:rPr>
        <w:t xml:space="preserve">The Arts in Schools: Principles, Practice and Provision. </w:t>
      </w:r>
      <w:r w:rsidR="00470A7E">
        <w:t xml:space="preserve">London: </w:t>
      </w:r>
      <w:proofErr w:type="spellStart"/>
      <w:r w:rsidR="000D5640">
        <w:t>Calouste</w:t>
      </w:r>
      <w:proofErr w:type="spellEnd"/>
      <w:r w:rsidR="000D5640">
        <w:t xml:space="preserve"> </w:t>
      </w:r>
      <w:proofErr w:type="spellStart"/>
      <w:r w:rsidR="000D5640">
        <w:t>Gulbenkian</w:t>
      </w:r>
      <w:proofErr w:type="spellEnd"/>
      <w:r w:rsidR="000D5640">
        <w:t xml:space="preserve"> Foundation.</w:t>
      </w:r>
    </w:p>
    <w:p w14:paraId="38E5DDC2" w14:textId="6A11062A" w:rsidR="00601AD3" w:rsidRPr="00430765" w:rsidRDefault="00601AD3" w:rsidP="000C66FA">
      <w:r>
        <w:t xml:space="preserve">Costa, </w:t>
      </w:r>
      <w:r w:rsidR="00FB256F">
        <w:t xml:space="preserve">A. and </w:t>
      </w:r>
      <w:proofErr w:type="spellStart"/>
      <w:r w:rsidR="00FB256F">
        <w:t>Kallick</w:t>
      </w:r>
      <w:proofErr w:type="spellEnd"/>
      <w:r w:rsidR="00FB256F">
        <w:t>, B. (</w:t>
      </w:r>
      <w:r w:rsidR="00430765">
        <w:t xml:space="preserve">date unknown) </w:t>
      </w:r>
      <w:r w:rsidR="00430765">
        <w:rPr>
          <w:i/>
        </w:rPr>
        <w:t xml:space="preserve">Habits of Mind. </w:t>
      </w:r>
      <w:r w:rsidR="00F03092">
        <w:t xml:space="preserve">Available at: </w:t>
      </w:r>
      <w:hyperlink r:id="rId12" w:history="1">
        <w:r w:rsidR="00F03092" w:rsidRPr="008B177D">
          <w:rPr>
            <w:rStyle w:val="Hyperlink"/>
          </w:rPr>
          <w:t>http://www.habitsofmindinstitute.org/wp-content/uploads/2015/08/Habits-of-Mind-w-icons-and-eduplanet.pdf</w:t>
        </w:r>
      </w:hyperlink>
      <w:r w:rsidR="00F03092">
        <w:t xml:space="preserve"> (Accessed: 4</w:t>
      </w:r>
      <w:r w:rsidR="00F03092" w:rsidRPr="00F03092">
        <w:rPr>
          <w:vertAlign w:val="superscript"/>
        </w:rPr>
        <w:t>th</w:t>
      </w:r>
      <w:r w:rsidR="00F03092">
        <w:t xml:space="preserve"> November 2018)</w:t>
      </w:r>
    </w:p>
    <w:p w14:paraId="4238F7C9" w14:textId="28E9FBA6" w:rsidR="002E6662" w:rsidRDefault="00721070" w:rsidP="00721070">
      <w:r>
        <w:t>Craft</w:t>
      </w:r>
      <w:r w:rsidR="00280A5E">
        <w:t>, C. (2000)</w:t>
      </w:r>
      <w:r w:rsidR="00B030B1">
        <w:t xml:space="preserve"> </w:t>
      </w:r>
      <w:r w:rsidR="00B030B1">
        <w:rPr>
          <w:i/>
        </w:rPr>
        <w:t>Creativity across the Primary Curriculum</w:t>
      </w:r>
      <w:r w:rsidR="00AE2F55">
        <w:rPr>
          <w:i/>
        </w:rPr>
        <w:t>: Framing and Developing Practice.</w:t>
      </w:r>
      <w:r w:rsidR="008018B7">
        <w:rPr>
          <w:i/>
        </w:rPr>
        <w:t xml:space="preserve"> </w:t>
      </w:r>
      <w:r w:rsidR="00B0774E">
        <w:t>Oxford:</w:t>
      </w:r>
      <w:r w:rsidR="008018B7">
        <w:t xml:space="preserve"> Routledge.</w:t>
      </w:r>
    </w:p>
    <w:p w14:paraId="3367EAA5" w14:textId="0A6F514B" w:rsidR="00A2708D" w:rsidRDefault="00A2708D" w:rsidP="00721070">
      <w:r>
        <w:t>Creativity Culture Education (</w:t>
      </w:r>
      <w:r w:rsidR="002A599C">
        <w:t xml:space="preserve">1999) </w:t>
      </w:r>
      <w:r w:rsidR="00F074E5">
        <w:rPr>
          <w:i/>
        </w:rPr>
        <w:t xml:space="preserve">All Our Futures: Creativity Culture and Education: </w:t>
      </w:r>
      <w:r w:rsidR="008B5D8D">
        <w:rPr>
          <w:i/>
        </w:rPr>
        <w:t xml:space="preserve">Summary of Key Findings. </w:t>
      </w:r>
      <w:r w:rsidR="008B5D8D">
        <w:t xml:space="preserve">Available at: </w:t>
      </w:r>
      <w:hyperlink r:id="rId13" w:history="1">
        <w:r w:rsidR="008B5D8D" w:rsidRPr="008B177D">
          <w:rPr>
            <w:rStyle w:val="Hyperlink"/>
          </w:rPr>
          <w:t>https://www.creativitycultureeducation.org/publication/all-our-futures-creativity-culture-and-education/</w:t>
        </w:r>
      </w:hyperlink>
      <w:r w:rsidR="008B5D8D">
        <w:t xml:space="preserve"> (Accessed: 4</w:t>
      </w:r>
      <w:r w:rsidR="008B5D8D" w:rsidRPr="008B5D8D">
        <w:rPr>
          <w:vertAlign w:val="superscript"/>
        </w:rPr>
        <w:t>th</w:t>
      </w:r>
      <w:r w:rsidR="008B5D8D">
        <w:t xml:space="preserve"> November 2018)</w:t>
      </w:r>
    </w:p>
    <w:p w14:paraId="6B8E7180" w14:textId="7359B43C" w:rsidR="00D55DC3" w:rsidRPr="003D095F" w:rsidRDefault="00D55DC3" w:rsidP="00721070">
      <w:r>
        <w:t>David L. (</w:t>
      </w:r>
      <w:r w:rsidR="00DD24DD">
        <w:t>2</w:t>
      </w:r>
      <w:r w:rsidR="004C34E6">
        <w:t>4</w:t>
      </w:r>
      <w:r w:rsidR="004C34E6" w:rsidRPr="004C34E6">
        <w:rPr>
          <w:vertAlign w:val="superscript"/>
        </w:rPr>
        <w:t>th</w:t>
      </w:r>
      <w:r w:rsidR="00DD24DD">
        <w:t xml:space="preserve"> July</w:t>
      </w:r>
      <w:r w:rsidR="006E7B49">
        <w:t xml:space="preserve"> 2014) “Bloom’s Taxonomy (Bloom)”</w:t>
      </w:r>
      <w:r w:rsidR="003D095F">
        <w:t xml:space="preserve"> in </w:t>
      </w:r>
      <w:r w:rsidR="003D095F">
        <w:rPr>
          <w:i/>
        </w:rPr>
        <w:t xml:space="preserve">Learning Theories. </w:t>
      </w:r>
      <w:r w:rsidR="003D095F">
        <w:t xml:space="preserve">Available at: </w:t>
      </w:r>
      <w:hyperlink r:id="rId14" w:history="1">
        <w:r w:rsidR="003D095F" w:rsidRPr="00027C20">
          <w:rPr>
            <w:rStyle w:val="Hyperlink"/>
          </w:rPr>
          <w:t>https://www.learning-theories.com/blooms-taxonomy-bloom.html</w:t>
        </w:r>
      </w:hyperlink>
      <w:r w:rsidR="003D095F">
        <w:t xml:space="preserve"> (Accessed 11th November 2018)</w:t>
      </w:r>
    </w:p>
    <w:p w14:paraId="73002439" w14:textId="1E53405D" w:rsidR="00417198" w:rsidRDefault="000B18F1">
      <w:r>
        <w:t>David, L</w:t>
      </w:r>
      <w:r w:rsidR="00844235">
        <w:t xml:space="preserve">. (June 2015) “Cognitivism,” in </w:t>
      </w:r>
      <w:r w:rsidR="00844235">
        <w:rPr>
          <w:i/>
        </w:rPr>
        <w:t xml:space="preserve">Learning Theories. </w:t>
      </w:r>
      <w:r w:rsidR="000E72A5">
        <w:t xml:space="preserve">Available at: </w:t>
      </w:r>
      <w:hyperlink r:id="rId15" w:history="1">
        <w:r w:rsidR="009D0161" w:rsidRPr="00E573EA">
          <w:rPr>
            <w:rStyle w:val="Hyperlink"/>
          </w:rPr>
          <w:t>https://www.learning-theories.com/constructivism.html</w:t>
        </w:r>
      </w:hyperlink>
      <w:r w:rsidR="009D0161">
        <w:t xml:space="preserve"> (Accessed: </w:t>
      </w:r>
      <w:r w:rsidR="00C530DF">
        <w:t>21</w:t>
      </w:r>
      <w:r w:rsidR="00C530DF" w:rsidRPr="00C530DF">
        <w:rPr>
          <w:vertAlign w:val="superscript"/>
        </w:rPr>
        <w:t>st</w:t>
      </w:r>
      <w:r w:rsidR="00C530DF">
        <w:t xml:space="preserve"> October </w:t>
      </w:r>
      <w:r w:rsidR="009D0161">
        <w:t>2018)</w:t>
      </w:r>
    </w:p>
    <w:p w14:paraId="7D5A4EAF" w14:textId="474C6305" w:rsidR="00106595" w:rsidRDefault="007C56D6">
      <w:r>
        <w:t>David, L. (</w:t>
      </w:r>
      <w:r w:rsidR="004C34E6">
        <w:t>23</w:t>
      </w:r>
      <w:r w:rsidR="004C34E6" w:rsidRPr="004C34E6">
        <w:rPr>
          <w:vertAlign w:val="superscript"/>
        </w:rPr>
        <w:t>rd</w:t>
      </w:r>
      <w:r w:rsidR="004C34E6">
        <w:t xml:space="preserve"> </w:t>
      </w:r>
      <w:r w:rsidR="003E0F74">
        <w:t>July 2014) “Social Development Theory (Vygotsky)”</w:t>
      </w:r>
      <w:r w:rsidR="00970DB8">
        <w:t xml:space="preserve"> in </w:t>
      </w:r>
      <w:r w:rsidR="00970DB8">
        <w:rPr>
          <w:i/>
        </w:rPr>
        <w:t xml:space="preserve">Learning Theories. </w:t>
      </w:r>
      <w:r w:rsidR="00970DB8">
        <w:t xml:space="preserve">Available at: </w:t>
      </w:r>
      <w:hyperlink r:id="rId16" w:history="1">
        <w:r w:rsidR="00970DB8" w:rsidRPr="00E573EA">
          <w:rPr>
            <w:rStyle w:val="Hyperlink"/>
          </w:rPr>
          <w:t>https://www.learning-theories.com/vygotskys-social-learning-theory.html</w:t>
        </w:r>
      </w:hyperlink>
      <w:r w:rsidR="00970DB8">
        <w:t xml:space="preserve"> (Accessed</w:t>
      </w:r>
      <w:r w:rsidR="00DA36FE">
        <w:t xml:space="preserve">: </w:t>
      </w:r>
      <w:r w:rsidR="00C530DF">
        <w:t>21</w:t>
      </w:r>
      <w:r w:rsidR="00C530DF" w:rsidRPr="00C530DF">
        <w:rPr>
          <w:vertAlign w:val="superscript"/>
        </w:rPr>
        <w:t>st</w:t>
      </w:r>
      <w:r w:rsidR="00C530DF">
        <w:t xml:space="preserve"> October 20</w:t>
      </w:r>
      <w:r w:rsidR="00DA36FE">
        <w:t>18)</w:t>
      </w:r>
    </w:p>
    <w:p w14:paraId="106FC323" w14:textId="5D58646C" w:rsidR="0061454D" w:rsidRDefault="0020186F">
      <w:r w:rsidRPr="0020186F">
        <w:t xml:space="preserve">Donaldson, G. (2015) </w:t>
      </w:r>
      <w:r w:rsidRPr="00477C4D">
        <w:rPr>
          <w:i/>
        </w:rPr>
        <w:t>Successful Futures</w:t>
      </w:r>
      <w:r w:rsidRPr="0020186F">
        <w:t xml:space="preserve">. </w:t>
      </w:r>
      <w:r w:rsidR="00C729FF">
        <w:t>Crown Copyright.</w:t>
      </w:r>
      <w:r w:rsidRPr="0020186F">
        <w:t xml:space="preserve"> Available at: </w:t>
      </w:r>
      <w:hyperlink r:id="rId17" w:history="1">
        <w:r w:rsidRPr="006F4711">
          <w:rPr>
            <w:rStyle w:val="Hyperlink"/>
          </w:rPr>
          <w:t>http://gov.wales/docs/dcells/publications/150317-successful-futures-en.pdf</w:t>
        </w:r>
      </w:hyperlink>
      <w:r>
        <w:t xml:space="preserve"> </w:t>
      </w:r>
      <w:r w:rsidR="00C253D9">
        <w:t xml:space="preserve">(Accessed: </w:t>
      </w:r>
      <w:r w:rsidR="001C3EFA">
        <w:t>21</w:t>
      </w:r>
      <w:r w:rsidR="001C3EFA" w:rsidRPr="001C3EFA">
        <w:rPr>
          <w:vertAlign w:val="superscript"/>
        </w:rPr>
        <w:t>st</w:t>
      </w:r>
      <w:r w:rsidR="001C3EFA">
        <w:t xml:space="preserve"> October 2018)</w:t>
      </w:r>
    </w:p>
    <w:p w14:paraId="3ABA598D" w14:textId="71F7BDA7" w:rsidR="00BA04E0" w:rsidRDefault="00BA04E0">
      <w:r>
        <w:t xml:space="preserve">Dunn, D. (2012) </w:t>
      </w:r>
      <w:r w:rsidR="003A3F92">
        <w:rPr>
          <w:i/>
        </w:rPr>
        <w:t xml:space="preserve">How to be an outstanding primary school teacher. </w:t>
      </w:r>
      <w:r w:rsidR="001B3738">
        <w:t>London</w:t>
      </w:r>
      <w:r w:rsidR="00BA18BA">
        <w:t xml:space="preserve">: Bloomsbury. </w:t>
      </w:r>
    </w:p>
    <w:p w14:paraId="53B41B67" w14:textId="45D04E87" w:rsidR="007B0D05" w:rsidRPr="007B0D05" w:rsidRDefault="00B100DA">
      <w:r>
        <w:t>Estyn</w:t>
      </w:r>
      <w:r w:rsidR="007B0D05">
        <w:t xml:space="preserve"> (2017) </w:t>
      </w:r>
      <w:r w:rsidR="007B0D05">
        <w:rPr>
          <w:i/>
        </w:rPr>
        <w:t xml:space="preserve">Creating an innovative curriculum using the expressive arts. </w:t>
      </w:r>
      <w:r w:rsidR="007B0D05">
        <w:t xml:space="preserve">Available at: </w:t>
      </w:r>
      <w:hyperlink r:id="rId18" w:history="1">
        <w:r w:rsidR="004B4A21" w:rsidRPr="00027C20">
          <w:rPr>
            <w:rStyle w:val="Hyperlink"/>
          </w:rPr>
          <w:t>https://www.estyn.gov.wales/effective-practice/creating-innovative-curriculum-using-expressive-arts</w:t>
        </w:r>
      </w:hyperlink>
      <w:r w:rsidR="004B4A21">
        <w:t xml:space="preserve"> (Accessed: 11</w:t>
      </w:r>
      <w:r w:rsidR="004B4A21" w:rsidRPr="004B4A21">
        <w:rPr>
          <w:vertAlign w:val="superscript"/>
        </w:rPr>
        <w:t>th</w:t>
      </w:r>
      <w:r w:rsidR="004B4A21">
        <w:t xml:space="preserve"> November 2018)</w:t>
      </w:r>
    </w:p>
    <w:p w14:paraId="1FAC9B75" w14:textId="2DCCF522" w:rsidR="00E76225" w:rsidRPr="00CF764D" w:rsidRDefault="00144550">
      <w:pPr>
        <w:rPr>
          <w:rFonts w:cstheme="minorHAnsi"/>
        </w:rPr>
      </w:pPr>
      <w:r w:rsidRPr="00CF764D">
        <w:rPr>
          <w:rFonts w:cstheme="minorHAnsi"/>
        </w:rPr>
        <w:t>Great Britain. Parliament.</w:t>
      </w:r>
      <w:r w:rsidR="004F0A30" w:rsidRPr="00CF764D">
        <w:rPr>
          <w:rFonts w:cstheme="minorHAnsi"/>
        </w:rPr>
        <w:t xml:space="preserve"> House of Commons.</w:t>
      </w:r>
      <w:r w:rsidRPr="00CF764D">
        <w:rPr>
          <w:rFonts w:cstheme="minorHAnsi"/>
        </w:rPr>
        <w:t xml:space="preserve"> </w:t>
      </w:r>
      <w:r w:rsidR="00E76225" w:rsidRPr="00CF764D">
        <w:rPr>
          <w:rFonts w:cstheme="minorHAnsi"/>
        </w:rPr>
        <w:t xml:space="preserve">Education and Skills Committee </w:t>
      </w:r>
      <w:r w:rsidR="004F0A30" w:rsidRPr="00CF764D">
        <w:rPr>
          <w:rFonts w:cstheme="minorHAnsi"/>
        </w:rPr>
        <w:t>(2005)</w:t>
      </w:r>
      <w:r w:rsidR="006C7DF5" w:rsidRPr="00CF764D">
        <w:rPr>
          <w:rFonts w:cstheme="minorHAnsi"/>
        </w:rPr>
        <w:t xml:space="preserve"> </w:t>
      </w:r>
      <w:r w:rsidR="006C7DF5" w:rsidRPr="00CF764D">
        <w:rPr>
          <w:rFonts w:cstheme="minorHAnsi"/>
          <w:i/>
          <w:color w:val="000000"/>
        </w:rPr>
        <w:t>Education Outside the Classroom: Second Report of Session 2004-</w:t>
      </w:r>
      <w:proofErr w:type="gramStart"/>
      <w:r w:rsidR="006C7DF5" w:rsidRPr="00CF764D">
        <w:rPr>
          <w:rFonts w:cstheme="minorHAnsi"/>
          <w:i/>
          <w:color w:val="000000"/>
        </w:rPr>
        <w:t>05 :</w:t>
      </w:r>
      <w:proofErr w:type="gramEnd"/>
      <w:r w:rsidR="006C7DF5" w:rsidRPr="00CF764D">
        <w:rPr>
          <w:rFonts w:cstheme="minorHAnsi"/>
          <w:i/>
          <w:color w:val="000000"/>
        </w:rPr>
        <w:t xml:space="preserve"> Report, Together with Formal Minutes, Oral and Written Evidence. </w:t>
      </w:r>
      <w:r w:rsidR="009D1270" w:rsidRPr="00CF764D">
        <w:rPr>
          <w:rFonts w:cstheme="minorHAnsi"/>
          <w:color w:val="000000"/>
        </w:rPr>
        <w:t xml:space="preserve">London: </w:t>
      </w:r>
      <w:r w:rsidR="006D7D52" w:rsidRPr="00CF764D">
        <w:rPr>
          <w:rFonts w:cstheme="minorHAnsi"/>
          <w:color w:val="000000"/>
        </w:rPr>
        <w:t xml:space="preserve">The Stationary Office. </w:t>
      </w:r>
    </w:p>
    <w:p w14:paraId="57714CD5" w14:textId="26192A60" w:rsidR="008B68D4" w:rsidRDefault="006B3462" w:rsidP="008B68D4">
      <w:r>
        <w:t xml:space="preserve">Joubert, </w:t>
      </w:r>
      <w:r w:rsidR="00BD1BA5">
        <w:t xml:space="preserve">M. (2001) </w:t>
      </w:r>
      <w:r w:rsidR="000F2D75">
        <w:t>‘</w:t>
      </w:r>
      <w:r w:rsidR="009361FC">
        <w:t>The Art of Creative Teaching: NACCE</w:t>
      </w:r>
      <w:r w:rsidR="000F2D75">
        <w:t xml:space="preserve"> and Beyond’ in</w:t>
      </w:r>
      <w:r w:rsidR="002D4E5F">
        <w:t xml:space="preserve"> </w:t>
      </w:r>
      <w:r w:rsidR="00C05525" w:rsidRPr="00C05525">
        <w:t>Craft</w:t>
      </w:r>
      <w:r w:rsidR="00C05525">
        <w:t>, A</w:t>
      </w:r>
      <w:r w:rsidR="008B7627">
        <w:t xml:space="preserve">. Jeffrey, B and </w:t>
      </w:r>
      <w:proofErr w:type="spellStart"/>
      <w:r w:rsidR="008B7627">
        <w:t>Leibling</w:t>
      </w:r>
      <w:proofErr w:type="spellEnd"/>
      <w:r w:rsidR="008B7627">
        <w:t>, M</w:t>
      </w:r>
      <w:r w:rsidR="00C901DC">
        <w:t xml:space="preserve">. </w:t>
      </w:r>
      <w:r w:rsidR="000F2D75">
        <w:t>(</w:t>
      </w:r>
      <w:r w:rsidR="00C901DC">
        <w:t>E</w:t>
      </w:r>
      <w:r w:rsidR="000F2D75">
        <w:t>d.)</w:t>
      </w:r>
      <w:r w:rsidR="008B68D4">
        <w:t xml:space="preserve"> </w:t>
      </w:r>
      <w:r w:rsidR="006D40BA">
        <w:rPr>
          <w:i/>
        </w:rPr>
        <w:t xml:space="preserve">Creativity in Education. </w:t>
      </w:r>
      <w:r w:rsidR="007A2C8B">
        <w:t>London: Continuum</w:t>
      </w:r>
      <w:r w:rsidR="006B3EFB">
        <w:t xml:space="preserve">. </w:t>
      </w:r>
    </w:p>
    <w:p w14:paraId="02733791" w14:textId="3016C0A0" w:rsidR="006E31E3" w:rsidRDefault="006E31E3" w:rsidP="008B68D4">
      <w:pPr>
        <w:rPr>
          <w:rFonts w:cstheme="minorHAnsi"/>
        </w:rPr>
      </w:pPr>
      <w:r>
        <w:rPr>
          <w:rFonts w:cstheme="minorHAnsi"/>
        </w:rPr>
        <w:t>McLeod</w:t>
      </w:r>
      <w:r w:rsidR="00783826">
        <w:rPr>
          <w:rFonts w:cstheme="minorHAnsi"/>
        </w:rPr>
        <w:t>, S.A</w:t>
      </w:r>
      <w:r w:rsidR="00460190">
        <w:rPr>
          <w:rFonts w:cstheme="minorHAnsi"/>
        </w:rPr>
        <w:t>.</w:t>
      </w:r>
      <w:r w:rsidR="00ED0E81">
        <w:rPr>
          <w:rFonts w:cstheme="minorHAnsi"/>
        </w:rPr>
        <w:t xml:space="preserve"> (August 8</w:t>
      </w:r>
      <w:r w:rsidR="00ED0E81" w:rsidRPr="00ED0E81">
        <w:rPr>
          <w:rFonts w:cstheme="minorHAnsi"/>
          <w:vertAlign w:val="superscript"/>
        </w:rPr>
        <w:t>th</w:t>
      </w:r>
      <w:r w:rsidR="00CE1C55">
        <w:rPr>
          <w:rFonts w:cstheme="minorHAnsi"/>
        </w:rPr>
        <w:t>, 2018</w:t>
      </w:r>
      <w:r w:rsidR="00ED0E81">
        <w:rPr>
          <w:rFonts w:cstheme="minorHAnsi"/>
        </w:rPr>
        <w:t xml:space="preserve">) </w:t>
      </w:r>
      <w:r w:rsidR="00A650D6">
        <w:rPr>
          <w:rFonts w:cstheme="minorHAnsi"/>
          <w:i/>
        </w:rPr>
        <w:t xml:space="preserve">Lev Vygotsky. </w:t>
      </w:r>
      <w:r w:rsidR="00CE1C55">
        <w:rPr>
          <w:rFonts w:cstheme="minorHAnsi"/>
        </w:rPr>
        <w:t xml:space="preserve">Available at: </w:t>
      </w:r>
      <w:hyperlink r:id="rId19" w:history="1">
        <w:r w:rsidR="000C4992" w:rsidRPr="008B177D">
          <w:rPr>
            <w:rStyle w:val="Hyperlink"/>
            <w:rFonts w:cstheme="minorHAnsi"/>
          </w:rPr>
          <w:t>https://www.simplypsychology.org/vygotsky.html</w:t>
        </w:r>
      </w:hyperlink>
      <w:r w:rsidR="000C4992">
        <w:rPr>
          <w:rFonts w:cstheme="minorHAnsi"/>
        </w:rPr>
        <w:t xml:space="preserve"> (Accessed: 3</w:t>
      </w:r>
      <w:r w:rsidR="000C4992" w:rsidRPr="000C4992">
        <w:rPr>
          <w:rFonts w:cstheme="minorHAnsi"/>
          <w:vertAlign w:val="superscript"/>
        </w:rPr>
        <w:t>rd</w:t>
      </w:r>
      <w:r w:rsidR="000C4992">
        <w:rPr>
          <w:rFonts w:cstheme="minorHAnsi"/>
        </w:rPr>
        <w:t xml:space="preserve"> November 2018)</w:t>
      </w:r>
      <w:r w:rsidR="001C3EFA">
        <w:rPr>
          <w:rFonts w:cstheme="minorHAnsi"/>
        </w:rPr>
        <w:t xml:space="preserve"> (Accessed: 3</w:t>
      </w:r>
      <w:r w:rsidR="001C3EFA" w:rsidRPr="001C3EFA">
        <w:rPr>
          <w:rFonts w:cstheme="minorHAnsi"/>
          <w:vertAlign w:val="superscript"/>
        </w:rPr>
        <w:t>rd</w:t>
      </w:r>
      <w:r w:rsidR="001C3EFA">
        <w:rPr>
          <w:rFonts w:cstheme="minorHAnsi"/>
        </w:rPr>
        <w:t xml:space="preserve"> November 2018)</w:t>
      </w:r>
    </w:p>
    <w:p w14:paraId="4CC207A2" w14:textId="7FD119ED" w:rsidR="00460190" w:rsidRPr="002D24E4" w:rsidRDefault="00460190" w:rsidP="008B68D4">
      <w:r>
        <w:t xml:space="preserve">McLeod, S.A. (2008) </w:t>
      </w:r>
      <w:r w:rsidR="002D24E4">
        <w:rPr>
          <w:i/>
        </w:rPr>
        <w:t xml:space="preserve">Bruner. </w:t>
      </w:r>
      <w:r w:rsidR="002D24E4">
        <w:t xml:space="preserve">Available at: </w:t>
      </w:r>
      <w:hyperlink r:id="rId20" w:history="1">
        <w:r w:rsidR="002D24E4" w:rsidRPr="008B177D">
          <w:rPr>
            <w:rStyle w:val="Hyperlink"/>
          </w:rPr>
          <w:t>https://www.simplypsychology.org/bruner.html</w:t>
        </w:r>
      </w:hyperlink>
      <w:r w:rsidR="002D24E4">
        <w:t xml:space="preserve"> (Accessed: 3</w:t>
      </w:r>
      <w:r w:rsidR="002D24E4" w:rsidRPr="002D24E4">
        <w:rPr>
          <w:vertAlign w:val="superscript"/>
        </w:rPr>
        <w:t>rd</w:t>
      </w:r>
      <w:r w:rsidR="002D24E4">
        <w:t xml:space="preserve"> November 2018)</w:t>
      </w:r>
    </w:p>
    <w:p w14:paraId="23724E72" w14:textId="51C381BA" w:rsidR="0006306D" w:rsidRPr="004E4764" w:rsidRDefault="004E4764" w:rsidP="008B68D4">
      <w:pPr>
        <w:rPr>
          <w:rFonts w:cstheme="minorHAnsi"/>
        </w:rPr>
      </w:pPr>
      <w:r w:rsidRPr="004E4764">
        <w:rPr>
          <w:rFonts w:cstheme="minorHAnsi"/>
        </w:rPr>
        <w:t xml:space="preserve">National Advisory Committee on Creative and Cultural Education. (1999). </w:t>
      </w:r>
      <w:r w:rsidRPr="004E4764">
        <w:rPr>
          <w:rStyle w:val="Emphasis"/>
          <w:rFonts w:cstheme="minorHAnsi"/>
        </w:rPr>
        <w:t>All Our Futures: Creativity, Culture and Education</w:t>
      </w:r>
      <w:r w:rsidRPr="004E4764">
        <w:rPr>
          <w:rFonts w:cstheme="minorHAnsi"/>
        </w:rPr>
        <w:t>. London: DFEE</w:t>
      </w:r>
    </w:p>
    <w:p w14:paraId="5BAC286C" w14:textId="3B22B43F" w:rsidR="00406A72" w:rsidRDefault="00B35EBF" w:rsidP="008B68D4">
      <w:r>
        <w:t xml:space="preserve">National </w:t>
      </w:r>
      <w:r w:rsidR="004B4A21">
        <w:t>Gallery</w:t>
      </w:r>
      <w:r w:rsidR="00AD5B21">
        <w:t xml:space="preserve"> (</w:t>
      </w:r>
      <w:r w:rsidR="00032B38">
        <w:t>date unknown</w:t>
      </w:r>
      <w:r w:rsidR="00AD5B21">
        <w:t xml:space="preserve">) </w:t>
      </w:r>
      <w:r w:rsidR="001C159E">
        <w:rPr>
          <w:i/>
        </w:rPr>
        <w:t xml:space="preserve">About Take One Picture. </w:t>
      </w:r>
      <w:r w:rsidR="001C159E">
        <w:t xml:space="preserve">Available at: </w:t>
      </w:r>
      <w:hyperlink r:id="rId21" w:history="1">
        <w:r w:rsidR="00B85CB5" w:rsidRPr="00E573EA">
          <w:rPr>
            <w:rStyle w:val="Hyperlink"/>
          </w:rPr>
          <w:t>https://www.nationalgallery.org.uk/learning/teachers-and-schools/take-one-picture/about</w:t>
        </w:r>
      </w:hyperlink>
      <w:r w:rsidR="00B85CB5">
        <w:t xml:space="preserve"> (Accessed: </w:t>
      </w:r>
      <w:r w:rsidR="00C530DF">
        <w:t>21</w:t>
      </w:r>
      <w:r w:rsidR="00C530DF" w:rsidRPr="00C530DF">
        <w:rPr>
          <w:vertAlign w:val="superscript"/>
        </w:rPr>
        <w:t>st</w:t>
      </w:r>
      <w:r w:rsidR="00C530DF">
        <w:t xml:space="preserve"> October </w:t>
      </w:r>
      <w:r w:rsidR="00B85CB5">
        <w:t>2018)</w:t>
      </w:r>
    </w:p>
    <w:p w14:paraId="62946BFA" w14:textId="380E7B9C" w:rsidR="00417198" w:rsidRDefault="008B68D4">
      <w:r>
        <w:t xml:space="preserve">Robinson, G. (2002) ‘Mummy’s face is green! Developing thinking and skills in art,’ </w:t>
      </w:r>
      <w:r w:rsidR="004B4A21">
        <w:t>in</w:t>
      </w:r>
      <w:r>
        <w:t xml:space="preserve"> </w:t>
      </w:r>
      <w:r w:rsidR="00787401">
        <w:t>Moyles, J. and Robinson, G.</w:t>
      </w:r>
      <w:r>
        <w:t xml:space="preserve"> (</w:t>
      </w:r>
      <w:r w:rsidR="00787401">
        <w:t>E</w:t>
      </w:r>
      <w:r>
        <w:t xml:space="preserve">d.) </w:t>
      </w:r>
      <w:r>
        <w:rPr>
          <w:i/>
        </w:rPr>
        <w:t xml:space="preserve">Beginning Teaching: Beginning Learning in Primary Education. </w:t>
      </w:r>
      <w:r>
        <w:t>Buckingham: Open University Press.</w:t>
      </w:r>
    </w:p>
    <w:p w14:paraId="1EA8D80E" w14:textId="4FAAA2AC" w:rsidR="00D06D74" w:rsidRDefault="00D06D74">
      <w:r>
        <w:t xml:space="preserve">Smith, D. (2013) </w:t>
      </w:r>
      <w:r>
        <w:rPr>
          <w:i/>
        </w:rPr>
        <w:t xml:space="preserve">An independent report for the Welsh Government into Arts in education in the Schools of Wales. </w:t>
      </w:r>
      <w:r>
        <w:t xml:space="preserve">Available at: </w:t>
      </w:r>
      <w:hyperlink r:id="rId22" w:history="1">
        <w:r w:rsidRPr="00027C20">
          <w:rPr>
            <w:rStyle w:val="Hyperlink"/>
          </w:rPr>
          <w:t>https://gov.wales/docs/dcells/publications/130920-arts-in-education-en.pdf</w:t>
        </w:r>
      </w:hyperlink>
      <w:r>
        <w:t xml:space="preserve"> (Accessed: 11</w:t>
      </w:r>
      <w:r w:rsidRPr="00BF13E9">
        <w:rPr>
          <w:vertAlign w:val="superscript"/>
        </w:rPr>
        <w:t>th</w:t>
      </w:r>
      <w:r>
        <w:t xml:space="preserve"> November 2018).</w:t>
      </w:r>
    </w:p>
    <w:p w14:paraId="7E825911" w14:textId="3863B223" w:rsidR="00FC4D04" w:rsidRDefault="00E41EDA">
      <w:pPr>
        <w:rPr>
          <w:i/>
        </w:rPr>
      </w:pPr>
      <w:r>
        <w:t xml:space="preserve">Times Educational Supplement </w:t>
      </w:r>
      <w:r w:rsidR="003602E7">
        <w:t xml:space="preserve">(2014) </w:t>
      </w:r>
      <w:r w:rsidR="0019106A">
        <w:rPr>
          <w:i/>
        </w:rPr>
        <w:t>Subject Knowledge is Prime Factor in</w:t>
      </w:r>
      <w:r w:rsidR="00DE2D9B">
        <w:rPr>
          <w:i/>
        </w:rPr>
        <w:t xml:space="preserve"> Good</w:t>
      </w:r>
      <w:r w:rsidR="0019106A">
        <w:rPr>
          <w:i/>
        </w:rPr>
        <w:t xml:space="preserve"> Teaching, Experts Say</w:t>
      </w:r>
      <w:r w:rsidR="00DE2D9B">
        <w:rPr>
          <w:i/>
        </w:rPr>
        <w:t xml:space="preserve">. </w:t>
      </w:r>
      <w:r w:rsidR="00DE2D9B">
        <w:t xml:space="preserve">Available at: </w:t>
      </w:r>
      <w:hyperlink r:id="rId23" w:history="1">
        <w:r w:rsidR="00DE2D9B" w:rsidRPr="000B53B9">
          <w:rPr>
            <w:rStyle w:val="Hyperlink"/>
          </w:rPr>
          <w:t>https://www.tes.com/news/subject-knowledge-prime-factor-good-teaching-experts-say</w:t>
        </w:r>
      </w:hyperlink>
      <w:r w:rsidR="00DE2D9B">
        <w:t xml:space="preserve"> </w:t>
      </w:r>
      <w:r w:rsidR="005C2338">
        <w:t xml:space="preserve">(Accessed: </w:t>
      </w:r>
      <w:r w:rsidR="00C530DF">
        <w:t>20</w:t>
      </w:r>
      <w:r w:rsidR="00C530DF" w:rsidRPr="00C530DF">
        <w:rPr>
          <w:vertAlign w:val="superscript"/>
        </w:rPr>
        <w:t>th</w:t>
      </w:r>
      <w:r w:rsidR="00C530DF">
        <w:t xml:space="preserve"> October </w:t>
      </w:r>
      <w:r w:rsidR="005C2338">
        <w:t xml:space="preserve">2018) </w:t>
      </w:r>
      <w:r w:rsidR="0019106A">
        <w:rPr>
          <w:i/>
        </w:rPr>
        <w:t xml:space="preserve"> </w:t>
      </w:r>
    </w:p>
    <w:p w14:paraId="63B5B597" w14:textId="194C695A" w:rsidR="005E618A" w:rsidRPr="000E530E" w:rsidRDefault="005E618A">
      <w:proofErr w:type="spellStart"/>
      <w:r>
        <w:t>Unicef</w:t>
      </w:r>
      <w:proofErr w:type="spellEnd"/>
      <w:r>
        <w:t xml:space="preserve"> (1990) </w:t>
      </w:r>
      <w:r w:rsidR="007E78BC">
        <w:rPr>
          <w:i/>
        </w:rPr>
        <w:t xml:space="preserve">The United Nations Convention of the Rights of the Child. </w:t>
      </w:r>
      <w:r w:rsidR="000E530E">
        <w:t xml:space="preserve">Available at: </w:t>
      </w:r>
      <w:hyperlink r:id="rId24" w:history="1">
        <w:r w:rsidR="000069D9" w:rsidRPr="00027C20">
          <w:rPr>
            <w:rStyle w:val="Hyperlink"/>
          </w:rPr>
          <w:t>https://downloads.unicef.org.uk/wp-content/uploads/2010/05/UNCRC_PRESS200910web.pdf?_ga=2.146807415.1554381621.1541864063-241464382.1540928685</w:t>
        </w:r>
      </w:hyperlink>
      <w:r w:rsidR="000069D9">
        <w:t xml:space="preserve"> (Accessed: 11</w:t>
      </w:r>
      <w:r w:rsidR="000069D9" w:rsidRPr="000069D9">
        <w:rPr>
          <w:vertAlign w:val="superscript"/>
        </w:rPr>
        <w:t>th</w:t>
      </w:r>
      <w:r w:rsidR="000069D9">
        <w:t xml:space="preserve"> November 2018)</w:t>
      </w:r>
    </w:p>
    <w:p w14:paraId="11727D4F" w14:textId="77777777" w:rsidR="000E7E54" w:rsidRDefault="0000736A" w:rsidP="000E7E54">
      <w:r>
        <w:t>Valerie Ganz (2013)</w:t>
      </w:r>
      <w:r w:rsidR="000C2EAF">
        <w:t xml:space="preserve"> </w:t>
      </w:r>
      <w:r w:rsidR="000C2EAF">
        <w:rPr>
          <w:i/>
        </w:rPr>
        <w:t xml:space="preserve">About Valerie Ganz. </w:t>
      </w:r>
      <w:r w:rsidR="000C2EAF">
        <w:t xml:space="preserve">Available at: </w:t>
      </w:r>
      <w:hyperlink r:id="rId25" w:history="1">
        <w:r w:rsidR="000C2EAF" w:rsidRPr="00833BA4">
          <w:rPr>
            <w:rStyle w:val="Hyperlink"/>
          </w:rPr>
          <w:t>http://valerieganz.co.uk/about/</w:t>
        </w:r>
      </w:hyperlink>
      <w:r w:rsidR="000C2EAF">
        <w:t xml:space="preserve"> </w:t>
      </w:r>
      <w:r w:rsidR="00E77E0C">
        <w:t xml:space="preserve">(Accessed: </w:t>
      </w:r>
      <w:r w:rsidR="00C530DF">
        <w:t>22</w:t>
      </w:r>
      <w:r w:rsidR="00C530DF" w:rsidRPr="00C530DF">
        <w:rPr>
          <w:vertAlign w:val="superscript"/>
        </w:rPr>
        <w:t>nd</w:t>
      </w:r>
      <w:r w:rsidR="00C530DF">
        <w:t xml:space="preserve"> October 20</w:t>
      </w:r>
      <w:r w:rsidR="00E77E0C">
        <w:t>18)</w:t>
      </w:r>
      <w:r w:rsidR="000E7E54" w:rsidRPr="000E7E54">
        <w:t xml:space="preserve"> </w:t>
      </w:r>
    </w:p>
    <w:p w14:paraId="3FC5603D" w14:textId="11E8B883" w:rsidR="000E7E54" w:rsidRDefault="000E7E54" w:rsidP="000E7E54">
      <w:r>
        <w:t xml:space="preserve">Wales: </w:t>
      </w:r>
      <w:r w:rsidRPr="000A1051">
        <w:t>Department for Children, Education, Lifelong Learning and Skills (2008</w:t>
      </w:r>
      <w:r w:rsidR="00491C52">
        <w:t>a</w:t>
      </w:r>
      <w:r w:rsidRPr="000A1051">
        <w:t xml:space="preserve">) </w:t>
      </w:r>
      <w:r w:rsidRPr="000F7A8F">
        <w:rPr>
          <w:i/>
        </w:rPr>
        <w:t>Art and Design</w:t>
      </w:r>
      <w:r w:rsidRPr="000A1051">
        <w:t>. Cardiff: Welsh Government</w:t>
      </w:r>
      <w:r>
        <w:t>.</w:t>
      </w:r>
    </w:p>
    <w:p w14:paraId="361C147A" w14:textId="034312BA" w:rsidR="00A42C57" w:rsidRDefault="007548BB" w:rsidP="000E7E54">
      <w:r>
        <w:t xml:space="preserve">Wales: </w:t>
      </w:r>
      <w:r w:rsidRPr="000A1051">
        <w:t>Department for Children, Education, Lifelong Learning and Skills (2008</w:t>
      </w:r>
      <w:r w:rsidR="00491C52">
        <w:t>b</w:t>
      </w:r>
      <w:r w:rsidRPr="000A1051">
        <w:t>)</w:t>
      </w:r>
      <w:r>
        <w:t xml:space="preserve"> </w:t>
      </w:r>
      <w:r>
        <w:rPr>
          <w:i/>
        </w:rPr>
        <w:t xml:space="preserve">History in the National Curriculum for Wales. </w:t>
      </w:r>
      <w:r>
        <w:t xml:space="preserve">Cardiff: WAG. </w:t>
      </w:r>
    </w:p>
    <w:p w14:paraId="3F322A4F" w14:textId="1954259C" w:rsidR="00A50964" w:rsidRPr="00A50964" w:rsidRDefault="00A50964" w:rsidP="000E7E54">
      <w:r>
        <w:t xml:space="preserve">Wales: </w:t>
      </w:r>
      <w:r w:rsidRPr="000A1051">
        <w:t>Department for Children, Education, Lifelong Learning and Skills</w:t>
      </w:r>
      <w:r>
        <w:t xml:space="preserve"> (20</w:t>
      </w:r>
      <w:r w:rsidR="00897098">
        <w:t>08</w:t>
      </w:r>
      <w:r w:rsidR="00896D55">
        <w:t>c</w:t>
      </w:r>
      <w:r>
        <w:t xml:space="preserve">) </w:t>
      </w:r>
      <w:r>
        <w:rPr>
          <w:i/>
        </w:rPr>
        <w:t xml:space="preserve">Music in the National Curriculum for Wales. </w:t>
      </w:r>
      <w:r>
        <w:t>Cardiff:</w:t>
      </w:r>
      <w:r w:rsidR="00897098">
        <w:t xml:space="preserve"> WAG.</w:t>
      </w:r>
    </w:p>
    <w:p w14:paraId="5EC9D83C" w14:textId="7336AA0E" w:rsidR="00781F12" w:rsidRDefault="000E7E54" w:rsidP="00781F12">
      <w:r>
        <w:t xml:space="preserve">Wales: </w:t>
      </w:r>
      <w:r w:rsidRPr="000A1051">
        <w:t>Department for Children, Education, Lifelong Learning and Skills (2008</w:t>
      </w:r>
      <w:r w:rsidR="00896D55">
        <w:t>d</w:t>
      </w:r>
      <w:r w:rsidRPr="000A1051">
        <w:t>)</w:t>
      </w:r>
      <w:r>
        <w:t xml:space="preserve"> </w:t>
      </w:r>
      <w:r w:rsidRPr="00106595">
        <w:rPr>
          <w:i/>
        </w:rPr>
        <w:t xml:space="preserve">Personal and Social </w:t>
      </w:r>
      <w:r>
        <w:rPr>
          <w:i/>
        </w:rPr>
        <w:t>Educational Framework for 7 to 19-year-olds in Wales.</w:t>
      </w:r>
      <w:r w:rsidR="00231F4D">
        <w:t xml:space="preserve"> Cardiff: </w:t>
      </w:r>
      <w:r w:rsidR="007971A5">
        <w:t>WAG</w:t>
      </w:r>
      <w:r w:rsidR="00231F4D">
        <w:t>.</w:t>
      </w:r>
      <w:r w:rsidR="00781F12" w:rsidRPr="00781F12">
        <w:t xml:space="preserve"> </w:t>
      </w:r>
    </w:p>
    <w:p w14:paraId="1209D097" w14:textId="534D47EC" w:rsidR="000E7E54" w:rsidRDefault="00781F12" w:rsidP="000E7E54">
      <w:r>
        <w:t>Wales: Department for Children, Education, Lifelong Learning and Skills (2008</w:t>
      </w:r>
      <w:r w:rsidR="00896D55">
        <w:t>e</w:t>
      </w:r>
      <w:r>
        <w:t xml:space="preserve">) </w:t>
      </w:r>
      <w:r>
        <w:rPr>
          <w:i/>
        </w:rPr>
        <w:t xml:space="preserve">Physical Education in the National </w:t>
      </w:r>
      <w:r w:rsidR="007548BB">
        <w:rPr>
          <w:i/>
        </w:rPr>
        <w:t>Curriculum</w:t>
      </w:r>
      <w:r>
        <w:rPr>
          <w:i/>
        </w:rPr>
        <w:t xml:space="preserve"> for Wales. </w:t>
      </w:r>
      <w:r>
        <w:t xml:space="preserve">Cardiff: WAG. </w:t>
      </w:r>
    </w:p>
    <w:p w14:paraId="21F9AA36" w14:textId="0C43A8FE" w:rsidR="00255099" w:rsidRPr="00541685" w:rsidRDefault="00255099" w:rsidP="000E7E54">
      <w:r>
        <w:t>Welsh Government</w:t>
      </w:r>
      <w:r w:rsidR="00541685">
        <w:t xml:space="preserve"> (2016</w:t>
      </w:r>
      <w:r w:rsidR="00491C52">
        <w:t>a</w:t>
      </w:r>
      <w:r w:rsidR="00541685">
        <w:t xml:space="preserve">) </w:t>
      </w:r>
      <w:r w:rsidR="00541685">
        <w:rPr>
          <w:i/>
        </w:rPr>
        <w:t xml:space="preserve">Digital Competence Framework. </w:t>
      </w:r>
      <w:r w:rsidR="000F17E6">
        <w:t>Cardiff: WAG.</w:t>
      </w:r>
    </w:p>
    <w:p w14:paraId="43FD7DA4" w14:textId="3B6C41FF" w:rsidR="00066935" w:rsidRPr="00B30825" w:rsidRDefault="00066935" w:rsidP="000E7E54">
      <w:r>
        <w:t>Welsh Government (2016</w:t>
      </w:r>
      <w:r w:rsidR="00491C52">
        <w:t>b</w:t>
      </w:r>
      <w:r>
        <w:t xml:space="preserve">) </w:t>
      </w:r>
      <w:r w:rsidR="00B30825">
        <w:rPr>
          <w:i/>
        </w:rPr>
        <w:t>English Programme of Stud</w:t>
      </w:r>
      <w:r w:rsidR="00DA4D4D">
        <w:rPr>
          <w:i/>
        </w:rPr>
        <w:t>y-</w:t>
      </w:r>
      <w:r w:rsidR="00B30825">
        <w:rPr>
          <w:i/>
        </w:rPr>
        <w:t xml:space="preserve">Key Stages 2-4. </w:t>
      </w:r>
      <w:r w:rsidR="00B30825">
        <w:t>Cardiff: WAG</w:t>
      </w:r>
    </w:p>
    <w:p w14:paraId="07AF6C21" w14:textId="475DCCDD" w:rsidR="0000736A" w:rsidRDefault="00004B77">
      <w:r>
        <w:t>Welsh Government</w:t>
      </w:r>
      <w:r w:rsidR="00222BD5">
        <w:t xml:space="preserve"> (2010) </w:t>
      </w:r>
      <w:r w:rsidR="00222BD5">
        <w:rPr>
          <w:i/>
        </w:rPr>
        <w:t>How to develop thinking and Assessment for Learning in the Classroom</w:t>
      </w:r>
      <w:r w:rsidR="008A3C42">
        <w:rPr>
          <w:i/>
        </w:rPr>
        <w:t xml:space="preserve">. </w:t>
      </w:r>
      <w:r w:rsidR="008A3C42">
        <w:t xml:space="preserve">Cardiff: </w:t>
      </w:r>
      <w:r w:rsidR="007971A5">
        <w:t>WAG.</w:t>
      </w:r>
    </w:p>
    <w:p w14:paraId="7489134C" w14:textId="485E585B" w:rsidR="00634B98" w:rsidRPr="00634B98" w:rsidRDefault="00634B98">
      <w:r>
        <w:t>Welsh Government (2016</w:t>
      </w:r>
      <w:r w:rsidR="006C0A35">
        <w:t>c</w:t>
      </w:r>
      <w:r>
        <w:t xml:space="preserve">) </w:t>
      </w:r>
      <w:r>
        <w:rPr>
          <w:i/>
        </w:rPr>
        <w:t xml:space="preserve">National Literacy and Numeracy Framework. </w:t>
      </w:r>
      <w:r>
        <w:t xml:space="preserve">Cardiff: WAG. </w:t>
      </w:r>
    </w:p>
    <w:p w14:paraId="466EF4B0" w14:textId="02195A8D" w:rsidR="00B67023" w:rsidRPr="00C558DD" w:rsidRDefault="00B67023">
      <w:r>
        <w:t>Welsh Government (2016</w:t>
      </w:r>
      <w:r w:rsidR="006C0A35">
        <w:t>d</w:t>
      </w:r>
      <w:r>
        <w:t xml:space="preserve">) </w:t>
      </w:r>
      <w:r w:rsidR="00C558DD">
        <w:rPr>
          <w:i/>
        </w:rPr>
        <w:t xml:space="preserve">Programme of Study for Mathematics- Key Stages 2-4. </w:t>
      </w:r>
      <w:r w:rsidR="00C558DD">
        <w:t>Cardiff: WAG.</w:t>
      </w:r>
    </w:p>
    <w:p w14:paraId="4AE539A2" w14:textId="03B6EF7A" w:rsidR="00E612A1" w:rsidRPr="00AA3657" w:rsidRDefault="00037DF7">
      <w:r>
        <w:t xml:space="preserve">Woolland, </w:t>
      </w:r>
      <w:r w:rsidR="00C05838">
        <w:t>B. (</w:t>
      </w:r>
      <w:r w:rsidR="00D301CA">
        <w:t>1993)</w:t>
      </w:r>
      <w:r w:rsidR="005D5D1E">
        <w:t xml:space="preserve"> </w:t>
      </w:r>
      <w:r w:rsidR="00C53A9D">
        <w:rPr>
          <w:i/>
        </w:rPr>
        <w:t xml:space="preserve">The Teaching of Drama in the Primary School. </w:t>
      </w:r>
      <w:r w:rsidR="00132163">
        <w:t xml:space="preserve">Essex: Longman. </w:t>
      </w:r>
    </w:p>
    <w:p w14:paraId="0C6F8216" w14:textId="2CDE387F" w:rsidR="00E612A1" w:rsidRDefault="00E612A1">
      <w:pPr>
        <w:rPr>
          <w:i/>
        </w:rPr>
      </w:pPr>
    </w:p>
    <w:p w14:paraId="3800206D" w14:textId="222E0893" w:rsidR="00B64D39" w:rsidRDefault="00B64D39">
      <w:pPr>
        <w:rPr>
          <w:i/>
        </w:rPr>
      </w:pPr>
    </w:p>
    <w:p w14:paraId="5B0BA6B3" w14:textId="6906FCD0" w:rsidR="00161270" w:rsidRDefault="00161270">
      <w:pPr>
        <w:rPr>
          <w:i/>
        </w:rPr>
      </w:pPr>
    </w:p>
    <w:p w14:paraId="4C1DA4F5" w14:textId="284E2C56" w:rsidR="00161270" w:rsidRDefault="00161270">
      <w:pPr>
        <w:rPr>
          <w:i/>
        </w:rPr>
      </w:pPr>
    </w:p>
    <w:p w14:paraId="5A07B735" w14:textId="750C4F88" w:rsidR="00161270" w:rsidRDefault="00161270">
      <w:pPr>
        <w:rPr>
          <w:i/>
        </w:rPr>
      </w:pPr>
    </w:p>
    <w:p w14:paraId="74540818" w14:textId="56C76BF1" w:rsidR="00161270" w:rsidRDefault="00161270">
      <w:pPr>
        <w:rPr>
          <w:i/>
        </w:rPr>
      </w:pPr>
    </w:p>
    <w:p w14:paraId="3B84D3B1" w14:textId="71BA10A7" w:rsidR="00161270" w:rsidRDefault="00161270">
      <w:pPr>
        <w:rPr>
          <w:i/>
        </w:rPr>
      </w:pPr>
    </w:p>
    <w:p w14:paraId="0A1DD154" w14:textId="34F44454" w:rsidR="00161270" w:rsidRDefault="00161270">
      <w:pPr>
        <w:rPr>
          <w:i/>
        </w:rPr>
      </w:pPr>
    </w:p>
    <w:p w14:paraId="19EE28EE" w14:textId="60A4E0D7" w:rsidR="00161270" w:rsidRDefault="00161270">
      <w:pPr>
        <w:rPr>
          <w:i/>
        </w:rPr>
      </w:pPr>
    </w:p>
    <w:p w14:paraId="305282A8" w14:textId="686B25BE" w:rsidR="00161270" w:rsidRDefault="00161270">
      <w:pPr>
        <w:rPr>
          <w:i/>
        </w:rPr>
      </w:pPr>
    </w:p>
    <w:p w14:paraId="7193EB7F" w14:textId="52BE628B" w:rsidR="00161270" w:rsidRDefault="00161270">
      <w:pPr>
        <w:rPr>
          <w:i/>
        </w:rPr>
      </w:pPr>
    </w:p>
    <w:p w14:paraId="6CD74EA0" w14:textId="1AF0520E" w:rsidR="00161270" w:rsidRDefault="00161270">
      <w:pPr>
        <w:rPr>
          <w:i/>
        </w:rPr>
      </w:pPr>
    </w:p>
    <w:p w14:paraId="1088955E" w14:textId="62D6E60D" w:rsidR="00161270" w:rsidRDefault="00161270">
      <w:pPr>
        <w:rPr>
          <w:i/>
        </w:rPr>
      </w:pPr>
    </w:p>
    <w:p w14:paraId="694475AF" w14:textId="0263A92C" w:rsidR="00161270" w:rsidRDefault="00161270">
      <w:pPr>
        <w:rPr>
          <w:i/>
        </w:rPr>
      </w:pPr>
    </w:p>
    <w:p w14:paraId="445DB45B" w14:textId="59DCE9D1" w:rsidR="00161270" w:rsidRDefault="00161270">
      <w:pPr>
        <w:rPr>
          <w:i/>
        </w:rPr>
      </w:pPr>
    </w:p>
    <w:p w14:paraId="0B02D0D8" w14:textId="0612A0C0" w:rsidR="00161270" w:rsidRDefault="00161270">
      <w:pPr>
        <w:rPr>
          <w:i/>
        </w:rPr>
      </w:pPr>
    </w:p>
    <w:p w14:paraId="13AD94A8" w14:textId="052CBFA3" w:rsidR="00161270" w:rsidRDefault="00161270">
      <w:pPr>
        <w:rPr>
          <w:i/>
        </w:rPr>
      </w:pPr>
    </w:p>
    <w:p w14:paraId="20C07216" w14:textId="11E56D5E" w:rsidR="00161270" w:rsidRDefault="00161270">
      <w:pPr>
        <w:rPr>
          <w:i/>
        </w:rPr>
      </w:pPr>
    </w:p>
    <w:p w14:paraId="448F9CFE" w14:textId="54868960" w:rsidR="00161270" w:rsidRDefault="00161270">
      <w:pPr>
        <w:rPr>
          <w:noProof/>
        </w:rPr>
      </w:pPr>
    </w:p>
    <w:p w14:paraId="4850FE31" w14:textId="6634813B" w:rsidR="00161270" w:rsidRDefault="00161270">
      <w:pPr>
        <w:rPr>
          <w:noProof/>
        </w:rPr>
      </w:pPr>
    </w:p>
    <w:p w14:paraId="1AC31325" w14:textId="00D2FE0A" w:rsidR="00161FDD" w:rsidRPr="00440BC2" w:rsidRDefault="00F07006" w:rsidP="00440BC2">
      <w:pPr>
        <w:jc w:val="both"/>
      </w:pPr>
      <w:bookmarkStart w:id="0" w:name="_GoBack"/>
      <w:bookmarkEnd w:id="0"/>
      <w:r>
        <w:t xml:space="preserve"> </w:t>
      </w:r>
    </w:p>
    <w:sectPr w:rsidR="00161FDD" w:rsidRPr="00440BC2" w:rsidSect="00964757">
      <w:headerReference w:type="default" r:id="rId26"/>
      <w:footerReference w:type="default" r:id="rId27"/>
      <w:headerReference w:type="first" r:id="rId28"/>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7A8803" w14:textId="77777777" w:rsidR="00F67405" w:rsidRDefault="00F67405" w:rsidP="00EE5046">
      <w:pPr>
        <w:spacing w:after="0" w:line="240" w:lineRule="auto"/>
      </w:pPr>
      <w:r>
        <w:separator/>
      </w:r>
    </w:p>
  </w:endnote>
  <w:endnote w:type="continuationSeparator" w:id="0">
    <w:p w14:paraId="2D73D9ED" w14:textId="77777777" w:rsidR="00F67405" w:rsidRDefault="00F67405" w:rsidP="00EE50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Bradley Hand ITC">
    <w:altName w:val="Bradley Hand ITC"/>
    <w:charset w:val="00"/>
    <w:family w:val="script"/>
    <w:pitch w:val="variable"/>
    <w:sig w:usb0="00000003" w:usb1="00000000" w:usb2="00000000" w:usb3="00000000" w:csb0="00000001"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53133018"/>
      <w:docPartObj>
        <w:docPartGallery w:val="Page Numbers (Bottom of Page)"/>
        <w:docPartUnique/>
      </w:docPartObj>
    </w:sdtPr>
    <w:sdtEndPr>
      <w:rPr>
        <w:noProof/>
      </w:rPr>
    </w:sdtEndPr>
    <w:sdtContent>
      <w:p w14:paraId="1C214E2C" w14:textId="3051D743" w:rsidR="00EE5046" w:rsidRDefault="00EE504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D1A188" w14:textId="77777777" w:rsidR="00EE5046" w:rsidRDefault="00EE50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594AC3" w14:textId="77777777" w:rsidR="00F67405" w:rsidRDefault="00F67405" w:rsidP="00EE5046">
      <w:pPr>
        <w:spacing w:after="0" w:line="240" w:lineRule="auto"/>
      </w:pPr>
      <w:r>
        <w:separator/>
      </w:r>
    </w:p>
  </w:footnote>
  <w:footnote w:type="continuationSeparator" w:id="0">
    <w:p w14:paraId="4F77244D" w14:textId="77777777" w:rsidR="00F67405" w:rsidRDefault="00F67405" w:rsidP="00EE50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005BD3" w14:textId="15046F95" w:rsidR="00964757" w:rsidRDefault="00964757">
    <w:pPr>
      <w:pStyle w:val="Header"/>
    </w:pPr>
    <w:r>
      <w:t>ECAD500</w:t>
    </w:r>
    <w:r w:rsidR="00151C3C">
      <w:t>5- Expressive arts</w:t>
    </w:r>
  </w:p>
  <w:p w14:paraId="095A7123" w14:textId="032DE351" w:rsidR="00151C3C" w:rsidRDefault="00151C3C">
    <w:pPr>
      <w:pStyle w:val="Header"/>
    </w:pPr>
    <w:r>
      <w:t>Student Number: 1701466</w:t>
    </w:r>
  </w:p>
  <w:p w14:paraId="12764404" w14:textId="77777777" w:rsidR="00151C3C" w:rsidRDefault="00151C3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E7F9E3" w14:textId="7754362B" w:rsidR="00440BC2" w:rsidRDefault="00440BC2">
    <w:pPr>
      <w:pStyle w:val="Header"/>
    </w:pPr>
    <w:r>
      <w:t>1701466</w:t>
    </w:r>
  </w:p>
  <w:p w14:paraId="74AF0D59" w14:textId="48797DB4" w:rsidR="00440BC2" w:rsidRDefault="00440BC2">
    <w:pPr>
      <w:pStyle w:val="Header"/>
    </w:pPr>
    <w:r>
      <w:t>ECAD5005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73F1D5B"/>
    <w:multiLevelType w:val="hybridMultilevel"/>
    <w:tmpl w:val="5C769354"/>
    <w:lvl w:ilvl="0" w:tplc="B1BCFEA4">
      <w:start w:val="6"/>
      <w:numFmt w:val="bullet"/>
      <w:lvlText w:val="-"/>
      <w:lvlJc w:val="left"/>
      <w:pPr>
        <w:ind w:left="720" w:hanging="360"/>
      </w:pPr>
      <w:rPr>
        <w:rFonts w:ascii="Calibri" w:eastAsiaTheme="minorHAnsi" w:hAnsi="Calibri"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A9A3BAE"/>
    <w:multiLevelType w:val="hybridMultilevel"/>
    <w:tmpl w:val="A42CA02E"/>
    <w:lvl w:ilvl="0" w:tplc="C28C138E">
      <w:start w:val="6"/>
      <w:numFmt w:val="bullet"/>
      <w:lvlText w:val="-"/>
      <w:lvlJc w:val="left"/>
      <w:pPr>
        <w:ind w:left="720" w:hanging="360"/>
      </w:pPr>
      <w:rPr>
        <w:rFonts w:ascii="Bradley Hand ITC" w:eastAsiaTheme="minorHAnsi" w:hAnsi="Bradley Hand ITC"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7311"/>
    <w:rsid w:val="00001F09"/>
    <w:rsid w:val="00004412"/>
    <w:rsid w:val="00004B77"/>
    <w:rsid w:val="000069D9"/>
    <w:rsid w:val="000069E0"/>
    <w:rsid w:val="00006DF0"/>
    <w:rsid w:val="0000736A"/>
    <w:rsid w:val="0001123A"/>
    <w:rsid w:val="00013AF3"/>
    <w:rsid w:val="0002173F"/>
    <w:rsid w:val="00024FE8"/>
    <w:rsid w:val="000268E5"/>
    <w:rsid w:val="0002691E"/>
    <w:rsid w:val="00027953"/>
    <w:rsid w:val="00032B38"/>
    <w:rsid w:val="00037DF7"/>
    <w:rsid w:val="000458E2"/>
    <w:rsid w:val="00046389"/>
    <w:rsid w:val="00050001"/>
    <w:rsid w:val="00050F38"/>
    <w:rsid w:val="00053325"/>
    <w:rsid w:val="000604B6"/>
    <w:rsid w:val="00062FEA"/>
    <w:rsid w:val="0006306D"/>
    <w:rsid w:val="00066935"/>
    <w:rsid w:val="0007607C"/>
    <w:rsid w:val="00076DF3"/>
    <w:rsid w:val="00080037"/>
    <w:rsid w:val="00083C7B"/>
    <w:rsid w:val="00086580"/>
    <w:rsid w:val="0008687F"/>
    <w:rsid w:val="0008791A"/>
    <w:rsid w:val="000941AE"/>
    <w:rsid w:val="00094834"/>
    <w:rsid w:val="000A1051"/>
    <w:rsid w:val="000A2091"/>
    <w:rsid w:val="000A6EB8"/>
    <w:rsid w:val="000A7F78"/>
    <w:rsid w:val="000B18F1"/>
    <w:rsid w:val="000C0435"/>
    <w:rsid w:val="000C08C6"/>
    <w:rsid w:val="000C0D23"/>
    <w:rsid w:val="000C1E55"/>
    <w:rsid w:val="000C2EAF"/>
    <w:rsid w:val="000C4992"/>
    <w:rsid w:val="000C5288"/>
    <w:rsid w:val="000C648A"/>
    <w:rsid w:val="000C66FA"/>
    <w:rsid w:val="000D5640"/>
    <w:rsid w:val="000E0F3C"/>
    <w:rsid w:val="000E183D"/>
    <w:rsid w:val="000E3AD6"/>
    <w:rsid w:val="000E530E"/>
    <w:rsid w:val="000E6717"/>
    <w:rsid w:val="000E72A5"/>
    <w:rsid w:val="000E7E54"/>
    <w:rsid w:val="000F09E3"/>
    <w:rsid w:val="000F17E6"/>
    <w:rsid w:val="000F2D75"/>
    <w:rsid w:val="000F4D2C"/>
    <w:rsid w:val="000F53AE"/>
    <w:rsid w:val="000F55AE"/>
    <w:rsid w:val="000F59C0"/>
    <w:rsid w:val="000F721D"/>
    <w:rsid w:val="000F7477"/>
    <w:rsid w:val="000F7A8F"/>
    <w:rsid w:val="000F7BBF"/>
    <w:rsid w:val="001003C6"/>
    <w:rsid w:val="00104C67"/>
    <w:rsid w:val="001059E1"/>
    <w:rsid w:val="00106595"/>
    <w:rsid w:val="0010788B"/>
    <w:rsid w:val="00107C6D"/>
    <w:rsid w:val="001210D3"/>
    <w:rsid w:val="00124E7C"/>
    <w:rsid w:val="00126564"/>
    <w:rsid w:val="00132163"/>
    <w:rsid w:val="001426AB"/>
    <w:rsid w:val="00143275"/>
    <w:rsid w:val="00143F40"/>
    <w:rsid w:val="00144550"/>
    <w:rsid w:val="0014534A"/>
    <w:rsid w:val="001511D9"/>
    <w:rsid w:val="00151908"/>
    <w:rsid w:val="00151C3C"/>
    <w:rsid w:val="001541FA"/>
    <w:rsid w:val="00160EF5"/>
    <w:rsid w:val="00161270"/>
    <w:rsid w:val="00161B82"/>
    <w:rsid w:val="00161FDD"/>
    <w:rsid w:val="00166135"/>
    <w:rsid w:val="001670C0"/>
    <w:rsid w:val="00171C4D"/>
    <w:rsid w:val="0017443F"/>
    <w:rsid w:val="00174758"/>
    <w:rsid w:val="00174F3B"/>
    <w:rsid w:val="001753F6"/>
    <w:rsid w:val="00175F4D"/>
    <w:rsid w:val="00180AAA"/>
    <w:rsid w:val="00181DC3"/>
    <w:rsid w:val="00182BE5"/>
    <w:rsid w:val="001905D2"/>
    <w:rsid w:val="00190A72"/>
    <w:rsid w:val="0019106A"/>
    <w:rsid w:val="0019398F"/>
    <w:rsid w:val="0019493F"/>
    <w:rsid w:val="001952D6"/>
    <w:rsid w:val="001A0612"/>
    <w:rsid w:val="001A3775"/>
    <w:rsid w:val="001A4ED7"/>
    <w:rsid w:val="001A5A45"/>
    <w:rsid w:val="001A603B"/>
    <w:rsid w:val="001A6D10"/>
    <w:rsid w:val="001A7BDE"/>
    <w:rsid w:val="001A7BF0"/>
    <w:rsid w:val="001B316D"/>
    <w:rsid w:val="001B3738"/>
    <w:rsid w:val="001B754E"/>
    <w:rsid w:val="001B75A7"/>
    <w:rsid w:val="001C159E"/>
    <w:rsid w:val="001C31F2"/>
    <w:rsid w:val="001C3EFA"/>
    <w:rsid w:val="001C5C21"/>
    <w:rsid w:val="001C6D45"/>
    <w:rsid w:val="001D15BE"/>
    <w:rsid w:val="001D6FBF"/>
    <w:rsid w:val="001E73B5"/>
    <w:rsid w:val="001F30CF"/>
    <w:rsid w:val="001F4BCE"/>
    <w:rsid w:val="001F5146"/>
    <w:rsid w:val="001F5417"/>
    <w:rsid w:val="001F72B8"/>
    <w:rsid w:val="0020186F"/>
    <w:rsid w:val="00202781"/>
    <w:rsid w:val="002043B0"/>
    <w:rsid w:val="00220CBD"/>
    <w:rsid w:val="00222BD5"/>
    <w:rsid w:val="00224BDB"/>
    <w:rsid w:val="00225ABA"/>
    <w:rsid w:val="00227777"/>
    <w:rsid w:val="00231F4D"/>
    <w:rsid w:val="002325E2"/>
    <w:rsid w:val="00237749"/>
    <w:rsid w:val="002405C4"/>
    <w:rsid w:val="002425BA"/>
    <w:rsid w:val="00254090"/>
    <w:rsid w:val="0025482B"/>
    <w:rsid w:val="00255099"/>
    <w:rsid w:val="00255BC1"/>
    <w:rsid w:val="002567DA"/>
    <w:rsid w:val="00256C6B"/>
    <w:rsid w:val="00256FD6"/>
    <w:rsid w:val="00263703"/>
    <w:rsid w:val="00265A2B"/>
    <w:rsid w:val="002664F4"/>
    <w:rsid w:val="002729E4"/>
    <w:rsid w:val="0027489C"/>
    <w:rsid w:val="00280A5E"/>
    <w:rsid w:val="00282A51"/>
    <w:rsid w:val="00286A58"/>
    <w:rsid w:val="00287D11"/>
    <w:rsid w:val="00293D75"/>
    <w:rsid w:val="002A2FAB"/>
    <w:rsid w:val="002A464B"/>
    <w:rsid w:val="002A599C"/>
    <w:rsid w:val="002A5D66"/>
    <w:rsid w:val="002A65FB"/>
    <w:rsid w:val="002A747E"/>
    <w:rsid w:val="002B11BC"/>
    <w:rsid w:val="002B2091"/>
    <w:rsid w:val="002B21D7"/>
    <w:rsid w:val="002B4BAC"/>
    <w:rsid w:val="002B591C"/>
    <w:rsid w:val="002B7C1D"/>
    <w:rsid w:val="002C31DE"/>
    <w:rsid w:val="002C4188"/>
    <w:rsid w:val="002D1E34"/>
    <w:rsid w:val="002D24E4"/>
    <w:rsid w:val="002D4E5F"/>
    <w:rsid w:val="002D688A"/>
    <w:rsid w:val="002E0D5C"/>
    <w:rsid w:val="002E3C3D"/>
    <w:rsid w:val="002E43C5"/>
    <w:rsid w:val="002E6662"/>
    <w:rsid w:val="002E7ECD"/>
    <w:rsid w:val="002F090F"/>
    <w:rsid w:val="002F0DCD"/>
    <w:rsid w:val="002F2250"/>
    <w:rsid w:val="002F447A"/>
    <w:rsid w:val="002F5DBA"/>
    <w:rsid w:val="003001E0"/>
    <w:rsid w:val="00300E7A"/>
    <w:rsid w:val="00305CB5"/>
    <w:rsid w:val="00311558"/>
    <w:rsid w:val="003117CB"/>
    <w:rsid w:val="003234E5"/>
    <w:rsid w:val="003253BA"/>
    <w:rsid w:val="00325FE5"/>
    <w:rsid w:val="00327EAD"/>
    <w:rsid w:val="00330DAE"/>
    <w:rsid w:val="00336544"/>
    <w:rsid w:val="00336628"/>
    <w:rsid w:val="003405C6"/>
    <w:rsid w:val="00342FC0"/>
    <w:rsid w:val="00343678"/>
    <w:rsid w:val="003474BC"/>
    <w:rsid w:val="00350351"/>
    <w:rsid w:val="0035166C"/>
    <w:rsid w:val="003517DD"/>
    <w:rsid w:val="00353611"/>
    <w:rsid w:val="00355BE7"/>
    <w:rsid w:val="00356F88"/>
    <w:rsid w:val="003602E7"/>
    <w:rsid w:val="00362869"/>
    <w:rsid w:val="003659EE"/>
    <w:rsid w:val="00371A15"/>
    <w:rsid w:val="003729CF"/>
    <w:rsid w:val="0037366D"/>
    <w:rsid w:val="00374D87"/>
    <w:rsid w:val="003822D6"/>
    <w:rsid w:val="003839F3"/>
    <w:rsid w:val="003846A1"/>
    <w:rsid w:val="00385A0F"/>
    <w:rsid w:val="00392A7B"/>
    <w:rsid w:val="00393723"/>
    <w:rsid w:val="0039378D"/>
    <w:rsid w:val="00396639"/>
    <w:rsid w:val="003A3F92"/>
    <w:rsid w:val="003A50D7"/>
    <w:rsid w:val="003B158A"/>
    <w:rsid w:val="003B376F"/>
    <w:rsid w:val="003B4E72"/>
    <w:rsid w:val="003C0155"/>
    <w:rsid w:val="003C222F"/>
    <w:rsid w:val="003C3E9E"/>
    <w:rsid w:val="003D095F"/>
    <w:rsid w:val="003D1729"/>
    <w:rsid w:val="003D3347"/>
    <w:rsid w:val="003D460B"/>
    <w:rsid w:val="003D6E37"/>
    <w:rsid w:val="003E00A0"/>
    <w:rsid w:val="003E0F74"/>
    <w:rsid w:val="003E2707"/>
    <w:rsid w:val="003F68FB"/>
    <w:rsid w:val="003F7B40"/>
    <w:rsid w:val="0040134E"/>
    <w:rsid w:val="00406A72"/>
    <w:rsid w:val="004160A9"/>
    <w:rsid w:val="00417198"/>
    <w:rsid w:val="004220EA"/>
    <w:rsid w:val="00422B58"/>
    <w:rsid w:val="0042310B"/>
    <w:rsid w:val="004238C0"/>
    <w:rsid w:val="00425D06"/>
    <w:rsid w:val="00430765"/>
    <w:rsid w:val="00440BC2"/>
    <w:rsid w:val="004412F6"/>
    <w:rsid w:val="00460190"/>
    <w:rsid w:val="00460A13"/>
    <w:rsid w:val="00461D78"/>
    <w:rsid w:val="004705DA"/>
    <w:rsid w:val="00470A7E"/>
    <w:rsid w:val="004725B4"/>
    <w:rsid w:val="00473C0B"/>
    <w:rsid w:val="00475139"/>
    <w:rsid w:val="004766AF"/>
    <w:rsid w:val="0047740A"/>
    <w:rsid w:val="00477988"/>
    <w:rsid w:val="00477C4D"/>
    <w:rsid w:val="0048013A"/>
    <w:rsid w:val="00483672"/>
    <w:rsid w:val="00490247"/>
    <w:rsid w:val="00491C52"/>
    <w:rsid w:val="004B1B8C"/>
    <w:rsid w:val="004B4A21"/>
    <w:rsid w:val="004B6B4D"/>
    <w:rsid w:val="004C34E6"/>
    <w:rsid w:val="004C728D"/>
    <w:rsid w:val="004D32A2"/>
    <w:rsid w:val="004D4F16"/>
    <w:rsid w:val="004E1D6A"/>
    <w:rsid w:val="004E1E11"/>
    <w:rsid w:val="004E4764"/>
    <w:rsid w:val="004E5923"/>
    <w:rsid w:val="004E733F"/>
    <w:rsid w:val="004F0A30"/>
    <w:rsid w:val="004F189E"/>
    <w:rsid w:val="00500ECC"/>
    <w:rsid w:val="00502043"/>
    <w:rsid w:val="00502396"/>
    <w:rsid w:val="005100B4"/>
    <w:rsid w:val="005133D7"/>
    <w:rsid w:val="00515FF3"/>
    <w:rsid w:val="005246DE"/>
    <w:rsid w:val="00524D84"/>
    <w:rsid w:val="00525B9E"/>
    <w:rsid w:val="00533B1C"/>
    <w:rsid w:val="00534A12"/>
    <w:rsid w:val="00541685"/>
    <w:rsid w:val="0054285E"/>
    <w:rsid w:val="005441D0"/>
    <w:rsid w:val="00546CAF"/>
    <w:rsid w:val="0055550A"/>
    <w:rsid w:val="00565485"/>
    <w:rsid w:val="00572DB5"/>
    <w:rsid w:val="00574E3E"/>
    <w:rsid w:val="00574EC9"/>
    <w:rsid w:val="005820E6"/>
    <w:rsid w:val="00584059"/>
    <w:rsid w:val="00584528"/>
    <w:rsid w:val="00584586"/>
    <w:rsid w:val="0058524E"/>
    <w:rsid w:val="00587FD2"/>
    <w:rsid w:val="0059112E"/>
    <w:rsid w:val="00591A8C"/>
    <w:rsid w:val="00596A2E"/>
    <w:rsid w:val="005A18DA"/>
    <w:rsid w:val="005A3FF9"/>
    <w:rsid w:val="005A78FC"/>
    <w:rsid w:val="005B3435"/>
    <w:rsid w:val="005B44BD"/>
    <w:rsid w:val="005B5D46"/>
    <w:rsid w:val="005B5D91"/>
    <w:rsid w:val="005B684E"/>
    <w:rsid w:val="005C1E7B"/>
    <w:rsid w:val="005C2338"/>
    <w:rsid w:val="005C51B7"/>
    <w:rsid w:val="005C5AFF"/>
    <w:rsid w:val="005C7E3E"/>
    <w:rsid w:val="005C7FBB"/>
    <w:rsid w:val="005D4674"/>
    <w:rsid w:val="005D5D1E"/>
    <w:rsid w:val="005D7B38"/>
    <w:rsid w:val="005E210B"/>
    <w:rsid w:val="005E4CDC"/>
    <w:rsid w:val="005E4D4B"/>
    <w:rsid w:val="005E6148"/>
    <w:rsid w:val="005E618A"/>
    <w:rsid w:val="005E76AC"/>
    <w:rsid w:val="005F02B8"/>
    <w:rsid w:val="005F1EF6"/>
    <w:rsid w:val="006013BD"/>
    <w:rsid w:val="00601AD3"/>
    <w:rsid w:val="00601B27"/>
    <w:rsid w:val="006040F9"/>
    <w:rsid w:val="006052FB"/>
    <w:rsid w:val="0061454D"/>
    <w:rsid w:val="00614EA2"/>
    <w:rsid w:val="00616E16"/>
    <w:rsid w:val="006252A1"/>
    <w:rsid w:val="00634B98"/>
    <w:rsid w:val="0063715F"/>
    <w:rsid w:val="00642A17"/>
    <w:rsid w:val="00645D65"/>
    <w:rsid w:val="006468B5"/>
    <w:rsid w:val="00651FB5"/>
    <w:rsid w:val="006526AE"/>
    <w:rsid w:val="00654F04"/>
    <w:rsid w:val="00657BB9"/>
    <w:rsid w:val="00662165"/>
    <w:rsid w:val="00662430"/>
    <w:rsid w:val="006632EF"/>
    <w:rsid w:val="00666AA3"/>
    <w:rsid w:val="00670F77"/>
    <w:rsid w:val="0067363E"/>
    <w:rsid w:val="00676401"/>
    <w:rsid w:val="00680D3F"/>
    <w:rsid w:val="0068355E"/>
    <w:rsid w:val="00687A48"/>
    <w:rsid w:val="006A0AF4"/>
    <w:rsid w:val="006A3AC8"/>
    <w:rsid w:val="006A79F7"/>
    <w:rsid w:val="006B1E58"/>
    <w:rsid w:val="006B28A6"/>
    <w:rsid w:val="006B31A3"/>
    <w:rsid w:val="006B3462"/>
    <w:rsid w:val="006B3EFB"/>
    <w:rsid w:val="006B4248"/>
    <w:rsid w:val="006B6E93"/>
    <w:rsid w:val="006C0A35"/>
    <w:rsid w:val="006C3FF0"/>
    <w:rsid w:val="006C6C69"/>
    <w:rsid w:val="006C7DF5"/>
    <w:rsid w:val="006D1D1A"/>
    <w:rsid w:val="006D3531"/>
    <w:rsid w:val="006D3DA1"/>
    <w:rsid w:val="006D40BA"/>
    <w:rsid w:val="006D54E8"/>
    <w:rsid w:val="006D58CF"/>
    <w:rsid w:val="006D6446"/>
    <w:rsid w:val="006D770F"/>
    <w:rsid w:val="006D7D52"/>
    <w:rsid w:val="006E0183"/>
    <w:rsid w:val="006E18DB"/>
    <w:rsid w:val="006E31E3"/>
    <w:rsid w:val="006E580E"/>
    <w:rsid w:val="006E77BB"/>
    <w:rsid w:val="006E7B49"/>
    <w:rsid w:val="006F05C6"/>
    <w:rsid w:val="006F34A8"/>
    <w:rsid w:val="0070270C"/>
    <w:rsid w:val="00704331"/>
    <w:rsid w:val="007048BE"/>
    <w:rsid w:val="00705182"/>
    <w:rsid w:val="00705A40"/>
    <w:rsid w:val="0071166A"/>
    <w:rsid w:val="00711DB6"/>
    <w:rsid w:val="00713CDC"/>
    <w:rsid w:val="00714C44"/>
    <w:rsid w:val="0071526A"/>
    <w:rsid w:val="007177D1"/>
    <w:rsid w:val="00721070"/>
    <w:rsid w:val="00723B49"/>
    <w:rsid w:val="00725C85"/>
    <w:rsid w:val="00737F9F"/>
    <w:rsid w:val="00740553"/>
    <w:rsid w:val="007434E6"/>
    <w:rsid w:val="00745185"/>
    <w:rsid w:val="007540C0"/>
    <w:rsid w:val="007548BB"/>
    <w:rsid w:val="00760DEA"/>
    <w:rsid w:val="007613FA"/>
    <w:rsid w:val="00764476"/>
    <w:rsid w:val="00767406"/>
    <w:rsid w:val="00770752"/>
    <w:rsid w:val="007743FC"/>
    <w:rsid w:val="00774FB6"/>
    <w:rsid w:val="007769F7"/>
    <w:rsid w:val="00777A82"/>
    <w:rsid w:val="0078064A"/>
    <w:rsid w:val="00781F12"/>
    <w:rsid w:val="00783826"/>
    <w:rsid w:val="00783BE8"/>
    <w:rsid w:val="00787401"/>
    <w:rsid w:val="00793689"/>
    <w:rsid w:val="007971A5"/>
    <w:rsid w:val="007A08D0"/>
    <w:rsid w:val="007A2C8B"/>
    <w:rsid w:val="007A6F6F"/>
    <w:rsid w:val="007A759C"/>
    <w:rsid w:val="007B0D05"/>
    <w:rsid w:val="007B204F"/>
    <w:rsid w:val="007B2F90"/>
    <w:rsid w:val="007B5581"/>
    <w:rsid w:val="007C4BC1"/>
    <w:rsid w:val="007C56D6"/>
    <w:rsid w:val="007C6E2F"/>
    <w:rsid w:val="007C7DD1"/>
    <w:rsid w:val="007D1B1D"/>
    <w:rsid w:val="007D2812"/>
    <w:rsid w:val="007D285F"/>
    <w:rsid w:val="007D4BDC"/>
    <w:rsid w:val="007D67F2"/>
    <w:rsid w:val="007E78BC"/>
    <w:rsid w:val="007F2C23"/>
    <w:rsid w:val="007F60B1"/>
    <w:rsid w:val="008018B7"/>
    <w:rsid w:val="0080322E"/>
    <w:rsid w:val="008032D2"/>
    <w:rsid w:val="00807597"/>
    <w:rsid w:val="00807F84"/>
    <w:rsid w:val="0081259C"/>
    <w:rsid w:val="00812DE7"/>
    <w:rsid w:val="0081730E"/>
    <w:rsid w:val="0082408D"/>
    <w:rsid w:val="00825673"/>
    <w:rsid w:val="0082782C"/>
    <w:rsid w:val="00827A0A"/>
    <w:rsid w:val="00827FA5"/>
    <w:rsid w:val="008301DA"/>
    <w:rsid w:val="0083039F"/>
    <w:rsid w:val="0083636F"/>
    <w:rsid w:val="00841B44"/>
    <w:rsid w:val="00844235"/>
    <w:rsid w:val="00844F94"/>
    <w:rsid w:val="00845FCC"/>
    <w:rsid w:val="00847109"/>
    <w:rsid w:val="00851CB2"/>
    <w:rsid w:val="00852C04"/>
    <w:rsid w:val="00856458"/>
    <w:rsid w:val="008620CC"/>
    <w:rsid w:val="008634D4"/>
    <w:rsid w:val="00880AB7"/>
    <w:rsid w:val="00881A61"/>
    <w:rsid w:val="00884513"/>
    <w:rsid w:val="00884FEE"/>
    <w:rsid w:val="00887154"/>
    <w:rsid w:val="00892304"/>
    <w:rsid w:val="008935E7"/>
    <w:rsid w:val="0089451B"/>
    <w:rsid w:val="0089457F"/>
    <w:rsid w:val="00896D55"/>
    <w:rsid w:val="00897098"/>
    <w:rsid w:val="00897C39"/>
    <w:rsid w:val="008A0AE1"/>
    <w:rsid w:val="008A11CF"/>
    <w:rsid w:val="008A3C42"/>
    <w:rsid w:val="008A5F54"/>
    <w:rsid w:val="008B5D8D"/>
    <w:rsid w:val="008B6025"/>
    <w:rsid w:val="008B68D4"/>
    <w:rsid w:val="008B7627"/>
    <w:rsid w:val="008C303A"/>
    <w:rsid w:val="008C42EB"/>
    <w:rsid w:val="008C51BF"/>
    <w:rsid w:val="008D18F3"/>
    <w:rsid w:val="008D27A6"/>
    <w:rsid w:val="008D3E3E"/>
    <w:rsid w:val="008D648D"/>
    <w:rsid w:val="008D6AD6"/>
    <w:rsid w:val="008D74E1"/>
    <w:rsid w:val="008E0680"/>
    <w:rsid w:val="008E1C1B"/>
    <w:rsid w:val="008E43BE"/>
    <w:rsid w:val="008E63F2"/>
    <w:rsid w:val="008E6FD3"/>
    <w:rsid w:val="008F15A5"/>
    <w:rsid w:val="008F37F5"/>
    <w:rsid w:val="008F3FF9"/>
    <w:rsid w:val="00900F8A"/>
    <w:rsid w:val="00903FBB"/>
    <w:rsid w:val="009040DB"/>
    <w:rsid w:val="00906641"/>
    <w:rsid w:val="00907D2A"/>
    <w:rsid w:val="00910008"/>
    <w:rsid w:val="009124F5"/>
    <w:rsid w:val="00912FA4"/>
    <w:rsid w:val="00913504"/>
    <w:rsid w:val="00917793"/>
    <w:rsid w:val="009228CA"/>
    <w:rsid w:val="00924D1D"/>
    <w:rsid w:val="009250FD"/>
    <w:rsid w:val="0092565D"/>
    <w:rsid w:val="00925747"/>
    <w:rsid w:val="009267C1"/>
    <w:rsid w:val="009302F3"/>
    <w:rsid w:val="00930529"/>
    <w:rsid w:val="00930FE4"/>
    <w:rsid w:val="0093107E"/>
    <w:rsid w:val="009316F9"/>
    <w:rsid w:val="00934B57"/>
    <w:rsid w:val="009361FC"/>
    <w:rsid w:val="00936594"/>
    <w:rsid w:val="00940652"/>
    <w:rsid w:val="00945B95"/>
    <w:rsid w:val="009467F8"/>
    <w:rsid w:val="0095312A"/>
    <w:rsid w:val="00964757"/>
    <w:rsid w:val="00970DB8"/>
    <w:rsid w:val="00971EC5"/>
    <w:rsid w:val="009777EA"/>
    <w:rsid w:val="009802E7"/>
    <w:rsid w:val="0098606D"/>
    <w:rsid w:val="00987B24"/>
    <w:rsid w:val="00991E9F"/>
    <w:rsid w:val="009972F7"/>
    <w:rsid w:val="009A09B2"/>
    <w:rsid w:val="009A1F92"/>
    <w:rsid w:val="009B3E95"/>
    <w:rsid w:val="009B62DA"/>
    <w:rsid w:val="009C76C8"/>
    <w:rsid w:val="009D0161"/>
    <w:rsid w:val="009D1270"/>
    <w:rsid w:val="009D290C"/>
    <w:rsid w:val="009D3158"/>
    <w:rsid w:val="009D37C1"/>
    <w:rsid w:val="009D4163"/>
    <w:rsid w:val="009D4C0F"/>
    <w:rsid w:val="009D60A4"/>
    <w:rsid w:val="009D7FE5"/>
    <w:rsid w:val="009E20AA"/>
    <w:rsid w:val="009F36C9"/>
    <w:rsid w:val="009F51BC"/>
    <w:rsid w:val="009F5BFC"/>
    <w:rsid w:val="009F7E09"/>
    <w:rsid w:val="00A01C8C"/>
    <w:rsid w:val="00A076C9"/>
    <w:rsid w:val="00A11900"/>
    <w:rsid w:val="00A13AE5"/>
    <w:rsid w:val="00A25D2E"/>
    <w:rsid w:val="00A2708D"/>
    <w:rsid w:val="00A27396"/>
    <w:rsid w:val="00A279A4"/>
    <w:rsid w:val="00A30A5E"/>
    <w:rsid w:val="00A34DD3"/>
    <w:rsid w:val="00A40588"/>
    <w:rsid w:val="00A41934"/>
    <w:rsid w:val="00A42C57"/>
    <w:rsid w:val="00A435E9"/>
    <w:rsid w:val="00A4376E"/>
    <w:rsid w:val="00A502ED"/>
    <w:rsid w:val="00A50964"/>
    <w:rsid w:val="00A5150F"/>
    <w:rsid w:val="00A535F1"/>
    <w:rsid w:val="00A54331"/>
    <w:rsid w:val="00A57767"/>
    <w:rsid w:val="00A57FE0"/>
    <w:rsid w:val="00A60024"/>
    <w:rsid w:val="00A602AD"/>
    <w:rsid w:val="00A62382"/>
    <w:rsid w:val="00A650D6"/>
    <w:rsid w:val="00A6713F"/>
    <w:rsid w:val="00A72B0D"/>
    <w:rsid w:val="00A732D7"/>
    <w:rsid w:val="00A76BC8"/>
    <w:rsid w:val="00A837BD"/>
    <w:rsid w:val="00A84E20"/>
    <w:rsid w:val="00A91FF6"/>
    <w:rsid w:val="00A9546B"/>
    <w:rsid w:val="00AA1FE6"/>
    <w:rsid w:val="00AA3657"/>
    <w:rsid w:val="00AA3CBA"/>
    <w:rsid w:val="00AA5498"/>
    <w:rsid w:val="00AA5A3F"/>
    <w:rsid w:val="00AA5DD0"/>
    <w:rsid w:val="00AB3AB3"/>
    <w:rsid w:val="00AB4D73"/>
    <w:rsid w:val="00AB6A44"/>
    <w:rsid w:val="00AB7831"/>
    <w:rsid w:val="00AB7D8E"/>
    <w:rsid w:val="00AC58C1"/>
    <w:rsid w:val="00AD0899"/>
    <w:rsid w:val="00AD2BE1"/>
    <w:rsid w:val="00AD32C2"/>
    <w:rsid w:val="00AD362A"/>
    <w:rsid w:val="00AD5B21"/>
    <w:rsid w:val="00AD6967"/>
    <w:rsid w:val="00AE06ED"/>
    <w:rsid w:val="00AE2AB3"/>
    <w:rsid w:val="00AE2F55"/>
    <w:rsid w:val="00AE7DBF"/>
    <w:rsid w:val="00AF2658"/>
    <w:rsid w:val="00AF3AA6"/>
    <w:rsid w:val="00AF3D43"/>
    <w:rsid w:val="00AF766B"/>
    <w:rsid w:val="00B01391"/>
    <w:rsid w:val="00B030B1"/>
    <w:rsid w:val="00B0371F"/>
    <w:rsid w:val="00B073AF"/>
    <w:rsid w:val="00B0774E"/>
    <w:rsid w:val="00B07C8A"/>
    <w:rsid w:val="00B100DA"/>
    <w:rsid w:val="00B16E57"/>
    <w:rsid w:val="00B26AE2"/>
    <w:rsid w:val="00B27993"/>
    <w:rsid w:val="00B30825"/>
    <w:rsid w:val="00B32F1D"/>
    <w:rsid w:val="00B35EBF"/>
    <w:rsid w:val="00B42B6C"/>
    <w:rsid w:val="00B46A6D"/>
    <w:rsid w:val="00B51D8D"/>
    <w:rsid w:val="00B52C7C"/>
    <w:rsid w:val="00B553A7"/>
    <w:rsid w:val="00B6118D"/>
    <w:rsid w:val="00B613DF"/>
    <w:rsid w:val="00B62FC6"/>
    <w:rsid w:val="00B64D39"/>
    <w:rsid w:val="00B65CF1"/>
    <w:rsid w:val="00B67023"/>
    <w:rsid w:val="00B71E77"/>
    <w:rsid w:val="00B73DC0"/>
    <w:rsid w:val="00B7453D"/>
    <w:rsid w:val="00B77397"/>
    <w:rsid w:val="00B85330"/>
    <w:rsid w:val="00B85CB5"/>
    <w:rsid w:val="00B87B88"/>
    <w:rsid w:val="00B90B82"/>
    <w:rsid w:val="00B91A8B"/>
    <w:rsid w:val="00B9474B"/>
    <w:rsid w:val="00BA04E0"/>
    <w:rsid w:val="00BA12DF"/>
    <w:rsid w:val="00BA18BA"/>
    <w:rsid w:val="00BA322F"/>
    <w:rsid w:val="00BA7311"/>
    <w:rsid w:val="00BB66EA"/>
    <w:rsid w:val="00BB6986"/>
    <w:rsid w:val="00BC40E2"/>
    <w:rsid w:val="00BC6240"/>
    <w:rsid w:val="00BC651F"/>
    <w:rsid w:val="00BC6E48"/>
    <w:rsid w:val="00BD1190"/>
    <w:rsid w:val="00BD1BA5"/>
    <w:rsid w:val="00BD71AB"/>
    <w:rsid w:val="00BD71B8"/>
    <w:rsid w:val="00BD7263"/>
    <w:rsid w:val="00BE1D6D"/>
    <w:rsid w:val="00BE2141"/>
    <w:rsid w:val="00BE68C5"/>
    <w:rsid w:val="00BF13E9"/>
    <w:rsid w:val="00BF13F4"/>
    <w:rsid w:val="00BF15CB"/>
    <w:rsid w:val="00BF31A9"/>
    <w:rsid w:val="00BF3445"/>
    <w:rsid w:val="00BF3B05"/>
    <w:rsid w:val="00BF7A28"/>
    <w:rsid w:val="00C05525"/>
    <w:rsid w:val="00C05838"/>
    <w:rsid w:val="00C06AE9"/>
    <w:rsid w:val="00C10540"/>
    <w:rsid w:val="00C12B5D"/>
    <w:rsid w:val="00C14B45"/>
    <w:rsid w:val="00C15D02"/>
    <w:rsid w:val="00C21198"/>
    <w:rsid w:val="00C23CD8"/>
    <w:rsid w:val="00C2512D"/>
    <w:rsid w:val="00C253D9"/>
    <w:rsid w:val="00C259C2"/>
    <w:rsid w:val="00C26BE4"/>
    <w:rsid w:val="00C30D29"/>
    <w:rsid w:val="00C34A8E"/>
    <w:rsid w:val="00C359CD"/>
    <w:rsid w:val="00C37136"/>
    <w:rsid w:val="00C37794"/>
    <w:rsid w:val="00C41B3A"/>
    <w:rsid w:val="00C42BEC"/>
    <w:rsid w:val="00C455FB"/>
    <w:rsid w:val="00C4594F"/>
    <w:rsid w:val="00C47979"/>
    <w:rsid w:val="00C51002"/>
    <w:rsid w:val="00C52A85"/>
    <w:rsid w:val="00C52F31"/>
    <w:rsid w:val="00C530DF"/>
    <w:rsid w:val="00C53A9D"/>
    <w:rsid w:val="00C558DD"/>
    <w:rsid w:val="00C63575"/>
    <w:rsid w:val="00C71270"/>
    <w:rsid w:val="00C71B79"/>
    <w:rsid w:val="00C729FF"/>
    <w:rsid w:val="00C750B8"/>
    <w:rsid w:val="00C775D1"/>
    <w:rsid w:val="00C775F6"/>
    <w:rsid w:val="00C80778"/>
    <w:rsid w:val="00C809A0"/>
    <w:rsid w:val="00C80C27"/>
    <w:rsid w:val="00C81C19"/>
    <w:rsid w:val="00C838F8"/>
    <w:rsid w:val="00C840AB"/>
    <w:rsid w:val="00C861A2"/>
    <w:rsid w:val="00C861F2"/>
    <w:rsid w:val="00C8659D"/>
    <w:rsid w:val="00C86C01"/>
    <w:rsid w:val="00C901DC"/>
    <w:rsid w:val="00C90C3D"/>
    <w:rsid w:val="00C913E1"/>
    <w:rsid w:val="00C916FE"/>
    <w:rsid w:val="00C9232D"/>
    <w:rsid w:val="00C934E8"/>
    <w:rsid w:val="00C953B9"/>
    <w:rsid w:val="00C95C2B"/>
    <w:rsid w:val="00CA3F5B"/>
    <w:rsid w:val="00CB14CD"/>
    <w:rsid w:val="00CB156E"/>
    <w:rsid w:val="00CB3DD6"/>
    <w:rsid w:val="00CB76E6"/>
    <w:rsid w:val="00CC15E6"/>
    <w:rsid w:val="00CC1AFE"/>
    <w:rsid w:val="00CC1D51"/>
    <w:rsid w:val="00CC63F6"/>
    <w:rsid w:val="00CC6A20"/>
    <w:rsid w:val="00CD1D7B"/>
    <w:rsid w:val="00CD2D1D"/>
    <w:rsid w:val="00CD5F67"/>
    <w:rsid w:val="00CE1AF0"/>
    <w:rsid w:val="00CE1C55"/>
    <w:rsid w:val="00CE5176"/>
    <w:rsid w:val="00CE6836"/>
    <w:rsid w:val="00CE78DA"/>
    <w:rsid w:val="00CF0046"/>
    <w:rsid w:val="00CF5F3C"/>
    <w:rsid w:val="00CF6DE5"/>
    <w:rsid w:val="00CF764D"/>
    <w:rsid w:val="00D00AEE"/>
    <w:rsid w:val="00D018BB"/>
    <w:rsid w:val="00D033D8"/>
    <w:rsid w:val="00D060FA"/>
    <w:rsid w:val="00D06D74"/>
    <w:rsid w:val="00D10CED"/>
    <w:rsid w:val="00D10FAC"/>
    <w:rsid w:val="00D11DC1"/>
    <w:rsid w:val="00D169E7"/>
    <w:rsid w:val="00D17BA9"/>
    <w:rsid w:val="00D2026E"/>
    <w:rsid w:val="00D25FE6"/>
    <w:rsid w:val="00D265F9"/>
    <w:rsid w:val="00D27B08"/>
    <w:rsid w:val="00D301CA"/>
    <w:rsid w:val="00D30FDB"/>
    <w:rsid w:val="00D31FF0"/>
    <w:rsid w:val="00D35B8A"/>
    <w:rsid w:val="00D36F47"/>
    <w:rsid w:val="00D4468D"/>
    <w:rsid w:val="00D44FCC"/>
    <w:rsid w:val="00D4668B"/>
    <w:rsid w:val="00D50FE7"/>
    <w:rsid w:val="00D55DC3"/>
    <w:rsid w:val="00D561FD"/>
    <w:rsid w:val="00D63FC5"/>
    <w:rsid w:val="00D64F1C"/>
    <w:rsid w:val="00D66D64"/>
    <w:rsid w:val="00D7052B"/>
    <w:rsid w:val="00D7057B"/>
    <w:rsid w:val="00D7269F"/>
    <w:rsid w:val="00D74D81"/>
    <w:rsid w:val="00D802D1"/>
    <w:rsid w:val="00D8065F"/>
    <w:rsid w:val="00D84D02"/>
    <w:rsid w:val="00D85BC1"/>
    <w:rsid w:val="00D96622"/>
    <w:rsid w:val="00D97F89"/>
    <w:rsid w:val="00DA0DAE"/>
    <w:rsid w:val="00DA1DA8"/>
    <w:rsid w:val="00DA27F2"/>
    <w:rsid w:val="00DA2C16"/>
    <w:rsid w:val="00DA36FE"/>
    <w:rsid w:val="00DA4D4D"/>
    <w:rsid w:val="00DA7B11"/>
    <w:rsid w:val="00DB3848"/>
    <w:rsid w:val="00DC2280"/>
    <w:rsid w:val="00DC77FE"/>
    <w:rsid w:val="00DD24DD"/>
    <w:rsid w:val="00DD5B31"/>
    <w:rsid w:val="00DD5DAF"/>
    <w:rsid w:val="00DE067B"/>
    <w:rsid w:val="00DE1E10"/>
    <w:rsid w:val="00DE2D9B"/>
    <w:rsid w:val="00DF04B5"/>
    <w:rsid w:val="00DF39D3"/>
    <w:rsid w:val="00DF3A25"/>
    <w:rsid w:val="00DF4102"/>
    <w:rsid w:val="00DF5F49"/>
    <w:rsid w:val="00E00943"/>
    <w:rsid w:val="00E010DA"/>
    <w:rsid w:val="00E02796"/>
    <w:rsid w:val="00E02A9C"/>
    <w:rsid w:val="00E03837"/>
    <w:rsid w:val="00E038D8"/>
    <w:rsid w:val="00E03F3B"/>
    <w:rsid w:val="00E0455F"/>
    <w:rsid w:val="00E0700D"/>
    <w:rsid w:val="00E14784"/>
    <w:rsid w:val="00E15E21"/>
    <w:rsid w:val="00E16853"/>
    <w:rsid w:val="00E21303"/>
    <w:rsid w:val="00E24830"/>
    <w:rsid w:val="00E25C59"/>
    <w:rsid w:val="00E266F1"/>
    <w:rsid w:val="00E359F7"/>
    <w:rsid w:val="00E369F1"/>
    <w:rsid w:val="00E407AD"/>
    <w:rsid w:val="00E41EDA"/>
    <w:rsid w:val="00E43856"/>
    <w:rsid w:val="00E47BB2"/>
    <w:rsid w:val="00E526FB"/>
    <w:rsid w:val="00E528AA"/>
    <w:rsid w:val="00E52CA6"/>
    <w:rsid w:val="00E5313E"/>
    <w:rsid w:val="00E534B0"/>
    <w:rsid w:val="00E543EC"/>
    <w:rsid w:val="00E612A1"/>
    <w:rsid w:val="00E616A9"/>
    <w:rsid w:val="00E66E43"/>
    <w:rsid w:val="00E672DF"/>
    <w:rsid w:val="00E6737A"/>
    <w:rsid w:val="00E678C0"/>
    <w:rsid w:val="00E71624"/>
    <w:rsid w:val="00E7523A"/>
    <w:rsid w:val="00E76225"/>
    <w:rsid w:val="00E77AA9"/>
    <w:rsid w:val="00E77E0C"/>
    <w:rsid w:val="00E810DE"/>
    <w:rsid w:val="00E82910"/>
    <w:rsid w:val="00E86142"/>
    <w:rsid w:val="00E869E0"/>
    <w:rsid w:val="00E91358"/>
    <w:rsid w:val="00E91552"/>
    <w:rsid w:val="00E935E5"/>
    <w:rsid w:val="00E95B1B"/>
    <w:rsid w:val="00E97805"/>
    <w:rsid w:val="00E97B70"/>
    <w:rsid w:val="00EA0CCB"/>
    <w:rsid w:val="00EA4C1C"/>
    <w:rsid w:val="00EB15F3"/>
    <w:rsid w:val="00EB2AF7"/>
    <w:rsid w:val="00EB2C7D"/>
    <w:rsid w:val="00EB4DF4"/>
    <w:rsid w:val="00EB5ADB"/>
    <w:rsid w:val="00EB6672"/>
    <w:rsid w:val="00EB6F6B"/>
    <w:rsid w:val="00EB75DA"/>
    <w:rsid w:val="00EC1FF6"/>
    <w:rsid w:val="00EC2466"/>
    <w:rsid w:val="00EC7326"/>
    <w:rsid w:val="00ED0805"/>
    <w:rsid w:val="00ED0E81"/>
    <w:rsid w:val="00ED5225"/>
    <w:rsid w:val="00ED6F22"/>
    <w:rsid w:val="00ED72AF"/>
    <w:rsid w:val="00EE0398"/>
    <w:rsid w:val="00EE1166"/>
    <w:rsid w:val="00EE13E1"/>
    <w:rsid w:val="00EE4F1F"/>
    <w:rsid w:val="00EE5046"/>
    <w:rsid w:val="00EE6433"/>
    <w:rsid w:val="00EE6DA0"/>
    <w:rsid w:val="00EE7E41"/>
    <w:rsid w:val="00EF1038"/>
    <w:rsid w:val="00EF1DE7"/>
    <w:rsid w:val="00EF2C6A"/>
    <w:rsid w:val="00EF3BC7"/>
    <w:rsid w:val="00F00E6C"/>
    <w:rsid w:val="00F0123F"/>
    <w:rsid w:val="00F022C7"/>
    <w:rsid w:val="00F0275E"/>
    <w:rsid w:val="00F02DDA"/>
    <w:rsid w:val="00F03092"/>
    <w:rsid w:val="00F03942"/>
    <w:rsid w:val="00F047A8"/>
    <w:rsid w:val="00F07006"/>
    <w:rsid w:val="00F074E5"/>
    <w:rsid w:val="00F1176D"/>
    <w:rsid w:val="00F126F9"/>
    <w:rsid w:val="00F14955"/>
    <w:rsid w:val="00F20E5A"/>
    <w:rsid w:val="00F214BF"/>
    <w:rsid w:val="00F21B2E"/>
    <w:rsid w:val="00F23405"/>
    <w:rsid w:val="00F26DA5"/>
    <w:rsid w:val="00F34256"/>
    <w:rsid w:val="00F37243"/>
    <w:rsid w:val="00F450FB"/>
    <w:rsid w:val="00F52619"/>
    <w:rsid w:val="00F5296B"/>
    <w:rsid w:val="00F54A9E"/>
    <w:rsid w:val="00F67405"/>
    <w:rsid w:val="00F67DB5"/>
    <w:rsid w:val="00F723F9"/>
    <w:rsid w:val="00F75853"/>
    <w:rsid w:val="00F80360"/>
    <w:rsid w:val="00F81082"/>
    <w:rsid w:val="00F83B31"/>
    <w:rsid w:val="00F92625"/>
    <w:rsid w:val="00FA0ACC"/>
    <w:rsid w:val="00FA0CA2"/>
    <w:rsid w:val="00FA3928"/>
    <w:rsid w:val="00FA3F6D"/>
    <w:rsid w:val="00FA5D74"/>
    <w:rsid w:val="00FA6B3E"/>
    <w:rsid w:val="00FB1EBC"/>
    <w:rsid w:val="00FB256F"/>
    <w:rsid w:val="00FB4A68"/>
    <w:rsid w:val="00FC4D04"/>
    <w:rsid w:val="00FD5856"/>
    <w:rsid w:val="00FD7EDA"/>
    <w:rsid w:val="00FE28EF"/>
    <w:rsid w:val="00FE4EAB"/>
    <w:rsid w:val="00FE5942"/>
    <w:rsid w:val="00FE5E13"/>
    <w:rsid w:val="00FE72CB"/>
    <w:rsid w:val="00FF4E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18D850"/>
  <w15:chartTrackingRefBased/>
  <w15:docId w15:val="{DDA828F3-7689-451A-BE3B-BEA63C29F4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6E1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0C1E55"/>
    <w:rPr>
      <w:sz w:val="16"/>
      <w:szCs w:val="16"/>
    </w:rPr>
  </w:style>
  <w:style w:type="paragraph" w:styleId="CommentText">
    <w:name w:val="annotation text"/>
    <w:basedOn w:val="Normal"/>
    <w:link w:val="CommentTextChar"/>
    <w:uiPriority w:val="99"/>
    <w:unhideWhenUsed/>
    <w:rsid w:val="000C1E55"/>
    <w:pPr>
      <w:spacing w:line="240" w:lineRule="auto"/>
    </w:pPr>
    <w:rPr>
      <w:sz w:val="20"/>
      <w:szCs w:val="20"/>
    </w:rPr>
  </w:style>
  <w:style w:type="character" w:customStyle="1" w:styleId="CommentTextChar">
    <w:name w:val="Comment Text Char"/>
    <w:basedOn w:val="DefaultParagraphFont"/>
    <w:link w:val="CommentText"/>
    <w:uiPriority w:val="99"/>
    <w:rsid w:val="000C1E55"/>
    <w:rPr>
      <w:sz w:val="20"/>
      <w:szCs w:val="20"/>
    </w:rPr>
  </w:style>
  <w:style w:type="paragraph" w:styleId="BalloonText">
    <w:name w:val="Balloon Text"/>
    <w:basedOn w:val="Normal"/>
    <w:link w:val="BalloonTextChar"/>
    <w:uiPriority w:val="99"/>
    <w:semiHidden/>
    <w:unhideWhenUsed/>
    <w:rsid w:val="000C1E5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C1E55"/>
    <w:rPr>
      <w:rFonts w:ascii="Segoe UI" w:hAnsi="Segoe UI" w:cs="Segoe UI"/>
      <w:sz w:val="18"/>
      <w:szCs w:val="18"/>
    </w:rPr>
  </w:style>
  <w:style w:type="paragraph" w:styleId="CommentSubject">
    <w:name w:val="annotation subject"/>
    <w:basedOn w:val="CommentText"/>
    <w:next w:val="CommentText"/>
    <w:link w:val="CommentSubjectChar"/>
    <w:uiPriority w:val="99"/>
    <w:semiHidden/>
    <w:unhideWhenUsed/>
    <w:rsid w:val="00D2026E"/>
    <w:rPr>
      <w:b/>
      <w:bCs/>
    </w:rPr>
  </w:style>
  <w:style w:type="character" w:customStyle="1" w:styleId="CommentSubjectChar">
    <w:name w:val="Comment Subject Char"/>
    <w:basedOn w:val="CommentTextChar"/>
    <w:link w:val="CommentSubject"/>
    <w:uiPriority w:val="99"/>
    <w:semiHidden/>
    <w:rsid w:val="00D2026E"/>
    <w:rPr>
      <w:b/>
      <w:bCs/>
      <w:sz w:val="20"/>
      <w:szCs w:val="20"/>
    </w:rPr>
  </w:style>
  <w:style w:type="character" w:styleId="Hyperlink">
    <w:name w:val="Hyperlink"/>
    <w:basedOn w:val="DefaultParagraphFont"/>
    <w:uiPriority w:val="99"/>
    <w:unhideWhenUsed/>
    <w:rsid w:val="00DE2D9B"/>
    <w:rPr>
      <w:color w:val="0563C1" w:themeColor="hyperlink"/>
      <w:u w:val="single"/>
    </w:rPr>
  </w:style>
  <w:style w:type="character" w:styleId="UnresolvedMention">
    <w:name w:val="Unresolved Mention"/>
    <w:basedOn w:val="DefaultParagraphFont"/>
    <w:uiPriority w:val="99"/>
    <w:semiHidden/>
    <w:unhideWhenUsed/>
    <w:rsid w:val="00DE2D9B"/>
    <w:rPr>
      <w:color w:val="605E5C"/>
      <w:shd w:val="clear" w:color="auto" w:fill="E1DFDD"/>
    </w:rPr>
  </w:style>
  <w:style w:type="character" w:styleId="FollowedHyperlink">
    <w:name w:val="FollowedHyperlink"/>
    <w:basedOn w:val="DefaultParagraphFont"/>
    <w:uiPriority w:val="99"/>
    <w:semiHidden/>
    <w:unhideWhenUsed/>
    <w:rsid w:val="0006306D"/>
    <w:rPr>
      <w:color w:val="954F72" w:themeColor="followedHyperlink"/>
      <w:u w:val="single"/>
    </w:rPr>
  </w:style>
  <w:style w:type="character" w:customStyle="1" w:styleId="Heading1Char">
    <w:name w:val="Heading 1 Char"/>
    <w:basedOn w:val="DefaultParagraphFont"/>
    <w:link w:val="Heading1"/>
    <w:uiPriority w:val="9"/>
    <w:rsid w:val="00616E16"/>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92565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2565D"/>
    <w:rPr>
      <w:rFonts w:eastAsiaTheme="minorEastAsia"/>
      <w:lang w:val="en-US"/>
    </w:rPr>
  </w:style>
  <w:style w:type="paragraph" w:styleId="Header">
    <w:name w:val="header"/>
    <w:basedOn w:val="Normal"/>
    <w:link w:val="HeaderChar"/>
    <w:uiPriority w:val="99"/>
    <w:unhideWhenUsed/>
    <w:rsid w:val="00EE50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5046"/>
  </w:style>
  <w:style w:type="paragraph" w:styleId="Footer">
    <w:name w:val="footer"/>
    <w:basedOn w:val="Normal"/>
    <w:link w:val="FooterChar"/>
    <w:uiPriority w:val="99"/>
    <w:unhideWhenUsed/>
    <w:rsid w:val="00EE50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5046"/>
  </w:style>
  <w:style w:type="paragraph" w:styleId="ListParagraph">
    <w:name w:val="List Paragraph"/>
    <w:basedOn w:val="Normal"/>
    <w:uiPriority w:val="34"/>
    <w:qFormat/>
    <w:rsid w:val="00500ECC"/>
    <w:pPr>
      <w:ind w:left="720"/>
      <w:contextualSpacing/>
    </w:pPr>
  </w:style>
  <w:style w:type="character" w:styleId="Emphasis">
    <w:name w:val="Emphasis"/>
    <w:basedOn w:val="DefaultParagraphFont"/>
    <w:uiPriority w:val="20"/>
    <w:qFormat/>
    <w:rsid w:val="0078382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reativitycultureeducation.org/publication/all-our-futures-creativity-culture-and-education/" TargetMode="External"/><Relationship Id="rId18" Type="http://schemas.openxmlformats.org/officeDocument/2006/relationships/hyperlink" Target="https://www.estyn.gov.wales/effective-practice/creating-innovative-curriculum-using-expressive-arts"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www.nationalgallery.org.uk/learning/teachers-and-schools/take-one-picture/about" TargetMode="External"/><Relationship Id="rId7" Type="http://schemas.openxmlformats.org/officeDocument/2006/relationships/endnotes" Target="endnotes.xml"/><Relationship Id="rId12" Type="http://schemas.openxmlformats.org/officeDocument/2006/relationships/hyperlink" Target="http://www.habitsofmindinstitute.org/wp-content/uploads/2015/08/Habits-of-Mind-w-icons-and-eduplanet.pdf" TargetMode="External"/><Relationship Id="rId17" Type="http://schemas.openxmlformats.org/officeDocument/2006/relationships/hyperlink" Target="http://gov.wales/docs/dcells/publications/150317-successful-futures-en.pdf" TargetMode="External"/><Relationship Id="rId25" Type="http://schemas.openxmlformats.org/officeDocument/2006/relationships/hyperlink" Target="http://valerieganz.co.uk/about/" TargetMode="External"/><Relationship Id="rId2" Type="http://schemas.openxmlformats.org/officeDocument/2006/relationships/numbering" Target="numbering.xml"/><Relationship Id="rId16" Type="http://schemas.openxmlformats.org/officeDocument/2006/relationships/hyperlink" Target="https://www.learning-theories.com/vygotskys-social-learning-theory.html" TargetMode="External"/><Relationship Id="rId20" Type="http://schemas.openxmlformats.org/officeDocument/2006/relationships/hyperlink" Target="https://www.simplypsychology.org/bruner.html"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eta.gov.wales/sites/default/files/publications/2018-02/creative-learning-through-the-arts-an-action-plan-for-wales-2015-2020.pdf" TargetMode="External"/><Relationship Id="rId24" Type="http://schemas.openxmlformats.org/officeDocument/2006/relationships/hyperlink" Target="https://downloads.unicef.org.uk/wp-content/uploads/2010/05/UNCRC_PRESS200910web.pdf?_ga=2.146807415.1554381621.1541864063-241464382.1540928685" TargetMode="External"/><Relationship Id="rId5" Type="http://schemas.openxmlformats.org/officeDocument/2006/relationships/webSettings" Target="webSettings.xml"/><Relationship Id="rId15" Type="http://schemas.openxmlformats.org/officeDocument/2006/relationships/hyperlink" Target="https://www.learning-theories.com/constructivism.html" TargetMode="External"/><Relationship Id="rId23" Type="http://schemas.openxmlformats.org/officeDocument/2006/relationships/hyperlink" Target="https://www.tes.com/news/subject-knowledge-prime-factor-good-teaching-experts-say" TargetMode="External"/><Relationship Id="rId28" Type="http://schemas.openxmlformats.org/officeDocument/2006/relationships/header" Target="header2.xml"/><Relationship Id="rId10" Type="http://schemas.openxmlformats.org/officeDocument/2006/relationships/hyperlink" Target="http://learning.gov.wales/docs/learningwales/publications/130424-developing-the-curriculum-cymreig-en.pdf" TargetMode="External"/><Relationship Id="rId19" Type="http://schemas.openxmlformats.org/officeDocument/2006/relationships/hyperlink" Target="https://www.simplypsychology.org/vygotsky.html"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learning-theories.com/blooms-taxonomy-bloom.html" TargetMode="External"/><Relationship Id="rId22" Type="http://schemas.openxmlformats.org/officeDocument/2006/relationships/hyperlink" Target="https://gov.wales/docs/dcells/publications/130920-arts-in-education-en.pdf" TargetMode="External"/><Relationship Id="rId27" Type="http://schemas.openxmlformats.org/officeDocument/2006/relationships/footer" Target="footer1.xml"/><Relationship Id="rId30"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BCE3082F1DDC4DFDABB313AEA711965F"/>
        <w:category>
          <w:name w:val="General"/>
          <w:gallery w:val="placeholder"/>
        </w:category>
        <w:types>
          <w:type w:val="bbPlcHdr"/>
        </w:types>
        <w:behaviors>
          <w:behavior w:val="content"/>
        </w:behaviors>
        <w:guid w:val="{FA462F3D-9345-4079-9FDE-B0E1E0316262}"/>
      </w:docPartPr>
      <w:docPartBody>
        <w:p w:rsidR="00F32AD0" w:rsidRDefault="00820B20" w:rsidP="00820B20">
          <w:pPr>
            <w:pStyle w:val="BCE3082F1DDC4DFDABB313AEA711965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Bradley Hand ITC">
    <w:altName w:val="Bradley Hand ITC"/>
    <w:charset w:val="00"/>
    <w:family w:val="script"/>
    <w:pitch w:val="variable"/>
    <w:sig w:usb0="00000003" w:usb1="00000000" w:usb2="00000000" w:usb3="00000000" w:csb0="00000001"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0B20"/>
    <w:rsid w:val="0079559D"/>
    <w:rsid w:val="00820B20"/>
    <w:rsid w:val="008904CD"/>
    <w:rsid w:val="008B59B7"/>
    <w:rsid w:val="009F0E51"/>
    <w:rsid w:val="00C35E5B"/>
    <w:rsid w:val="00DA0EA5"/>
    <w:rsid w:val="00F32A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CE3082F1DDC4DFDABB313AEA711965F">
    <w:name w:val="BCE3082F1DDC4DFDABB313AEA711965F"/>
    <w:rsid w:val="00820B20"/>
  </w:style>
  <w:style w:type="paragraph" w:customStyle="1" w:styleId="6FDF5E5003424ACB894B4A505415E367">
    <w:name w:val="6FDF5E5003424ACB894B4A505415E367"/>
    <w:rsid w:val="00820B20"/>
  </w:style>
  <w:style w:type="paragraph" w:customStyle="1" w:styleId="8990BE0C5B284B84B25DF3C3387E80C3">
    <w:name w:val="8990BE0C5B284B84B25DF3C3387E80C3"/>
    <w:rsid w:val="008904C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31382D-2EEB-4199-ABE0-92C927352E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10665</TotalTime>
  <Pages>13</Pages>
  <Words>5365</Words>
  <Characters>30582</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tHE VISUAL AND EXPRESSIVE ARTS</vt:lpstr>
    </vt:vector>
  </TitlesOfParts>
  <Company/>
  <LinksUpToDate>false</LinksUpToDate>
  <CharactersWithSpaces>35876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VISUAL AND EXPRESSIVE ARTS</dc:title>
  <dc:subject>ECAD5005</dc:subject>
  <dc:creator>alice2018brown@outlook.com</dc:creator>
  <cp:keywords/>
  <dc:description/>
  <cp:lastModifiedBy>alice2018brown@outlook.com</cp:lastModifiedBy>
  <cp:revision>943</cp:revision>
  <dcterms:created xsi:type="dcterms:W3CDTF">2018-10-19T13:33:00Z</dcterms:created>
  <dcterms:modified xsi:type="dcterms:W3CDTF">2018-11-12T18:46:00Z</dcterms:modified>
</cp:coreProperties>
</file>