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5294" w:rsidRDefault="001A634B">
      <w:pPr>
        <w:rPr>
          <w:sz w:val="28"/>
          <w:szCs w:val="28"/>
        </w:rPr>
      </w:pPr>
      <w:r>
        <w:rPr>
          <w:sz w:val="28"/>
          <w:szCs w:val="28"/>
        </w:rPr>
        <w:t xml:space="preserve">SOLUTIONS </w:t>
      </w:r>
      <w:r w:rsidR="007E67FD">
        <w:rPr>
          <w:sz w:val="28"/>
          <w:szCs w:val="28"/>
        </w:rPr>
        <w:t>May 2020</w:t>
      </w:r>
      <w:bookmarkStart w:id="0" w:name="_GoBack"/>
      <w:bookmarkEnd w:id="0"/>
    </w:p>
    <w:p w:rsidR="001A634B" w:rsidRDefault="00F719A9">
      <w:pPr>
        <w:rPr>
          <w:sz w:val="28"/>
          <w:szCs w:val="28"/>
        </w:rPr>
      </w:pPr>
      <w:r>
        <w:rPr>
          <w:sz w:val="28"/>
          <w:szCs w:val="28"/>
        </w:rPr>
        <w:t>Q 1.-</w:t>
      </w:r>
    </w:p>
    <w:p w:rsidR="00354B9E" w:rsidRPr="00F719A9" w:rsidRDefault="00354B9E" w:rsidP="00354B9E">
      <w:pPr>
        <w:rPr>
          <w:sz w:val="28"/>
          <w:szCs w:val="28"/>
        </w:rPr>
      </w:pPr>
      <w:r w:rsidRPr="00F719A9">
        <w:rPr>
          <w:sz w:val="28"/>
          <w:szCs w:val="28"/>
        </w:rPr>
        <w:t>The ocean plays a fundamental role in shaping the climate zones we see on land. Even areas hundreds of miles away from any coastline are still largely influenced by the global ocean system.</w:t>
      </w:r>
    </w:p>
    <w:p w:rsidR="00354B9E" w:rsidRPr="00F719A9" w:rsidRDefault="00354B9E" w:rsidP="00354B9E">
      <w:pPr>
        <w:rPr>
          <w:sz w:val="28"/>
          <w:szCs w:val="28"/>
        </w:rPr>
      </w:pPr>
      <w:r w:rsidRPr="00F719A9">
        <w:rPr>
          <w:sz w:val="28"/>
          <w:szCs w:val="28"/>
        </w:rPr>
        <w:t>Ocean currents act as conveyer belts of warm and cold water, sending heat toward the polar regions and helping tropical areas cool off.</w:t>
      </w:r>
    </w:p>
    <w:p w:rsidR="00354B9E" w:rsidRPr="00F719A9" w:rsidRDefault="00354B9E" w:rsidP="00354B9E">
      <w:pPr>
        <w:rPr>
          <w:sz w:val="28"/>
          <w:szCs w:val="28"/>
        </w:rPr>
      </w:pPr>
    </w:p>
    <w:p w:rsidR="00354B9E" w:rsidRPr="00F719A9" w:rsidRDefault="00354B9E" w:rsidP="00354B9E">
      <w:pPr>
        <w:rPr>
          <w:sz w:val="28"/>
          <w:szCs w:val="28"/>
        </w:rPr>
      </w:pPr>
      <w:r w:rsidRPr="00F719A9">
        <w:rPr>
          <w:sz w:val="28"/>
          <w:szCs w:val="28"/>
        </w:rPr>
        <w:t>The world’s ocean is crucial to heating the planet. While land areas and the atmosphere absorb some sunlight, the majority of the sun’s radiation is absorbed by the ocean. Particularly in the tropical waters around the equator, the ocean acts a as massive, heat-retaining solar panel. Earth’s atmosphere also plays a part in this process, helping to retain heat that would otherwise quickly radiate into space after sunset.</w:t>
      </w:r>
    </w:p>
    <w:p w:rsidR="00354B9E" w:rsidRPr="00F719A9" w:rsidRDefault="00354B9E" w:rsidP="00354B9E">
      <w:pPr>
        <w:rPr>
          <w:sz w:val="28"/>
          <w:szCs w:val="28"/>
        </w:rPr>
      </w:pPr>
    </w:p>
    <w:p w:rsidR="00354B9E" w:rsidRPr="00F719A9" w:rsidRDefault="00354B9E" w:rsidP="00354B9E">
      <w:pPr>
        <w:rPr>
          <w:sz w:val="28"/>
          <w:szCs w:val="28"/>
        </w:rPr>
      </w:pPr>
      <w:r w:rsidRPr="00F719A9">
        <w:rPr>
          <w:sz w:val="28"/>
          <w:szCs w:val="28"/>
        </w:rPr>
        <w:t>The ocean doesn't just store solar radiation; it also helps to distribute heat around the globe. When water molecules are heated, they exchange freely with the air in a process called evaporation. Ocean water is constantly evaporating, increasing the temperature and humidity of the surrounding air to form rain and storms that are then carried by trade winds, often vast distances. In fact, almost all rain that falls on land starts off in the ocean. The tropics are particularly rainy because heat absorption, and thus ocean evaporation, is highest in this area.</w:t>
      </w:r>
    </w:p>
    <w:p w:rsidR="00354B9E" w:rsidRPr="00F719A9" w:rsidRDefault="00354B9E" w:rsidP="00354B9E">
      <w:pPr>
        <w:rPr>
          <w:sz w:val="28"/>
          <w:szCs w:val="28"/>
        </w:rPr>
      </w:pPr>
    </w:p>
    <w:p w:rsidR="00354B9E" w:rsidRPr="00F719A9" w:rsidRDefault="00354B9E" w:rsidP="00354B9E">
      <w:pPr>
        <w:rPr>
          <w:sz w:val="28"/>
          <w:szCs w:val="28"/>
        </w:rPr>
      </w:pPr>
      <w:r w:rsidRPr="00F719A9">
        <w:rPr>
          <w:sz w:val="28"/>
          <w:szCs w:val="28"/>
        </w:rPr>
        <w:t>Outside of Earth’s equatorial areas, weather patterns are driven largely by ocean currents. Currents are movements of ocean water in a continuous flow, created largely by surface winds but also partly by temperature and salinity gradients, Earth’s rotation, and tides (the gravitational effects of the sun and moon). Major current systems typically flow clockwise in the northern hemisphere and counterclockwise in the southern hemisphere, in circular patterns that often trace the coastlines.</w:t>
      </w:r>
    </w:p>
    <w:p w:rsidR="00354B9E" w:rsidRPr="00F719A9" w:rsidRDefault="00354B9E" w:rsidP="00354B9E">
      <w:pPr>
        <w:rPr>
          <w:sz w:val="28"/>
          <w:szCs w:val="28"/>
        </w:rPr>
      </w:pPr>
    </w:p>
    <w:p w:rsidR="00354B9E" w:rsidRDefault="00354B9E" w:rsidP="00354B9E">
      <w:pPr>
        <w:rPr>
          <w:sz w:val="28"/>
          <w:szCs w:val="28"/>
        </w:rPr>
      </w:pPr>
      <w:r w:rsidRPr="00F719A9">
        <w:rPr>
          <w:sz w:val="28"/>
          <w:szCs w:val="28"/>
        </w:rPr>
        <w:lastRenderedPageBreak/>
        <w:t>Ocean currents act much like a conveyer belt, transporting warm water and precipitation from the equator toward the poles and cold water from the poles back to the tropics. Thus, currents regulate global climate, helping to counteract the uneven distribution of solar radiation reaching Earth’s surface. Without currents, regional temperatures would be more extreme—super hot at the equator and frigid toward the poles—and much less of Earth’s land would be habitable.</w:t>
      </w:r>
    </w:p>
    <w:p w:rsidR="00354B9E" w:rsidRPr="00F719A9" w:rsidRDefault="00354B9E" w:rsidP="00354B9E">
      <w:pPr>
        <w:rPr>
          <w:sz w:val="28"/>
          <w:szCs w:val="28"/>
        </w:rPr>
      </w:pPr>
      <w:r w:rsidRPr="00F719A9">
        <w:rPr>
          <w:sz w:val="28"/>
          <w:szCs w:val="28"/>
        </w:rPr>
        <w:t>How Do the Oceans Affect Global Climate?</w:t>
      </w:r>
    </w:p>
    <w:p w:rsidR="00354B9E" w:rsidRPr="00F719A9" w:rsidRDefault="00354B9E" w:rsidP="00354B9E">
      <w:pPr>
        <w:rPr>
          <w:sz w:val="28"/>
          <w:szCs w:val="28"/>
        </w:rPr>
      </w:pPr>
      <w:r w:rsidRPr="00F719A9">
        <w:rPr>
          <w:sz w:val="28"/>
          <w:szCs w:val="28"/>
        </w:rPr>
        <w:t>Just like the oceans affect weather patterns, they play a major role in the Earth's climate system. The oceans have tremendous thermal and dynamical inertia, which can slow and dampen the rate of climate change. The upper ten feet (3 meters) of the ocean holds as much heat as the entire atmosphere. The moderating effect of ocean temperature reduces the daily and annual range of coastal temperatures, and results in a lag of the global summer and winter seasonal temperatures extremes by several weeks behind the annual track of the sun. For the considerably longer periods– decades to millennia – which are relevant for climate change, the significantly larger heat capacity of the deep ocean is important. Ocean currents and mixing by winds and waves can transport and redistribute heat to deeper ocean layers. It can reside in this deep reservoir for centuries, further stabilizing the Earth’s climate and slowing the effects of climate change.</w:t>
      </w:r>
    </w:p>
    <w:p w:rsidR="00354B9E" w:rsidRPr="00F719A9" w:rsidRDefault="00354B9E" w:rsidP="00354B9E">
      <w:pPr>
        <w:rPr>
          <w:sz w:val="28"/>
          <w:szCs w:val="28"/>
        </w:rPr>
      </w:pPr>
    </w:p>
    <w:p w:rsidR="00354B9E" w:rsidRPr="00F719A9" w:rsidRDefault="00354B9E" w:rsidP="00354B9E">
      <w:pPr>
        <w:rPr>
          <w:sz w:val="28"/>
          <w:szCs w:val="28"/>
        </w:rPr>
      </w:pPr>
      <w:r w:rsidRPr="00F719A9">
        <w:rPr>
          <w:sz w:val="28"/>
          <w:szCs w:val="28"/>
        </w:rPr>
        <w:t>The ocean stores and transports not only heat but also carbon dioxide (CO2), a potential major source of global warming. About half of the total CO2 added to the atmosphere during the past century by human activity – mostly from the use of fossil fuels and deforestation– has been absorbed by the ocean. Most of the CO2 emitted into the atmosphere will eventually be absorbed by the ocean. However, this process will take several decades to centuries. Phytoplankton also stores carbon dioxide from the upper layers of the ocean. Many species sequestered CO2 in their carbonate shells, which eventually sink to the ocean floor for burial, or long-term removal from the carbon cycle.</w:t>
      </w:r>
    </w:p>
    <w:p w:rsidR="00354B9E" w:rsidRPr="00F719A9" w:rsidRDefault="00354B9E" w:rsidP="00354B9E">
      <w:pPr>
        <w:rPr>
          <w:sz w:val="28"/>
          <w:szCs w:val="28"/>
        </w:rPr>
      </w:pPr>
    </w:p>
    <w:p w:rsidR="00354B9E" w:rsidRPr="00F719A9" w:rsidRDefault="00354B9E" w:rsidP="00354B9E">
      <w:pPr>
        <w:rPr>
          <w:sz w:val="28"/>
          <w:szCs w:val="28"/>
        </w:rPr>
      </w:pPr>
      <w:r w:rsidRPr="00F719A9">
        <w:rPr>
          <w:sz w:val="28"/>
          <w:szCs w:val="28"/>
        </w:rPr>
        <w:t>Why Are the Ocean Currents Important to Climate?</w:t>
      </w:r>
    </w:p>
    <w:p w:rsidR="00354B9E" w:rsidRPr="00F719A9" w:rsidRDefault="00354B9E" w:rsidP="00354B9E">
      <w:pPr>
        <w:rPr>
          <w:sz w:val="28"/>
          <w:szCs w:val="28"/>
        </w:rPr>
      </w:pPr>
      <w:r w:rsidRPr="00F719A9">
        <w:rPr>
          <w:sz w:val="28"/>
          <w:szCs w:val="28"/>
        </w:rPr>
        <w:lastRenderedPageBreak/>
        <w:t>Ocean currents transport and redistribute heat and salt. Both play an important role in driving the planetary climate engine. Of particular importance are the western boundary currents (e.g., Gulf Stream and Kuroshio Current) and eastern boundary undercurrents (e.g., California Undercurrent), which transport heat from the tropics toward the poles, effectively acting as the ocean's "great conveyor belt". Fluctuations in the transport of these currents alter the rate that heat is redistributed through the oceans. Sudden shifts in these currents are thought to have initiated past ice ages.</w:t>
      </w:r>
    </w:p>
    <w:p w:rsidR="00354B9E" w:rsidRPr="00F719A9" w:rsidRDefault="00354B9E" w:rsidP="00354B9E">
      <w:pPr>
        <w:rPr>
          <w:sz w:val="28"/>
          <w:szCs w:val="28"/>
        </w:rPr>
      </w:pPr>
    </w:p>
    <w:p w:rsidR="00354B9E" w:rsidRPr="00F719A9" w:rsidRDefault="00354B9E" w:rsidP="00354B9E">
      <w:pPr>
        <w:rPr>
          <w:sz w:val="28"/>
          <w:szCs w:val="28"/>
        </w:rPr>
      </w:pPr>
      <w:r w:rsidRPr="00F719A9">
        <w:rPr>
          <w:sz w:val="28"/>
          <w:szCs w:val="28"/>
        </w:rPr>
        <w:t>In addition to the horizontal transport of water and heat, vertical motions in the ocean are critical to the exchange of heat and gases such as CO2 between the surface layer and the deep ocean. One of the most common processes is upwelling. Interannual variations in upwelling at the coast create fluctuations in biological production in coastal ecosystems. Longer term trends in upwelling are thought to be related to global warming.</w:t>
      </w:r>
    </w:p>
    <w:p w:rsidR="00354B9E" w:rsidRDefault="00354B9E">
      <w:pPr>
        <w:rPr>
          <w:sz w:val="28"/>
          <w:szCs w:val="28"/>
        </w:rPr>
      </w:pPr>
      <w:r>
        <w:rPr>
          <w:sz w:val="28"/>
          <w:szCs w:val="28"/>
        </w:rPr>
        <w:t>Plus references</w:t>
      </w:r>
    </w:p>
    <w:p w:rsidR="00354B9E" w:rsidRDefault="00354B9E">
      <w:pPr>
        <w:rPr>
          <w:sz w:val="28"/>
          <w:szCs w:val="28"/>
        </w:rPr>
      </w:pPr>
    </w:p>
    <w:p w:rsidR="00354B9E" w:rsidRDefault="00354B9E">
      <w:pPr>
        <w:rPr>
          <w:sz w:val="28"/>
          <w:szCs w:val="28"/>
        </w:rPr>
      </w:pPr>
    </w:p>
    <w:p w:rsidR="00354B9E" w:rsidRDefault="00354B9E">
      <w:pPr>
        <w:rPr>
          <w:sz w:val="28"/>
          <w:szCs w:val="28"/>
        </w:rPr>
      </w:pPr>
    </w:p>
    <w:p w:rsidR="00354B9E" w:rsidRDefault="00354B9E">
      <w:pPr>
        <w:rPr>
          <w:sz w:val="28"/>
          <w:szCs w:val="28"/>
        </w:rPr>
      </w:pPr>
    </w:p>
    <w:p w:rsidR="003D02CE" w:rsidRPr="00354B9E" w:rsidRDefault="003D02CE" w:rsidP="00354B9E">
      <w:pPr>
        <w:rPr>
          <w:sz w:val="28"/>
          <w:szCs w:val="28"/>
        </w:rPr>
      </w:pPr>
      <w:r w:rsidRPr="00354B9E">
        <w:rPr>
          <w:sz w:val="28"/>
          <w:szCs w:val="28"/>
        </w:rPr>
        <w:br/>
      </w:r>
    </w:p>
    <w:p w:rsidR="003D02CE" w:rsidRPr="003D02CE" w:rsidRDefault="003D02CE" w:rsidP="003D02CE">
      <w:pPr>
        <w:ind w:left="360"/>
        <w:rPr>
          <w:sz w:val="28"/>
          <w:szCs w:val="28"/>
        </w:rPr>
      </w:pPr>
    </w:p>
    <w:p w:rsidR="00621EEE" w:rsidRDefault="00621EEE">
      <w:pPr>
        <w:rPr>
          <w:sz w:val="28"/>
          <w:szCs w:val="28"/>
        </w:rPr>
      </w:pPr>
    </w:p>
    <w:p w:rsidR="00485736" w:rsidRDefault="00485736" w:rsidP="00485736">
      <w:pPr>
        <w:rPr>
          <w:sz w:val="28"/>
          <w:szCs w:val="28"/>
        </w:rPr>
      </w:pPr>
      <w:r>
        <w:rPr>
          <w:sz w:val="28"/>
          <w:szCs w:val="28"/>
        </w:rPr>
        <w:t>Q 2.-</w:t>
      </w:r>
    </w:p>
    <w:p w:rsidR="00354B9E" w:rsidRPr="00354B9E" w:rsidRDefault="00354B9E" w:rsidP="00354B9E">
      <w:pPr>
        <w:ind w:left="360"/>
        <w:rPr>
          <w:sz w:val="28"/>
          <w:szCs w:val="28"/>
        </w:rPr>
      </w:pPr>
      <w:r w:rsidRPr="00354B9E">
        <w:rPr>
          <w:sz w:val="28"/>
          <w:szCs w:val="28"/>
        </w:rPr>
        <w:t>Need to write an answer including:</w:t>
      </w:r>
    </w:p>
    <w:p w:rsidR="00354B9E" w:rsidRPr="00354B9E" w:rsidRDefault="00354B9E" w:rsidP="00354B9E">
      <w:pPr>
        <w:ind w:left="360"/>
        <w:rPr>
          <w:sz w:val="28"/>
          <w:szCs w:val="28"/>
        </w:rPr>
      </w:pPr>
      <w:r w:rsidRPr="00354B9E">
        <w:rPr>
          <w:sz w:val="28"/>
          <w:szCs w:val="28"/>
        </w:rPr>
        <w:t>Large-scale dams are built for a number of reasons, but primarily to create a large reservoir and modify a river’s flow. This can’t not have an impact envrionmentally.</w:t>
      </w:r>
    </w:p>
    <w:p w:rsidR="00354B9E" w:rsidRDefault="00354B9E" w:rsidP="00354B9E">
      <w:pPr>
        <w:pStyle w:val="ListParagraph"/>
        <w:rPr>
          <w:sz w:val="28"/>
          <w:szCs w:val="28"/>
        </w:rPr>
      </w:pPr>
      <w:r>
        <w:rPr>
          <w:sz w:val="28"/>
          <w:szCs w:val="28"/>
        </w:rPr>
        <w:t xml:space="preserve">The lakes themselves drown previously available land, which has habitat impacts; it also causes micro-climate impacts, since evaporation over the </w:t>
      </w:r>
      <w:r>
        <w:rPr>
          <w:sz w:val="28"/>
          <w:szCs w:val="28"/>
        </w:rPr>
        <w:lastRenderedPageBreak/>
        <w:t>lake leads to cloud formation, and the water acts as a thermal sink (thereby increasing humidity and lowering temperature). Very large reservoirs can cause regional impacts on climate – it some places this can help reverse unnatural aridity, but in some areas it removes habitat for rare, niche-adapted species.</w:t>
      </w:r>
      <w:r>
        <w:rPr>
          <w:sz w:val="28"/>
          <w:szCs w:val="28"/>
        </w:rPr>
        <w:br/>
        <w:t>The lakes also start silting up, however, owing to the river slowing and so dumping its sediment load as it hits the dam. Downstream of the dam there are also pronounced morphological changes. Because the water now has a reduced/negligible sediment load, its erosional power increases, leading to impacts such as bank collapse, channelisation, vegetation-stripping and delta erosion. Deltas are particularly vulnerable, as are their attendant ecosystems. This can lead to additional human interventions such as embankments, which bring their own impacts.</w:t>
      </w:r>
      <w:r>
        <w:rPr>
          <w:sz w:val="28"/>
          <w:szCs w:val="28"/>
        </w:rPr>
        <w:br/>
        <w:t>Additionally, the river below the dam has reduced flow – this affects biological communities through habitat reduction, but also through seasonal changes. Rivers in areas with pronounced dry seasons may now dwindle dramatically or even dry up during them, with disastrous consequences for the ecosystem.</w:t>
      </w:r>
    </w:p>
    <w:p w:rsidR="00354B9E" w:rsidRDefault="00354B9E" w:rsidP="00354B9E">
      <w:pPr>
        <w:pStyle w:val="ListParagraph"/>
        <w:rPr>
          <w:sz w:val="28"/>
          <w:szCs w:val="28"/>
        </w:rPr>
      </w:pPr>
      <w:r>
        <w:rPr>
          <w:sz w:val="28"/>
          <w:szCs w:val="28"/>
        </w:rPr>
        <w:t>This also impacts a river’s flood regime. Organisms that need regular innundation may no longer get it, and surrounding wetlands can dry up without regular water input. The other side of the coin, of course, is new habitat made above the dam in the form of both lakes and potential wetlands.</w:t>
      </w:r>
    </w:p>
    <w:p w:rsidR="00354B9E" w:rsidRDefault="00354B9E" w:rsidP="00354B9E">
      <w:pPr>
        <w:pStyle w:val="ListParagraph"/>
        <w:rPr>
          <w:sz w:val="28"/>
          <w:szCs w:val="28"/>
        </w:rPr>
      </w:pPr>
    </w:p>
    <w:p w:rsidR="00354B9E" w:rsidRDefault="00354B9E" w:rsidP="00354B9E">
      <w:pPr>
        <w:pStyle w:val="ListParagraph"/>
        <w:rPr>
          <w:sz w:val="28"/>
          <w:szCs w:val="28"/>
        </w:rPr>
      </w:pPr>
      <w:r>
        <w:rPr>
          <w:sz w:val="28"/>
          <w:szCs w:val="28"/>
        </w:rPr>
        <w:t>The impounded water also seems to increase the risk of seismic activity... they need to expand on this and include examples.</w:t>
      </w:r>
    </w:p>
    <w:p w:rsidR="00354B9E" w:rsidRDefault="00354B9E" w:rsidP="00354B9E">
      <w:pPr>
        <w:pStyle w:val="ListParagraph"/>
        <w:rPr>
          <w:sz w:val="28"/>
          <w:szCs w:val="28"/>
        </w:rPr>
      </w:pPr>
    </w:p>
    <w:p w:rsidR="00354B9E" w:rsidRDefault="00354B9E" w:rsidP="00354B9E">
      <w:pPr>
        <w:pStyle w:val="ListParagraph"/>
        <w:rPr>
          <w:sz w:val="28"/>
          <w:szCs w:val="28"/>
        </w:rPr>
      </w:pPr>
    </w:p>
    <w:p w:rsidR="001A634B" w:rsidRDefault="001A634B">
      <w:pPr>
        <w:rPr>
          <w:sz w:val="28"/>
          <w:szCs w:val="28"/>
        </w:rPr>
      </w:pPr>
    </w:p>
    <w:p w:rsidR="001A634B" w:rsidRDefault="001A634B">
      <w:pPr>
        <w:rPr>
          <w:sz w:val="28"/>
          <w:szCs w:val="28"/>
        </w:rPr>
      </w:pPr>
    </w:p>
    <w:p w:rsidR="00621EEE" w:rsidRDefault="00621EEE">
      <w:pPr>
        <w:rPr>
          <w:sz w:val="28"/>
          <w:szCs w:val="28"/>
        </w:rPr>
      </w:pPr>
    </w:p>
    <w:p w:rsidR="00621EEE" w:rsidRDefault="00621EEE">
      <w:pPr>
        <w:rPr>
          <w:sz w:val="28"/>
          <w:szCs w:val="28"/>
        </w:rPr>
      </w:pPr>
    </w:p>
    <w:p w:rsidR="00621EEE" w:rsidRDefault="00621EEE">
      <w:pPr>
        <w:rPr>
          <w:sz w:val="28"/>
          <w:szCs w:val="28"/>
        </w:rPr>
      </w:pPr>
    </w:p>
    <w:p w:rsidR="00621EEE" w:rsidRDefault="00621EEE">
      <w:pPr>
        <w:rPr>
          <w:sz w:val="28"/>
          <w:szCs w:val="28"/>
        </w:rPr>
      </w:pPr>
    </w:p>
    <w:p w:rsidR="001A634B" w:rsidRDefault="001A634B" w:rsidP="001A634B">
      <w:pPr>
        <w:rPr>
          <w:sz w:val="28"/>
          <w:szCs w:val="28"/>
        </w:rPr>
      </w:pPr>
      <w:r>
        <w:rPr>
          <w:sz w:val="28"/>
          <w:szCs w:val="28"/>
        </w:rPr>
        <w:lastRenderedPageBreak/>
        <w:t xml:space="preserve">Q </w:t>
      </w:r>
      <w:r w:rsidR="00485736">
        <w:rPr>
          <w:sz w:val="28"/>
          <w:szCs w:val="28"/>
        </w:rPr>
        <w:t>3</w:t>
      </w:r>
      <w:r>
        <w:rPr>
          <w:sz w:val="28"/>
          <w:szCs w:val="28"/>
        </w:rPr>
        <w:t>.-</w:t>
      </w:r>
      <w:r w:rsidR="00354B9E">
        <w:rPr>
          <w:sz w:val="28"/>
          <w:szCs w:val="28"/>
        </w:rPr>
        <w:t xml:space="preserve"> </w:t>
      </w:r>
      <w:r w:rsidR="00F31FA0">
        <w:rPr>
          <w:sz w:val="28"/>
          <w:szCs w:val="28"/>
        </w:rPr>
        <w:t>Need to give an answer including the following info:</w:t>
      </w:r>
    </w:p>
    <w:p w:rsidR="00F31FA0" w:rsidRPr="00F31FA0" w:rsidRDefault="00F31FA0" w:rsidP="00F31FA0">
      <w:pPr>
        <w:numPr>
          <w:ilvl w:val="2"/>
          <w:numId w:val="4"/>
        </w:numPr>
        <w:spacing w:after="200" w:line="276" w:lineRule="auto"/>
        <w:contextualSpacing/>
        <w:rPr>
          <w:rFonts w:ascii="Calibri" w:eastAsia="Calibri" w:hAnsi="Calibri" w:cs="Times New Roman"/>
        </w:rPr>
      </w:pPr>
      <w:r w:rsidRPr="00F31FA0">
        <w:rPr>
          <w:rFonts w:ascii="Calibri" w:eastAsia="Calibri" w:hAnsi="Calibri" w:cs="Times New Roman"/>
        </w:rPr>
        <w:t>At this point, lots of large animals; body weight of &gt;44kg, usually mammals.</w:t>
      </w:r>
    </w:p>
    <w:p w:rsidR="00F31FA0" w:rsidRPr="00F31FA0" w:rsidRDefault="00F31FA0" w:rsidP="00F31FA0">
      <w:pPr>
        <w:numPr>
          <w:ilvl w:val="2"/>
          <w:numId w:val="4"/>
        </w:numPr>
        <w:spacing w:after="200" w:line="276" w:lineRule="auto"/>
        <w:contextualSpacing/>
        <w:rPr>
          <w:rFonts w:ascii="Calibri" w:eastAsia="Calibri" w:hAnsi="Calibri" w:cs="Times New Roman"/>
        </w:rPr>
      </w:pPr>
      <w:r w:rsidRPr="00F31FA0">
        <w:rPr>
          <w:rFonts w:ascii="Calibri" w:eastAsia="Calibri" w:hAnsi="Calibri" w:cs="Times New Roman"/>
        </w:rPr>
        <w:t>We recognise a lot as big versions of current animals:</w:t>
      </w:r>
    </w:p>
    <w:p w:rsidR="00F31FA0" w:rsidRPr="00F31FA0" w:rsidRDefault="00F31FA0" w:rsidP="00F31FA0">
      <w:pPr>
        <w:numPr>
          <w:ilvl w:val="3"/>
          <w:numId w:val="4"/>
        </w:numPr>
        <w:spacing w:after="200" w:line="276" w:lineRule="auto"/>
        <w:contextualSpacing/>
        <w:rPr>
          <w:rFonts w:ascii="Calibri" w:eastAsia="Calibri" w:hAnsi="Calibri" w:cs="Times New Roman"/>
        </w:rPr>
      </w:pPr>
      <w:r w:rsidRPr="00F31FA0">
        <w:rPr>
          <w:rFonts w:ascii="Calibri" w:eastAsia="Calibri" w:hAnsi="Calibri" w:cs="Times New Roman"/>
        </w:rPr>
        <w:t>Woolly rhino (Coleodonta antiquitatis)</w:t>
      </w:r>
    </w:p>
    <w:p w:rsidR="00F31FA0" w:rsidRPr="00F31FA0" w:rsidRDefault="00F31FA0" w:rsidP="00F31FA0">
      <w:pPr>
        <w:numPr>
          <w:ilvl w:val="3"/>
          <w:numId w:val="4"/>
        </w:numPr>
        <w:spacing w:after="200" w:line="276" w:lineRule="auto"/>
        <w:contextualSpacing/>
        <w:rPr>
          <w:rFonts w:ascii="Calibri" w:eastAsia="Calibri" w:hAnsi="Calibri" w:cs="Times New Roman"/>
        </w:rPr>
      </w:pPr>
      <w:r w:rsidRPr="00F31FA0">
        <w:rPr>
          <w:rFonts w:ascii="Calibri" w:eastAsia="Calibri" w:hAnsi="Calibri" w:cs="Times New Roman"/>
        </w:rPr>
        <w:t>Mastodont (Mammut americanum)</w:t>
      </w:r>
    </w:p>
    <w:p w:rsidR="00F31FA0" w:rsidRPr="00F31FA0" w:rsidRDefault="00F31FA0" w:rsidP="00F31FA0">
      <w:pPr>
        <w:numPr>
          <w:ilvl w:val="3"/>
          <w:numId w:val="4"/>
        </w:numPr>
        <w:spacing w:after="200" w:line="276" w:lineRule="auto"/>
        <w:contextualSpacing/>
        <w:rPr>
          <w:rFonts w:ascii="Calibri" w:eastAsia="Calibri" w:hAnsi="Calibri" w:cs="Times New Roman"/>
        </w:rPr>
      </w:pPr>
      <w:r w:rsidRPr="00F31FA0">
        <w:rPr>
          <w:rFonts w:ascii="Calibri" w:eastAsia="Calibri" w:hAnsi="Calibri" w:cs="Times New Roman"/>
        </w:rPr>
        <w:t>Irish elk (Megaloceros spp)</w:t>
      </w:r>
    </w:p>
    <w:p w:rsidR="00F31FA0" w:rsidRPr="00F31FA0" w:rsidRDefault="00F31FA0" w:rsidP="00F31FA0">
      <w:pPr>
        <w:numPr>
          <w:ilvl w:val="3"/>
          <w:numId w:val="4"/>
        </w:numPr>
        <w:spacing w:after="200" w:line="276" w:lineRule="auto"/>
        <w:contextualSpacing/>
        <w:rPr>
          <w:rFonts w:ascii="Calibri" w:eastAsia="Calibri" w:hAnsi="Calibri" w:cs="Times New Roman"/>
        </w:rPr>
      </w:pPr>
      <w:r w:rsidRPr="00F31FA0">
        <w:rPr>
          <w:rFonts w:ascii="Calibri" w:eastAsia="Calibri" w:hAnsi="Calibri" w:cs="Times New Roman"/>
        </w:rPr>
        <w:t>Woolly Mammoth (Mammuthus primigenius)</w:t>
      </w:r>
    </w:p>
    <w:p w:rsidR="00F31FA0" w:rsidRPr="00F31FA0" w:rsidRDefault="00F31FA0" w:rsidP="00F31FA0">
      <w:pPr>
        <w:numPr>
          <w:ilvl w:val="3"/>
          <w:numId w:val="4"/>
        </w:numPr>
        <w:spacing w:after="200" w:line="276" w:lineRule="auto"/>
        <w:contextualSpacing/>
        <w:rPr>
          <w:rFonts w:ascii="Calibri" w:eastAsia="Calibri" w:hAnsi="Calibri" w:cs="Times New Roman"/>
        </w:rPr>
      </w:pPr>
      <w:r w:rsidRPr="00F31FA0">
        <w:rPr>
          <w:rFonts w:ascii="Calibri" w:eastAsia="Calibri" w:hAnsi="Calibri" w:cs="Times New Roman"/>
        </w:rPr>
        <w:t>Ground sloth (Megatherium)</w:t>
      </w:r>
    </w:p>
    <w:p w:rsidR="00F31FA0" w:rsidRPr="00F31FA0" w:rsidRDefault="00F31FA0" w:rsidP="00F31FA0">
      <w:pPr>
        <w:numPr>
          <w:ilvl w:val="3"/>
          <w:numId w:val="4"/>
        </w:numPr>
        <w:spacing w:after="200" w:line="276" w:lineRule="auto"/>
        <w:contextualSpacing/>
        <w:rPr>
          <w:rFonts w:ascii="Calibri" w:eastAsia="Calibri" w:hAnsi="Calibri" w:cs="Times New Roman"/>
        </w:rPr>
      </w:pPr>
      <w:r w:rsidRPr="00F31FA0">
        <w:rPr>
          <w:rFonts w:ascii="Calibri" w:eastAsia="Calibri" w:hAnsi="Calibri" w:cs="Times New Roman"/>
        </w:rPr>
        <w:t>Giant orangutan (Gigantopithecus)</w:t>
      </w:r>
    </w:p>
    <w:p w:rsidR="00F31FA0" w:rsidRPr="00F31FA0" w:rsidRDefault="00F31FA0" w:rsidP="00F31FA0">
      <w:pPr>
        <w:numPr>
          <w:ilvl w:val="3"/>
          <w:numId w:val="4"/>
        </w:numPr>
        <w:spacing w:after="200" w:line="276" w:lineRule="auto"/>
        <w:contextualSpacing/>
        <w:rPr>
          <w:rFonts w:ascii="Calibri" w:eastAsia="Calibri" w:hAnsi="Calibri" w:cs="Times New Roman"/>
        </w:rPr>
      </w:pPr>
      <w:r w:rsidRPr="00F31FA0">
        <w:rPr>
          <w:rFonts w:ascii="Calibri" w:eastAsia="Calibri" w:hAnsi="Calibri" w:cs="Times New Roman"/>
        </w:rPr>
        <w:t>Giant Moa (Dinornis)</w:t>
      </w:r>
    </w:p>
    <w:p w:rsidR="00F31FA0" w:rsidRPr="00F31FA0" w:rsidRDefault="00F31FA0" w:rsidP="00F31FA0">
      <w:pPr>
        <w:numPr>
          <w:ilvl w:val="3"/>
          <w:numId w:val="4"/>
        </w:numPr>
        <w:spacing w:after="200" w:line="276" w:lineRule="auto"/>
        <w:contextualSpacing/>
        <w:rPr>
          <w:rFonts w:ascii="Calibri" w:eastAsia="Calibri" w:hAnsi="Calibri" w:cs="Times New Roman"/>
        </w:rPr>
      </w:pPr>
      <w:r w:rsidRPr="00F31FA0">
        <w:rPr>
          <w:rFonts w:ascii="Calibri" w:eastAsia="Calibri" w:hAnsi="Calibri" w:cs="Times New Roman"/>
        </w:rPr>
        <w:t>Castoroides ohioensis (Castoroides ohioensis)</w:t>
      </w:r>
    </w:p>
    <w:p w:rsidR="00F31FA0" w:rsidRPr="00F31FA0" w:rsidRDefault="00F31FA0" w:rsidP="00F31FA0">
      <w:pPr>
        <w:numPr>
          <w:ilvl w:val="3"/>
          <w:numId w:val="4"/>
        </w:numPr>
        <w:spacing w:after="200" w:line="276" w:lineRule="auto"/>
        <w:contextualSpacing/>
        <w:rPr>
          <w:rFonts w:ascii="Calibri" w:eastAsia="Calibri" w:hAnsi="Calibri" w:cs="Times New Roman"/>
        </w:rPr>
      </w:pPr>
      <w:r w:rsidRPr="00F31FA0">
        <w:rPr>
          <w:rFonts w:ascii="Calibri" w:eastAsia="Calibri" w:hAnsi="Calibri" w:cs="Times New Roman"/>
        </w:rPr>
        <w:t>Giant armadillo (Glyptodont)</w:t>
      </w:r>
    </w:p>
    <w:p w:rsidR="00F31FA0" w:rsidRPr="00F31FA0" w:rsidRDefault="00F31FA0" w:rsidP="00F31FA0">
      <w:pPr>
        <w:numPr>
          <w:ilvl w:val="3"/>
          <w:numId w:val="4"/>
        </w:numPr>
        <w:spacing w:after="200" w:line="276" w:lineRule="auto"/>
        <w:contextualSpacing/>
        <w:rPr>
          <w:rFonts w:ascii="Calibri" w:eastAsia="Calibri" w:hAnsi="Calibri" w:cs="Times New Roman"/>
        </w:rPr>
      </w:pPr>
      <w:r w:rsidRPr="00F31FA0">
        <w:rPr>
          <w:rFonts w:ascii="Calibri" w:eastAsia="Calibri" w:hAnsi="Calibri" w:cs="Times New Roman"/>
        </w:rPr>
        <w:t>Giant short-faced kangaroo (Procoptodon goliah)</w:t>
      </w:r>
    </w:p>
    <w:p w:rsidR="00F31FA0" w:rsidRPr="00F31FA0" w:rsidRDefault="00F31FA0" w:rsidP="00F31FA0">
      <w:pPr>
        <w:numPr>
          <w:ilvl w:val="2"/>
          <w:numId w:val="4"/>
        </w:numPr>
        <w:spacing w:after="200" w:line="276" w:lineRule="auto"/>
        <w:contextualSpacing/>
        <w:rPr>
          <w:rFonts w:ascii="Calibri" w:eastAsia="Calibri" w:hAnsi="Calibri" w:cs="Times New Roman"/>
        </w:rPr>
      </w:pPr>
      <w:r w:rsidRPr="00F31FA0">
        <w:rPr>
          <w:rFonts w:ascii="Calibri" w:eastAsia="Calibri" w:hAnsi="Calibri" w:cs="Times New Roman"/>
        </w:rPr>
        <w:t>A huge number of these went extinct at the end of the Pleisticine/early Holocene in a mass event – unusually, it specifically selected large animals. Why?</w:t>
      </w:r>
    </w:p>
    <w:p w:rsidR="00F31FA0" w:rsidRPr="00F31FA0" w:rsidRDefault="00F31FA0" w:rsidP="00F31FA0">
      <w:pPr>
        <w:numPr>
          <w:ilvl w:val="2"/>
          <w:numId w:val="4"/>
        </w:numPr>
        <w:spacing w:after="200" w:line="276" w:lineRule="auto"/>
        <w:contextualSpacing/>
        <w:rPr>
          <w:rFonts w:ascii="Calibri" w:eastAsia="Calibri" w:hAnsi="Calibri" w:cs="Times New Roman"/>
        </w:rPr>
      </w:pPr>
      <w:r w:rsidRPr="00F31FA0">
        <w:rPr>
          <w:rFonts w:ascii="Calibri" w:eastAsia="Calibri" w:hAnsi="Calibri" w:cs="Times New Roman"/>
        </w:rPr>
        <w:t>Partly environment, of course; world was warming</w:t>
      </w:r>
    </w:p>
    <w:p w:rsidR="00F31FA0" w:rsidRPr="00F31FA0" w:rsidRDefault="00F31FA0" w:rsidP="00F31FA0">
      <w:pPr>
        <w:numPr>
          <w:ilvl w:val="3"/>
          <w:numId w:val="4"/>
        </w:numPr>
        <w:spacing w:after="200" w:line="276" w:lineRule="auto"/>
        <w:contextualSpacing/>
        <w:rPr>
          <w:rFonts w:ascii="Calibri" w:eastAsia="Calibri" w:hAnsi="Calibri" w:cs="Times New Roman"/>
        </w:rPr>
      </w:pPr>
      <w:r w:rsidRPr="00F31FA0">
        <w:rPr>
          <w:rFonts w:ascii="Calibri" w:eastAsia="Calibri" w:hAnsi="Calibri" w:cs="Times New Roman"/>
        </w:rPr>
        <w:t>Woodland expansion would have reduced herbivorous habitat</w:t>
      </w:r>
    </w:p>
    <w:p w:rsidR="00F31FA0" w:rsidRPr="00F31FA0" w:rsidRDefault="00F31FA0" w:rsidP="00F31FA0">
      <w:pPr>
        <w:numPr>
          <w:ilvl w:val="3"/>
          <w:numId w:val="4"/>
        </w:numPr>
        <w:spacing w:after="200" w:line="276" w:lineRule="auto"/>
        <w:contextualSpacing/>
        <w:rPr>
          <w:rFonts w:ascii="Calibri" w:eastAsia="Calibri" w:hAnsi="Calibri" w:cs="Times New Roman"/>
        </w:rPr>
      </w:pPr>
      <w:r w:rsidRPr="00F31FA0">
        <w:rPr>
          <w:rFonts w:ascii="Calibri" w:eastAsia="Calibri" w:hAnsi="Calibri" w:cs="Times New Roman"/>
        </w:rPr>
        <w:t>Temps harder for woolly species to cope (and they changed rapidly; poss ~10 degrees per decade)</w:t>
      </w:r>
    </w:p>
    <w:p w:rsidR="00F31FA0" w:rsidRPr="00F31FA0" w:rsidRDefault="00F31FA0" w:rsidP="00F31FA0">
      <w:pPr>
        <w:numPr>
          <w:ilvl w:val="3"/>
          <w:numId w:val="4"/>
        </w:numPr>
        <w:spacing w:after="200" w:line="276" w:lineRule="auto"/>
        <w:contextualSpacing/>
        <w:rPr>
          <w:rFonts w:ascii="Calibri" w:eastAsia="Calibri" w:hAnsi="Calibri" w:cs="Times New Roman"/>
        </w:rPr>
      </w:pPr>
      <w:r w:rsidRPr="00F31FA0">
        <w:rPr>
          <w:rFonts w:ascii="Calibri" w:eastAsia="Calibri" w:hAnsi="Calibri" w:cs="Times New Roman"/>
        </w:rPr>
        <w:t>Disease</w:t>
      </w:r>
    </w:p>
    <w:p w:rsidR="00F31FA0" w:rsidRPr="00F31FA0" w:rsidRDefault="00F31FA0" w:rsidP="00F31FA0">
      <w:pPr>
        <w:numPr>
          <w:ilvl w:val="3"/>
          <w:numId w:val="4"/>
        </w:numPr>
        <w:spacing w:after="200" w:line="276" w:lineRule="auto"/>
        <w:contextualSpacing/>
        <w:rPr>
          <w:rFonts w:ascii="Calibri" w:eastAsia="Calibri" w:hAnsi="Calibri" w:cs="Times New Roman"/>
        </w:rPr>
      </w:pPr>
      <w:r w:rsidRPr="00F31FA0">
        <w:rPr>
          <w:rFonts w:ascii="Calibri" w:eastAsia="Calibri" w:hAnsi="Calibri" w:cs="Times New Roman"/>
        </w:rPr>
        <w:t>Large animals often less able to adapt to environmental pressures and changes</w:t>
      </w:r>
    </w:p>
    <w:p w:rsidR="00F31FA0" w:rsidRPr="00F31FA0" w:rsidRDefault="00F31FA0" w:rsidP="00F31FA0">
      <w:pPr>
        <w:numPr>
          <w:ilvl w:val="2"/>
          <w:numId w:val="4"/>
        </w:numPr>
        <w:spacing w:after="200" w:line="276" w:lineRule="auto"/>
        <w:contextualSpacing/>
        <w:rPr>
          <w:rFonts w:ascii="Calibri" w:eastAsia="Calibri" w:hAnsi="Calibri" w:cs="Times New Roman"/>
        </w:rPr>
      </w:pPr>
      <w:r w:rsidRPr="00F31FA0">
        <w:rPr>
          <w:rFonts w:ascii="Calibri" w:eastAsia="Calibri" w:hAnsi="Calibri" w:cs="Times New Roman"/>
        </w:rPr>
        <w:t>Partly humans, obviously</w:t>
      </w:r>
    </w:p>
    <w:p w:rsidR="00F31FA0" w:rsidRPr="00F31FA0" w:rsidRDefault="00F31FA0" w:rsidP="00F31FA0">
      <w:pPr>
        <w:numPr>
          <w:ilvl w:val="3"/>
          <w:numId w:val="4"/>
        </w:numPr>
        <w:spacing w:after="200" w:line="276" w:lineRule="auto"/>
        <w:contextualSpacing/>
        <w:rPr>
          <w:rFonts w:ascii="Calibri" w:eastAsia="Calibri" w:hAnsi="Calibri" w:cs="Times New Roman"/>
        </w:rPr>
      </w:pPr>
      <w:r w:rsidRPr="00F31FA0">
        <w:rPr>
          <w:rFonts w:ascii="Calibri" w:eastAsia="Calibri" w:hAnsi="Calibri" w:cs="Times New Roman"/>
        </w:rPr>
        <w:t>Big game hunting was a vital part of human behaviour.</w:t>
      </w:r>
    </w:p>
    <w:p w:rsidR="00F31FA0" w:rsidRPr="00F31FA0" w:rsidRDefault="00F31FA0" w:rsidP="00F31FA0">
      <w:pPr>
        <w:numPr>
          <w:ilvl w:val="3"/>
          <w:numId w:val="4"/>
        </w:numPr>
        <w:spacing w:after="200" w:line="276" w:lineRule="auto"/>
        <w:contextualSpacing/>
        <w:rPr>
          <w:rFonts w:ascii="Calibri" w:eastAsia="Calibri" w:hAnsi="Calibri" w:cs="Times New Roman"/>
        </w:rPr>
      </w:pPr>
      <w:r w:rsidRPr="00F31FA0">
        <w:rPr>
          <w:rFonts w:ascii="Calibri" w:eastAsia="Calibri" w:hAnsi="Calibri" w:cs="Times New Roman"/>
        </w:rPr>
        <w:t>Humans are cache killers (like dogs, cats, mustelids, etc)</w:t>
      </w:r>
    </w:p>
    <w:p w:rsidR="00F31FA0" w:rsidRPr="00F31FA0" w:rsidRDefault="00F31FA0" w:rsidP="00F31FA0">
      <w:pPr>
        <w:numPr>
          <w:ilvl w:val="3"/>
          <w:numId w:val="4"/>
        </w:numPr>
        <w:spacing w:after="200" w:line="276" w:lineRule="auto"/>
        <w:contextualSpacing/>
        <w:rPr>
          <w:rFonts w:ascii="Calibri" w:eastAsia="Calibri" w:hAnsi="Calibri" w:cs="Times New Roman"/>
        </w:rPr>
      </w:pPr>
      <w:r w:rsidRPr="00F31FA0">
        <w:rPr>
          <w:rFonts w:ascii="Calibri" w:eastAsia="Calibri" w:hAnsi="Calibri" w:cs="Times New Roman"/>
          <w:noProof/>
        </w:rPr>
        <w:lastRenderedPageBreak/>
        <w:drawing>
          <wp:inline distT="0" distB="0" distL="0" distR="0" wp14:anchorId="673767A5" wp14:editId="53901C3A">
            <wp:extent cx="5731510" cy="6118225"/>
            <wp:effectExtent l="0" t="0" r="0" b="0"/>
            <wp:docPr id="11" name="Picture 11" descr="https://upload.wikimedia.org/wikipedia/commons/thumb/d/d4/Large_Mammals_Africa_Australia_NAmerica_Madagascar.svg/800px-Large_Mammals_Africa_Australia_NAmerica_Madagasca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d/d4/Large_Mammals_Africa_Australia_NAmerica_Madagascar.svg/800px-Large_Mammals_Africa_Australia_NAmerica_Madagascar.svg.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6118225"/>
                    </a:xfrm>
                    <a:prstGeom prst="rect">
                      <a:avLst/>
                    </a:prstGeom>
                    <a:noFill/>
                    <a:ln>
                      <a:noFill/>
                    </a:ln>
                  </pic:spPr>
                </pic:pic>
              </a:graphicData>
            </a:graphic>
          </wp:inline>
        </w:drawing>
      </w:r>
    </w:p>
    <w:p w:rsidR="00F31FA0" w:rsidRPr="00F31FA0" w:rsidRDefault="00F31FA0" w:rsidP="00F31FA0">
      <w:pPr>
        <w:numPr>
          <w:ilvl w:val="3"/>
          <w:numId w:val="4"/>
        </w:numPr>
        <w:spacing w:after="200" w:line="276" w:lineRule="auto"/>
        <w:contextualSpacing/>
        <w:rPr>
          <w:rFonts w:ascii="Calibri" w:eastAsia="Calibri" w:hAnsi="Calibri" w:cs="Times New Roman"/>
        </w:rPr>
      </w:pPr>
      <w:r w:rsidRPr="00F31FA0">
        <w:rPr>
          <w:rFonts w:ascii="Calibri" w:eastAsia="Calibri" w:hAnsi="Calibri" w:cs="Times New Roman"/>
        </w:rPr>
        <w:t>Large mammals frequently died out within a few centuries of human colonisation</w:t>
      </w:r>
    </w:p>
    <w:p w:rsidR="00F31FA0" w:rsidRPr="00F31FA0" w:rsidRDefault="00F31FA0" w:rsidP="00F31FA0">
      <w:pPr>
        <w:numPr>
          <w:ilvl w:val="3"/>
          <w:numId w:val="4"/>
        </w:numPr>
        <w:spacing w:after="200" w:line="276" w:lineRule="auto"/>
        <w:contextualSpacing/>
        <w:rPr>
          <w:rFonts w:ascii="Calibri" w:eastAsia="Calibri" w:hAnsi="Calibri" w:cs="Times New Roman"/>
        </w:rPr>
      </w:pPr>
      <w:r w:rsidRPr="00F31FA0">
        <w:rPr>
          <w:rFonts w:ascii="Calibri" w:eastAsia="Calibri" w:hAnsi="Calibri" w:cs="Times New Roman"/>
        </w:rPr>
        <w:t xml:space="preserve">Problem is, while this can be argued for many... doesn’t work for all. Europe, Asia and Africa all see humans and megafauna coinciding for thousands of years before drop off. </w:t>
      </w:r>
    </w:p>
    <w:p w:rsidR="00F31FA0" w:rsidRPr="00F31FA0" w:rsidRDefault="00F31FA0" w:rsidP="00F31FA0">
      <w:pPr>
        <w:numPr>
          <w:ilvl w:val="3"/>
          <w:numId w:val="4"/>
        </w:numPr>
        <w:spacing w:after="200" w:line="276" w:lineRule="auto"/>
        <w:contextualSpacing/>
        <w:rPr>
          <w:rFonts w:ascii="Calibri" w:eastAsia="Calibri" w:hAnsi="Calibri" w:cs="Times New Roman"/>
        </w:rPr>
      </w:pPr>
      <w:r w:rsidRPr="00F31FA0">
        <w:rPr>
          <w:rFonts w:ascii="Calibri" w:eastAsia="Calibri" w:hAnsi="Calibri" w:cs="Times New Roman"/>
        </w:rPr>
        <w:t>Africa barely has a phase of extinctions at all, in fact, until the preset day</w:t>
      </w:r>
    </w:p>
    <w:p w:rsidR="00F31FA0" w:rsidRPr="00F31FA0" w:rsidRDefault="00F31FA0" w:rsidP="00F31FA0">
      <w:pPr>
        <w:numPr>
          <w:ilvl w:val="3"/>
          <w:numId w:val="4"/>
        </w:numPr>
        <w:spacing w:after="200" w:line="276" w:lineRule="auto"/>
        <w:contextualSpacing/>
        <w:rPr>
          <w:rFonts w:ascii="Calibri" w:eastAsia="Calibri" w:hAnsi="Calibri" w:cs="Times New Roman"/>
        </w:rPr>
      </w:pPr>
      <w:r w:rsidRPr="00F31FA0">
        <w:rPr>
          <w:rFonts w:ascii="Calibri" w:eastAsia="Calibri" w:hAnsi="Calibri" w:cs="Times New Roman"/>
        </w:rPr>
        <w:t>Also, often the most well-represented animals at kill sites are ones that are still around (bison, reindeer, etc.) But then, maybe farming.</w:t>
      </w:r>
    </w:p>
    <w:p w:rsidR="00F31FA0" w:rsidRPr="00F31FA0" w:rsidRDefault="00F31FA0" w:rsidP="00F31FA0">
      <w:pPr>
        <w:numPr>
          <w:ilvl w:val="2"/>
          <w:numId w:val="4"/>
        </w:numPr>
        <w:spacing w:after="200" w:line="276" w:lineRule="auto"/>
        <w:contextualSpacing/>
        <w:rPr>
          <w:rFonts w:ascii="Calibri" w:eastAsia="Calibri" w:hAnsi="Calibri" w:cs="Times New Roman"/>
        </w:rPr>
      </w:pPr>
      <w:r w:rsidRPr="00F31FA0">
        <w:rPr>
          <w:rFonts w:ascii="Calibri" w:eastAsia="Calibri" w:hAnsi="Calibri" w:cs="Times New Roman"/>
        </w:rPr>
        <w:t>So... possibly both.</w:t>
      </w:r>
    </w:p>
    <w:p w:rsidR="00F31FA0" w:rsidRDefault="00F31FA0" w:rsidP="001A634B">
      <w:pPr>
        <w:rPr>
          <w:sz w:val="28"/>
          <w:szCs w:val="28"/>
        </w:rPr>
      </w:pPr>
      <w:r>
        <w:rPr>
          <w:sz w:val="28"/>
          <w:szCs w:val="28"/>
        </w:rPr>
        <w:t>Case studies, published papers, citations.</w:t>
      </w:r>
    </w:p>
    <w:p w:rsidR="00F31FA0" w:rsidRDefault="00F31FA0" w:rsidP="001A634B">
      <w:pPr>
        <w:rPr>
          <w:sz w:val="28"/>
          <w:szCs w:val="28"/>
        </w:rPr>
      </w:pPr>
    </w:p>
    <w:p w:rsidR="00F31FA0" w:rsidRDefault="00F31FA0" w:rsidP="001A634B">
      <w:pPr>
        <w:rPr>
          <w:sz w:val="28"/>
          <w:szCs w:val="28"/>
        </w:rPr>
      </w:pPr>
      <w:r>
        <w:rPr>
          <w:sz w:val="28"/>
          <w:szCs w:val="28"/>
        </w:rPr>
        <w:lastRenderedPageBreak/>
        <w:t>Q4. – Need to write an answer including the following:</w:t>
      </w:r>
    </w:p>
    <w:p w:rsidR="00F31FA0" w:rsidRDefault="00F31FA0" w:rsidP="001A634B">
      <w:pPr>
        <w:rPr>
          <w:sz w:val="28"/>
          <w:szCs w:val="28"/>
        </w:rPr>
      </w:pPr>
    </w:p>
    <w:p w:rsidR="00F31FA0" w:rsidRPr="00F31FA0" w:rsidRDefault="00F31FA0" w:rsidP="00F31FA0">
      <w:pPr>
        <w:numPr>
          <w:ilvl w:val="3"/>
          <w:numId w:val="5"/>
        </w:numPr>
        <w:spacing w:after="200" w:line="276" w:lineRule="auto"/>
        <w:contextualSpacing/>
        <w:rPr>
          <w:rFonts w:ascii="Calibri" w:eastAsia="Calibri" w:hAnsi="Calibri" w:cs="Times New Roman"/>
        </w:rPr>
      </w:pPr>
      <w:r w:rsidRPr="00F31FA0">
        <w:rPr>
          <w:rFonts w:ascii="Calibri" w:eastAsia="Calibri" w:hAnsi="Calibri" w:cs="Times New Roman"/>
        </w:rPr>
        <w:t>This is a graph first produced in a 1998 paper by Mann, Bradley and Hughes, showing a gradual decline in global temperatures for 1000 years followed by a sudden, dramatic uptick. From a multiproxy study.</w:t>
      </w:r>
    </w:p>
    <w:p w:rsidR="00F31FA0" w:rsidRPr="00F31FA0" w:rsidRDefault="00F31FA0" w:rsidP="00F31FA0">
      <w:pPr>
        <w:numPr>
          <w:ilvl w:val="3"/>
          <w:numId w:val="5"/>
        </w:numPr>
        <w:spacing w:after="200" w:line="276" w:lineRule="auto"/>
        <w:contextualSpacing/>
        <w:rPr>
          <w:rFonts w:ascii="Calibri" w:eastAsia="Calibri" w:hAnsi="Calibri" w:cs="Times New Roman"/>
        </w:rPr>
      </w:pPr>
      <w:r>
        <w:rPr>
          <w:rFonts w:ascii="Calibri" w:eastAsia="Calibri" w:hAnsi="Calibri" w:cs="Times New Roman"/>
        </w:rPr>
        <w:t xml:space="preserve">The </w:t>
      </w:r>
      <w:r w:rsidRPr="00F31FA0">
        <w:rPr>
          <w:rFonts w:ascii="Calibri" w:eastAsia="Calibri" w:hAnsi="Calibri" w:cs="Times New Roman"/>
        </w:rPr>
        <w:t xml:space="preserve">2001 </w:t>
      </w:r>
      <w:r>
        <w:rPr>
          <w:rFonts w:ascii="Calibri" w:eastAsia="Calibri" w:hAnsi="Calibri" w:cs="Times New Roman"/>
        </w:rPr>
        <w:t xml:space="preserve">IPCC </w:t>
      </w:r>
      <w:r w:rsidRPr="00F31FA0">
        <w:rPr>
          <w:rFonts w:ascii="Calibri" w:eastAsia="Calibri" w:hAnsi="Calibri" w:cs="Times New Roman"/>
        </w:rPr>
        <w:t>report features the graph, along with 4 others showing the same conclusion</w:t>
      </w:r>
    </w:p>
    <w:p w:rsidR="00F31FA0" w:rsidRPr="00F31FA0" w:rsidRDefault="00F31FA0" w:rsidP="00F31FA0">
      <w:pPr>
        <w:numPr>
          <w:ilvl w:val="3"/>
          <w:numId w:val="5"/>
        </w:numPr>
        <w:spacing w:after="200" w:line="276" w:lineRule="auto"/>
        <w:contextualSpacing/>
        <w:rPr>
          <w:rFonts w:ascii="Calibri" w:eastAsia="Calibri" w:hAnsi="Calibri" w:cs="Times New Roman"/>
        </w:rPr>
      </w:pPr>
      <w:r w:rsidRPr="00F31FA0">
        <w:rPr>
          <w:rFonts w:ascii="Calibri" w:eastAsia="Calibri" w:hAnsi="Calibri" w:cs="Times New Roman"/>
        </w:rPr>
        <w:t xml:space="preserve">Contrarians disagree. Soon and Baliunas claim the medieval period was warmer, and Republicans seize on it to alter the EPA Report on the Environment. </w:t>
      </w:r>
    </w:p>
    <w:p w:rsidR="00F31FA0" w:rsidRPr="00F31FA0" w:rsidRDefault="00F31FA0" w:rsidP="00F31FA0">
      <w:pPr>
        <w:numPr>
          <w:ilvl w:val="3"/>
          <w:numId w:val="5"/>
        </w:numPr>
        <w:spacing w:after="200" w:line="276" w:lineRule="auto"/>
        <w:contextualSpacing/>
        <w:rPr>
          <w:rFonts w:ascii="Calibri" w:eastAsia="Calibri" w:hAnsi="Calibri" w:cs="Times New Roman"/>
        </w:rPr>
      </w:pPr>
      <w:r w:rsidRPr="00F31FA0">
        <w:rPr>
          <w:rFonts w:ascii="Calibri" w:eastAsia="Calibri" w:hAnsi="Calibri" w:cs="Times New Roman"/>
        </w:rPr>
        <w:t>Then Soon and Baliunas get discredited in their own controversy:</w:t>
      </w:r>
    </w:p>
    <w:p w:rsidR="00F31FA0" w:rsidRPr="00F31FA0" w:rsidRDefault="00F31FA0" w:rsidP="00F31FA0">
      <w:pPr>
        <w:numPr>
          <w:ilvl w:val="4"/>
          <w:numId w:val="5"/>
        </w:numPr>
        <w:spacing w:after="200" w:line="276" w:lineRule="auto"/>
        <w:contextualSpacing/>
        <w:rPr>
          <w:rFonts w:ascii="Calibri" w:eastAsia="Calibri" w:hAnsi="Calibri" w:cs="Times New Roman"/>
        </w:rPr>
      </w:pPr>
      <w:r w:rsidRPr="00F31FA0">
        <w:rPr>
          <w:rFonts w:ascii="Calibri" w:eastAsia="Calibri" w:hAnsi="Calibri" w:cs="Times New Roman"/>
        </w:rPr>
        <w:t>Their paper is funded by the American Petroleum Institute, and the Air Force Office of Scientific Research.</w:t>
      </w:r>
    </w:p>
    <w:p w:rsidR="00F31FA0" w:rsidRPr="00F31FA0" w:rsidRDefault="00F31FA0" w:rsidP="00F31FA0">
      <w:pPr>
        <w:numPr>
          <w:ilvl w:val="4"/>
          <w:numId w:val="5"/>
        </w:numPr>
        <w:spacing w:after="200" w:line="276" w:lineRule="auto"/>
        <w:contextualSpacing/>
        <w:rPr>
          <w:rFonts w:ascii="Calibri" w:eastAsia="Calibri" w:hAnsi="Calibri" w:cs="Times New Roman"/>
        </w:rPr>
      </w:pPr>
      <w:r w:rsidRPr="00F31FA0">
        <w:rPr>
          <w:rFonts w:ascii="Calibri" w:eastAsia="Calibri" w:hAnsi="Calibri" w:cs="Times New Roman"/>
        </w:rPr>
        <w:t>Soon thinks CC is solar activity while Baliunas thinks CFCs aren’t damaging the ozone layer; the journal editor who accepted it is anti-CO2 curbing actions.</w:t>
      </w:r>
    </w:p>
    <w:p w:rsidR="00F31FA0" w:rsidRPr="00F31FA0" w:rsidRDefault="00F31FA0" w:rsidP="00F31FA0">
      <w:pPr>
        <w:numPr>
          <w:ilvl w:val="4"/>
          <w:numId w:val="5"/>
        </w:numPr>
        <w:spacing w:after="200" w:line="276" w:lineRule="auto"/>
        <w:contextualSpacing/>
        <w:rPr>
          <w:rFonts w:ascii="Calibri" w:eastAsia="Calibri" w:hAnsi="Calibri" w:cs="Times New Roman"/>
        </w:rPr>
      </w:pPr>
      <w:r w:rsidRPr="00F31FA0">
        <w:rPr>
          <w:rFonts w:ascii="Calibri" w:eastAsia="Calibri" w:hAnsi="Calibri" w:cs="Times New Roman"/>
        </w:rPr>
        <w:t>Their methodology was not to use quantitative data, but to categorise other people’s research into “those that agree with us” and “those that don’t”</w:t>
      </w:r>
    </w:p>
    <w:p w:rsidR="00F31FA0" w:rsidRPr="00F31FA0" w:rsidRDefault="00F31FA0" w:rsidP="00F31FA0">
      <w:pPr>
        <w:numPr>
          <w:ilvl w:val="4"/>
          <w:numId w:val="5"/>
        </w:numPr>
        <w:spacing w:after="200" w:line="276" w:lineRule="auto"/>
        <w:contextualSpacing/>
        <w:rPr>
          <w:rFonts w:ascii="Calibri" w:eastAsia="Calibri" w:hAnsi="Calibri" w:cs="Times New Roman"/>
        </w:rPr>
      </w:pPr>
      <w:r w:rsidRPr="00F31FA0">
        <w:rPr>
          <w:rFonts w:ascii="Calibri" w:eastAsia="Calibri" w:hAnsi="Calibri" w:cs="Times New Roman"/>
        </w:rPr>
        <w:t>They used non-standard definitions for climate anomalies including any 50 year (or more) period that was hot, cold, wet or dry; this meant current warming could be discounted, because it occurred in two 30 year periods in the 20</w:t>
      </w:r>
      <w:r w:rsidRPr="00F31FA0">
        <w:rPr>
          <w:rFonts w:ascii="Calibri" w:eastAsia="Calibri" w:hAnsi="Calibri" w:cs="Times New Roman"/>
          <w:vertAlign w:val="superscript"/>
        </w:rPr>
        <w:t>th</w:t>
      </w:r>
      <w:r w:rsidRPr="00F31FA0">
        <w:rPr>
          <w:rFonts w:ascii="Calibri" w:eastAsia="Calibri" w:hAnsi="Calibri" w:cs="Times New Roman"/>
        </w:rPr>
        <w:t xml:space="preserve"> century (more now, of course, but this was 2001)</w:t>
      </w:r>
    </w:p>
    <w:p w:rsidR="00F31FA0" w:rsidRPr="00F31FA0" w:rsidRDefault="00F31FA0" w:rsidP="00F31FA0">
      <w:pPr>
        <w:numPr>
          <w:ilvl w:val="4"/>
          <w:numId w:val="5"/>
        </w:numPr>
        <w:spacing w:after="200" w:line="276" w:lineRule="auto"/>
        <w:contextualSpacing/>
        <w:rPr>
          <w:rFonts w:ascii="Calibri" w:eastAsia="Calibri" w:hAnsi="Calibri" w:cs="Times New Roman"/>
        </w:rPr>
      </w:pPr>
      <w:r w:rsidRPr="00F31FA0">
        <w:rPr>
          <w:rFonts w:ascii="Calibri" w:eastAsia="Calibri" w:hAnsi="Calibri" w:cs="Times New Roman"/>
        </w:rPr>
        <w:t>Loads of the scientists who were cited said their work was hugely misrepresented by Soon and Baliunas. Malcom K Hughes: "[It’s] so fundamentally misconceived and contains so many egregious errors that it would take weeks to list and explain them all."</w:t>
      </w:r>
    </w:p>
    <w:p w:rsidR="00F31FA0" w:rsidRPr="00F31FA0" w:rsidRDefault="00F31FA0" w:rsidP="00F31FA0">
      <w:pPr>
        <w:numPr>
          <w:ilvl w:val="4"/>
          <w:numId w:val="5"/>
        </w:numPr>
        <w:spacing w:after="200" w:line="276" w:lineRule="auto"/>
        <w:contextualSpacing/>
        <w:rPr>
          <w:rFonts w:ascii="Calibri" w:eastAsia="Calibri" w:hAnsi="Calibri" w:cs="Times New Roman"/>
        </w:rPr>
      </w:pPr>
      <w:r w:rsidRPr="00F31FA0">
        <w:rPr>
          <w:rFonts w:ascii="Calibri" w:eastAsia="Calibri" w:hAnsi="Calibri" w:cs="Times New Roman"/>
        </w:rPr>
        <w:t>A later paper was published in Eos by 13 climate scientists (most of them cited by Soon and Baliunas), and included 3 main criticisms of the methodology:  they’d used drought/precipitation proxy data but without assessing for temperature sensitivity; they’d taken regional changes as global changes without showing that dry and wet periods were occurring concurrently across the world; their control period for comparison was a mean temp for the whole 20</w:t>
      </w:r>
      <w:r w:rsidRPr="00F31FA0">
        <w:rPr>
          <w:rFonts w:ascii="Calibri" w:eastAsia="Calibri" w:hAnsi="Calibri" w:cs="Times New Roman"/>
          <w:vertAlign w:val="superscript"/>
        </w:rPr>
        <w:t>th</w:t>
      </w:r>
      <w:r w:rsidRPr="00F31FA0">
        <w:rPr>
          <w:rFonts w:ascii="Calibri" w:eastAsia="Calibri" w:hAnsi="Calibri" w:cs="Times New Roman"/>
        </w:rPr>
        <w:t xml:space="preserve"> century, meaning they could assess if the 20</w:t>
      </w:r>
      <w:r w:rsidRPr="00F31FA0">
        <w:rPr>
          <w:rFonts w:ascii="Calibri" w:eastAsia="Calibri" w:hAnsi="Calibri" w:cs="Times New Roman"/>
          <w:vertAlign w:val="superscript"/>
        </w:rPr>
        <w:t>th</w:t>
      </w:r>
      <w:r w:rsidRPr="00F31FA0">
        <w:rPr>
          <w:rFonts w:ascii="Calibri" w:eastAsia="Calibri" w:hAnsi="Calibri" w:cs="Times New Roman"/>
        </w:rPr>
        <w:t xml:space="preserve"> century warming was anomalous.</w:t>
      </w:r>
    </w:p>
    <w:p w:rsidR="00F31FA0" w:rsidRPr="00F31FA0" w:rsidRDefault="00F31FA0" w:rsidP="00F31FA0">
      <w:pPr>
        <w:numPr>
          <w:ilvl w:val="4"/>
          <w:numId w:val="5"/>
        </w:numPr>
        <w:spacing w:after="200" w:line="276" w:lineRule="auto"/>
        <w:contextualSpacing/>
        <w:rPr>
          <w:rFonts w:ascii="Calibri" w:eastAsia="Calibri" w:hAnsi="Calibri" w:cs="Times New Roman"/>
        </w:rPr>
      </w:pPr>
      <w:r w:rsidRPr="00F31FA0">
        <w:rPr>
          <w:rFonts w:ascii="Calibri" w:eastAsia="Calibri" w:hAnsi="Calibri" w:cs="Times New Roman"/>
        </w:rPr>
        <w:t xml:space="preserve">Finally, in 2006,  Osborn and Briffa publish their paper, </w:t>
      </w:r>
      <w:r w:rsidRPr="00F31FA0">
        <w:rPr>
          <w:rFonts w:ascii="Calibri" w:eastAsia="Calibri" w:hAnsi="Calibri" w:cs="Times New Roman"/>
          <w:i/>
        </w:rPr>
        <w:t>The Spatial Extent of 20th-Century Warmth in the Context of the Past 1200 Years</w:t>
      </w:r>
      <w:r w:rsidRPr="00F31FA0">
        <w:rPr>
          <w:rFonts w:ascii="Calibri" w:eastAsia="Calibri" w:hAnsi="Calibri" w:cs="Times New Roman"/>
        </w:rPr>
        <w:t xml:space="preserve">. It re-examines all of the Soon and Baliunas </w:t>
      </w:r>
      <w:r w:rsidRPr="00F31FA0">
        <w:rPr>
          <w:rFonts w:ascii="Calibri" w:eastAsia="Calibri" w:hAnsi="Calibri" w:cs="Times New Roman"/>
        </w:rPr>
        <w:lastRenderedPageBreak/>
        <w:t>questions, but this time with a valid methodology. It proves them wrong, and concludes that 20</w:t>
      </w:r>
      <w:r w:rsidRPr="00F31FA0">
        <w:rPr>
          <w:rFonts w:ascii="Calibri" w:eastAsia="Calibri" w:hAnsi="Calibri" w:cs="Times New Roman"/>
          <w:vertAlign w:val="superscript"/>
        </w:rPr>
        <w:t>th</w:t>
      </w:r>
      <w:r w:rsidRPr="00F31FA0">
        <w:rPr>
          <w:rFonts w:ascii="Calibri" w:eastAsia="Calibri" w:hAnsi="Calibri" w:cs="Times New Roman"/>
        </w:rPr>
        <w:t xml:space="preserve"> century warming is by far the most widespread.</w:t>
      </w:r>
    </w:p>
    <w:p w:rsidR="00F31FA0" w:rsidRPr="00F31FA0" w:rsidRDefault="00F31FA0" w:rsidP="00F31FA0">
      <w:pPr>
        <w:numPr>
          <w:ilvl w:val="3"/>
          <w:numId w:val="5"/>
        </w:numPr>
        <w:spacing w:after="200" w:line="276" w:lineRule="auto"/>
        <w:contextualSpacing/>
        <w:rPr>
          <w:rFonts w:ascii="Calibri" w:eastAsia="Calibri" w:hAnsi="Calibri" w:cs="Times New Roman"/>
        </w:rPr>
      </w:pPr>
      <w:r w:rsidRPr="00F31FA0">
        <w:rPr>
          <w:rFonts w:ascii="Calibri" w:eastAsia="Calibri" w:hAnsi="Calibri" w:cs="Times New Roman"/>
        </w:rPr>
        <w:t>McIntyre and McKitrick (2003) and (2005) publish criticisms of Mann, Bradley and Hughes’ methodology, and say the graph therefore is inaccurate.</w:t>
      </w:r>
    </w:p>
    <w:p w:rsidR="00F31FA0" w:rsidRPr="00F31FA0" w:rsidRDefault="00F31FA0" w:rsidP="00F31FA0">
      <w:pPr>
        <w:numPr>
          <w:ilvl w:val="3"/>
          <w:numId w:val="5"/>
        </w:numPr>
        <w:spacing w:after="200" w:line="276" w:lineRule="auto"/>
        <w:contextualSpacing/>
        <w:rPr>
          <w:rFonts w:ascii="Calibri" w:eastAsia="Calibri" w:hAnsi="Calibri" w:cs="Times New Roman"/>
        </w:rPr>
      </w:pPr>
      <w:r w:rsidRPr="00F31FA0">
        <w:rPr>
          <w:rFonts w:ascii="Calibri" w:eastAsia="Calibri" w:hAnsi="Calibri" w:cs="Times New Roman"/>
        </w:rPr>
        <w:t>A whole bunch of other scientists including Huybers (2005) and Wahl and Ammann (2007)publish papers about how McIntyre and McKitrick’s methodology is flawed: The Graph Stands</w:t>
      </w:r>
    </w:p>
    <w:p w:rsidR="00F31FA0" w:rsidRPr="00F31FA0" w:rsidRDefault="00F31FA0" w:rsidP="00F31FA0">
      <w:pPr>
        <w:numPr>
          <w:ilvl w:val="3"/>
          <w:numId w:val="5"/>
        </w:numPr>
        <w:spacing w:after="200" w:line="276" w:lineRule="auto"/>
        <w:contextualSpacing/>
        <w:rPr>
          <w:rFonts w:ascii="Calibri" w:eastAsia="Calibri" w:hAnsi="Calibri" w:cs="Times New Roman"/>
        </w:rPr>
      </w:pPr>
      <w:r w:rsidRPr="00F31FA0">
        <w:rPr>
          <w:rFonts w:ascii="Calibri" w:eastAsia="Calibri" w:hAnsi="Calibri" w:cs="Times New Roman"/>
        </w:rPr>
        <w:t>A Republican senator, Joe Barton, launched an investigation in 2005 into MBH, demanding to see their data and methods, personal finance and career information, research grant information used by the universities/institutions they worked for, and the exact computer codes used to generate their results. Widely seen as a bullying tactic. He found nothing, though.</w:t>
      </w:r>
    </w:p>
    <w:p w:rsidR="00F31FA0" w:rsidRPr="00F31FA0" w:rsidRDefault="00F31FA0" w:rsidP="00F31FA0">
      <w:pPr>
        <w:numPr>
          <w:ilvl w:val="3"/>
          <w:numId w:val="5"/>
        </w:numPr>
        <w:spacing w:after="200" w:line="276" w:lineRule="auto"/>
        <w:contextualSpacing/>
        <w:rPr>
          <w:rFonts w:ascii="Calibri" w:eastAsia="Calibri" w:hAnsi="Calibri" w:cs="Times New Roman"/>
        </w:rPr>
      </w:pPr>
      <w:r w:rsidRPr="00F31FA0">
        <w:rPr>
          <w:rFonts w:ascii="Calibri" w:eastAsia="Calibri" w:hAnsi="Calibri" w:cs="Times New Roman"/>
        </w:rPr>
        <w:t xml:space="preserve">By now we’ve had reconstruction after reconstruction that has agreed with the hockey stick graph and corroborated it; </w:t>
      </w:r>
      <w:hyperlink r:id="rId8" w:anchor="CITEREFJuckesAllenBriffaEsper2007" w:history="1">
        <w:r w:rsidRPr="00F31FA0">
          <w:rPr>
            <w:rFonts w:ascii="Arial" w:eastAsia="Calibri" w:hAnsi="Arial" w:cs="Arial"/>
            <w:color w:val="0B0080"/>
            <w:sz w:val="21"/>
            <w:szCs w:val="21"/>
            <w:u w:val="single"/>
            <w:shd w:val="clear" w:color="auto" w:fill="FFFFFF"/>
          </w:rPr>
          <w:t>Juckes et al. 2007</w:t>
        </w:r>
      </w:hyperlink>
      <w:r w:rsidRPr="00F31FA0">
        <w:rPr>
          <w:rFonts w:ascii="Arial" w:eastAsia="Calibri" w:hAnsi="Arial" w:cs="Arial"/>
          <w:color w:val="222222"/>
          <w:sz w:val="21"/>
          <w:szCs w:val="21"/>
          <w:shd w:val="clear" w:color="auto" w:fill="FFFFFF"/>
        </w:rPr>
        <w:t> and </w:t>
      </w:r>
      <w:hyperlink r:id="rId9" w:anchor="CITEREFLeeZwiersTsao2008" w:history="1">
        <w:r w:rsidRPr="00F31FA0">
          <w:rPr>
            <w:rFonts w:ascii="Arial" w:eastAsia="Calibri" w:hAnsi="Arial" w:cs="Arial"/>
            <w:color w:val="0B0080"/>
            <w:sz w:val="21"/>
            <w:szCs w:val="21"/>
            <w:u w:val="single"/>
            <w:shd w:val="clear" w:color="auto" w:fill="FFFFFF"/>
          </w:rPr>
          <w:t>Lee, Zwiers &amp; Tsao 2008</w:t>
        </w:r>
      </w:hyperlink>
      <w:r w:rsidRPr="00F31FA0">
        <w:rPr>
          <w:rFonts w:ascii="Calibri" w:eastAsia="Calibri" w:hAnsi="Calibri" w:cs="Times New Roman"/>
        </w:rPr>
        <w:t xml:space="preserve">, </w:t>
      </w:r>
      <w:r w:rsidRPr="00F31FA0">
        <w:rPr>
          <w:rFonts w:ascii="Arial" w:eastAsia="Calibri" w:hAnsi="Arial" w:cs="Arial"/>
          <w:color w:val="222222"/>
          <w:sz w:val="21"/>
          <w:szCs w:val="21"/>
          <w:shd w:val="clear" w:color="auto" w:fill="FFFFFF"/>
        </w:rPr>
        <w:t> 2008 Huang, Pollack and Shen, Mann et al 2008,  </w:t>
      </w:r>
      <w:hyperlink r:id="rId10" w:anchor="CITEREFKaufmanSchneiderMcKayAmmann2009" w:history="1">
        <w:r w:rsidRPr="00F31FA0">
          <w:rPr>
            <w:rFonts w:ascii="Arial" w:eastAsia="Calibri" w:hAnsi="Arial" w:cs="Arial"/>
            <w:color w:val="0B0080"/>
            <w:sz w:val="21"/>
            <w:szCs w:val="21"/>
            <w:u w:val="single"/>
            <w:shd w:val="clear" w:color="auto" w:fill="FFFFFF"/>
          </w:rPr>
          <w:t>Kaufman et al. 2009</w:t>
        </w:r>
      </w:hyperlink>
      <w:r w:rsidRPr="00F31FA0">
        <w:rPr>
          <w:rFonts w:ascii="Calibri" w:eastAsia="Calibri" w:hAnsi="Calibri" w:cs="Times New Roman"/>
        </w:rPr>
        <w:t xml:space="preserve">, </w:t>
      </w:r>
      <w:hyperlink r:id="rId11" w:anchor="CITEREFAppell2009" w:history="1">
        <w:r w:rsidRPr="00F31FA0">
          <w:rPr>
            <w:rFonts w:ascii="Arial" w:eastAsia="Calibri" w:hAnsi="Arial" w:cs="Arial"/>
            <w:color w:val="0B0080"/>
            <w:sz w:val="18"/>
            <w:szCs w:val="18"/>
            <w:u w:val="single"/>
            <w:shd w:val="clear" w:color="auto" w:fill="FFFFFF"/>
          </w:rPr>
          <w:t>Appell 2009</w:t>
        </w:r>
      </w:hyperlink>
      <w:r w:rsidRPr="00F31FA0">
        <w:rPr>
          <w:rFonts w:ascii="Arial" w:eastAsia="Calibri" w:hAnsi="Arial" w:cs="Arial"/>
          <w:color w:val="000000"/>
          <w:sz w:val="18"/>
          <w:szCs w:val="18"/>
          <w:shd w:val="clear" w:color="auto" w:fill="FFFFFF"/>
        </w:rPr>
        <w:t>; </w:t>
      </w:r>
      <w:hyperlink r:id="rId12" w:anchor="CITEREFTingleyHuybers2010a" w:history="1">
        <w:r w:rsidRPr="00F31FA0">
          <w:rPr>
            <w:rFonts w:ascii="Arial" w:eastAsia="Calibri" w:hAnsi="Arial" w:cs="Arial"/>
            <w:color w:val="0B0080"/>
            <w:sz w:val="18"/>
            <w:szCs w:val="18"/>
            <w:u w:val="single"/>
            <w:shd w:val="clear" w:color="auto" w:fill="FFFFFF"/>
          </w:rPr>
          <w:t>Tingley &amp; Huybers 2010a</w:t>
        </w:r>
      </w:hyperlink>
    </w:p>
    <w:p w:rsidR="00F31FA0" w:rsidRPr="00F31FA0" w:rsidRDefault="00F31FA0" w:rsidP="00F31FA0">
      <w:pPr>
        <w:numPr>
          <w:ilvl w:val="3"/>
          <w:numId w:val="5"/>
        </w:numPr>
        <w:spacing w:after="200" w:line="276" w:lineRule="auto"/>
        <w:contextualSpacing/>
        <w:rPr>
          <w:rFonts w:ascii="Calibri" w:eastAsia="Calibri" w:hAnsi="Calibri" w:cs="Times New Roman"/>
        </w:rPr>
      </w:pPr>
      <w:r w:rsidRPr="00F31FA0">
        <w:rPr>
          <w:rFonts w:ascii="Calibri" w:eastAsia="Calibri" w:hAnsi="Calibri" w:cs="Times New Roman"/>
        </w:rPr>
        <w:t>THE GRAPH STANDS</w:t>
      </w:r>
    </w:p>
    <w:p w:rsidR="00F31FA0" w:rsidRDefault="00F31FA0" w:rsidP="001A634B">
      <w:pPr>
        <w:rPr>
          <w:sz w:val="28"/>
          <w:szCs w:val="28"/>
        </w:rPr>
      </w:pPr>
    </w:p>
    <w:p w:rsidR="001A634B" w:rsidRDefault="001A634B" w:rsidP="001A634B">
      <w:pPr>
        <w:rPr>
          <w:sz w:val="28"/>
          <w:szCs w:val="28"/>
        </w:rPr>
      </w:pPr>
    </w:p>
    <w:p w:rsidR="001D1741" w:rsidRDefault="001D1741" w:rsidP="001D1741">
      <w:pPr>
        <w:pStyle w:val="ListParagraph"/>
        <w:rPr>
          <w:sz w:val="28"/>
          <w:szCs w:val="28"/>
        </w:rPr>
      </w:pPr>
    </w:p>
    <w:p w:rsidR="00485736" w:rsidRDefault="00485736" w:rsidP="001D1741">
      <w:pPr>
        <w:pStyle w:val="ListParagraph"/>
        <w:rPr>
          <w:sz w:val="28"/>
          <w:szCs w:val="28"/>
        </w:rPr>
      </w:pPr>
    </w:p>
    <w:p w:rsidR="00485736" w:rsidRDefault="00485736" w:rsidP="001D1741">
      <w:pPr>
        <w:pStyle w:val="ListParagraph"/>
        <w:rPr>
          <w:sz w:val="28"/>
          <w:szCs w:val="28"/>
        </w:rPr>
      </w:pPr>
    </w:p>
    <w:p w:rsidR="00485736" w:rsidRPr="001D1741" w:rsidRDefault="00485736" w:rsidP="001D1741">
      <w:pPr>
        <w:pStyle w:val="ListParagraph"/>
        <w:rPr>
          <w:sz w:val="28"/>
          <w:szCs w:val="28"/>
        </w:rPr>
      </w:pPr>
    </w:p>
    <w:p w:rsidR="00F719A9" w:rsidRPr="007143BC" w:rsidRDefault="00F719A9" w:rsidP="007143BC">
      <w:pPr>
        <w:rPr>
          <w:sz w:val="28"/>
          <w:szCs w:val="28"/>
        </w:rPr>
      </w:pPr>
    </w:p>
    <w:p w:rsidR="001A634B" w:rsidRPr="001A634B" w:rsidRDefault="001A634B" w:rsidP="001A634B">
      <w:pPr>
        <w:ind w:left="360"/>
        <w:rPr>
          <w:sz w:val="28"/>
          <w:szCs w:val="28"/>
        </w:rPr>
      </w:pPr>
    </w:p>
    <w:sectPr w:rsidR="001A634B" w:rsidRPr="001A63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23FB" w:rsidRDefault="006F23FB" w:rsidP="00621EEE">
      <w:pPr>
        <w:spacing w:after="0" w:line="240" w:lineRule="auto"/>
      </w:pPr>
      <w:r>
        <w:separator/>
      </w:r>
    </w:p>
  </w:endnote>
  <w:endnote w:type="continuationSeparator" w:id="0">
    <w:p w:rsidR="006F23FB" w:rsidRDefault="006F23FB" w:rsidP="00621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23FB" w:rsidRDefault="006F23FB" w:rsidP="00621EEE">
      <w:pPr>
        <w:spacing w:after="0" w:line="240" w:lineRule="auto"/>
      </w:pPr>
      <w:r>
        <w:separator/>
      </w:r>
    </w:p>
  </w:footnote>
  <w:footnote w:type="continuationSeparator" w:id="0">
    <w:p w:rsidR="006F23FB" w:rsidRDefault="006F23FB" w:rsidP="00621E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2272E"/>
    <w:multiLevelType w:val="hybridMultilevel"/>
    <w:tmpl w:val="AA806F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335805"/>
    <w:multiLevelType w:val="hybridMultilevel"/>
    <w:tmpl w:val="09F41C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BF5A7A"/>
    <w:multiLevelType w:val="hybridMultilevel"/>
    <w:tmpl w:val="E21870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457EB0"/>
    <w:multiLevelType w:val="hybridMultilevel"/>
    <w:tmpl w:val="0C58CD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D4575D"/>
    <w:multiLevelType w:val="hybridMultilevel"/>
    <w:tmpl w:val="C34E023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34B"/>
    <w:rsid w:val="000C10B5"/>
    <w:rsid w:val="001A634B"/>
    <w:rsid w:val="001D1741"/>
    <w:rsid w:val="00354B9E"/>
    <w:rsid w:val="00374CBC"/>
    <w:rsid w:val="003D02CE"/>
    <w:rsid w:val="00436A8E"/>
    <w:rsid w:val="00485736"/>
    <w:rsid w:val="00621EEE"/>
    <w:rsid w:val="006F23FB"/>
    <w:rsid w:val="007143BC"/>
    <w:rsid w:val="007E67FD"/>
    <w:rsid w:val="00B87245"/>
    <w:rsid w:val="00C96DEB"/>
    <w:rsid w:val="00CF5294"/>
    <w:rsid w:val="00D46D06"/>
    <w:rsid w:val="00D64FA4"/>
    <w:rsid w:val="00EA2C31"/>
    <w:rsid w:val="00F31FA0"/>
    <w:rsid w:val="00F719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2D834"/>
  <w15:chartTrackingRefBased/>
  <w15:docId w15:val="{2C13C9F4-276F-4295-8664-C132CE22C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634B"/>
    <w:pPr>
      <w:ind w:left="720"/>
      <w:contextualSpacing/>
    </w:pPr>
  </w:style>
  <w:style w:type="paragraph" w:styleId="Header">
    <w:name w:val="header"/>
    <w:basedOn w:val="Normal"/>
    <w:link w:val="HeaderChar"/>
    <w:uiPriority w:val="99"/>
    <w:unhideWhenUsed/>
    <w:rsid w:val="00621E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EEE"/>
  </w:style>
  <w:style w:type="paragraph" w:styleId="Footer">
    <w:name w:val="footer"/>
    <w:basedOn w:val="Normal"/>
    <w:link w:val="FooterChar"/>
    <w:uiPriority w:val="99"/>
    <w:unhideWhenUsed/>
    <w:rsid w:val="00621E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E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242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Hockey_stick_controvers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n.wikipedia.org/wiki/Hockey_stick_controvers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Hockey_stick_controversy" TargetMode="External"/><Relationship Id="rId5" Type="http://schemas.openxmlformats.org/officeDocument/2006/relationships/footnotes" Target="footnotes.xml"/><Relationship Id="rId10" Type="http://schemas.openxmlformats.org/officeDocument/2006/relationships/hyperlink" Target="https://en.wikipedia.org/wiki/Hockey_stick_controversy" TargetMode="External"/><Relationship Id="rId4" Type="http://schemas.openxmlformats.org/officeDocument/2006/relationships/webSettings" Target="webSettings.xml"/><Relationship Id="rId9" Type="http://schemas.openxmlformats.org/officeDocument/2006/relationships/hyperlink" Target="https://en.wikipedia.org/wiki/Hockey_stick_controvers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1875</Words>
  <Characters>10694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Garate</dc:creator>
  <cp:keywords/>
  <dc:description/>
  <cp:lastModifiedBy>Steffan Alun</cp:lastModifiedBy>
  <cp:revision>2</cp:revision>
  <dcterms:created xsi:type="dcterms:W3CDTF">2020-03-20T16:48:00Z</dcterms:created>
  <dcterms:modified xsi:type="dcterms:W3CDTF">2020-03-20T16:48:00Z</dcterms:modified>
</cp:coreProperties>
</file>