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Title- Boundaries between fantasy and reality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Bibliography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Barnett, J. E.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et al.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 (2007) ‘Boundary issues and multiple relationships: Fantasy and reality’, </w:t>
      </w:r>
    </w:p>
    <w:p w:rsidR="00000000" w:rsidDel="00000000" w:rsidP="00000000" w:rsidRDefault="00000000" w:rsidRPr="00000000" w14:paraId="00000006">
      <w:pPr>
        <w:rPr>
          <w:sz w:val="20"/>
          <w:szCs w:val="20"/>
          <w:highlight w:val="white"/>
        </w:rPr>
      </w:pP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Professional Psychology: Research and Practice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, 38(4), pp. 401–410. doi: 10.1037/0735-7028.38.4.401.</w:t>
      </w:r>
    </w:p>
    <w:p w:rsidR="00000000" w:rsidDel="00000000" w:rsidP="00000000" w:rsidRDefault="00000000" w:rsidRPr="00000000" w14:paraId="00000007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Richert, R. A. and Schlesinger, M. A. (2017) ‘The role of fantasy-reality distinctions in preschoolers’ learning from educational video’,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Infant &amp; Child Development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, 26(4), p. n/a-N.PAG. doi: 10.1002/icd.2009</w:t>
      </w:r>
    </w:p>
    <w:p w:rsidR="00000000" w:rsidDel="00000000" w:rsidP="00000000" w:rsidRDefault="00000000" w:rsidRPr="00000000" w14:paraId="00000009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Sharon, T. and Woolley, J. D. (2004) ‘Do monsters dream? Young children’s understanding of the fantasy/reality distinction’,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British Journal of Developmental Psychology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, 22(2), pp. 293–310. doi: 10.1348/026151004323044627</w:t>
      </w:r>
    </w:p>
    <w:p w:rsidR="00000000" w:rsidDel="00000000" w:rsidP="00000000" w:rsidRDefault="00000000" w:rsidRPr="00000000" w14:paraId="0000000B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>
          <w:sz w:val="20"/>
          <w:szCs w:val="20"/>
          <w:highlight w:val="white"/>
        </w:rPr>
      </w:pPr>
      <w:r w:rsidDel="00000000" w:rsidR="00000000" w:rsidRPr="00000000">
        <w:rPr>
          <w:sz w:val="20"/>
          <w:szCs w:val="20"/>
          <w:highlight w:val="white"/>
          <w:rtl w:val="0"/>
        </w:rPr>
        <w:t xml:space="preserve">Trowbridge, S. and Stapleton, C., 2009. </w:t>
      </w:r>
      <w:r w:rsidDel="00000000" w:rsidR="00000000" w:rsidRPr="00000000">
        <w:rPr>
          <w:i w:val="1"/>
          <w:sz w:val="20"/>
          <w:szCs w:val="20"/>
          <w:highlight w:val="white"/>
          <w:rtl w:val="0"/>
        </w:rPr>
        <w:t xml:space="preserve">(PDF) Melting The Boundaries Between Fantasy And Reality</w:t>
      </w:r>
      <w:r w:rsidDel="00000000" w:rsidR="00000000" w:rsidRPr="00000000">
        <w:rPr>
          <w:sz w:val="20"/>
          <w:szCs w:val="20"/>
          <w:highlight w:val="white"/>
          <w:rtl w:val="0"/>
        </w:rPr>
        <w:t xml:space="preserve">. [online] ResearchGate. Available at: &lt;https://www.researchgate.net/publication/220475304_Melting_the_Boundaries_Between_Fantasy_and_Reality&gt; [Accessed 28 October 2020].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rPr>
          <w:sz w:val="20"/>
          <w:szCs w:val="20"/>
          <w:highlight w:val="white"/>
        </w:rPr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pt_BR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