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3176</wp:posOffset>
            </wp:positionH>
            <wp:positionV relativeFrom="paragraph">
              <wp:posOffset>3175</wp:posOffset>
            </wp:positionV>
            <wp:extent cx="2451100" cy="1022350"/>
            <wp:effectExtent b="0" l="0" r="0" t="0"/>
            <wp:wrapSquare wrapText="bothSides" distB="0" distT="0" distL="114300" distR="114300"/>
            <wp:docPr descr="UWTSD London | UWTSD London Campus" id="1" name="image1.png"/>
            <a:graphic>
              <a:graphicData uri="http://schemas.openxmlformats.org/drawingml/2006/picture">
                <pic:pic>
                  <pic:nvPicPr>
                    <pic:cNvPr descr="UWTSD London | UWTSD London Campus" id="0" name="image1.png"/>
                    <pic:cNvPicPr preferRelativeResize="0"/>
                  </pic:nvPicPr>
                  <pic:blipFill>
                    <a:blip r:embed="rId7"/>
                    <a:srcRect b="0" l="0" r="0" t="0"/>
                    <a:stretch>
                      <a:fillRect/>
                    </a:stretch>
                  </pic:blipFill>
                  <pic:spPr>
                    <a:xfrm>
                      <a:off x="0" y="0"/>
                      <a:ext cx="2451100" cy="1022350"/>
                    </a:xfrm>
                    <a:prstGeom prst="rect"/>
                    <a:ln/>
                  </pic:spPr>
                </pic:pic>
              </a:graphicData>
            </a:graphic>
          </wp:anchor>
        </w:drawing>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rtl w:val="0"/>
        </w:rPr>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rtl w:val="0"/>
        </w:rPr>
      </w:r>
    </w:p>
    <w:p w:rsidR="00000000" w:rsidDel="00000000" w:rsidP="00000000" w:rsidRDefault="00000000" w:rsidRPr="00000000" w14:paraId="00000006">
      <w:pPr>
        <w:jc w:val="center"/>
        <w:rPr>
          <w:b w:val="1"/>
          <w:sz w:val="30"/>
          <w:szCs w:val="30"/>
        </w:rPr>
      </w:pPr>
      <w:r w:rsidDel="00000000" w:rsidR="00000000" w:rsidRPr="00000000">
        <w:rPr>
          <w:b w:val="1"/>
          <w:sz w:val="30"/>
          <w:szCs w:val="30"/>
          <w:rtl w:val="0"/>
        </w:rPr>
        <w:t xml:space="preserve">DIGITAL SKILLS AND RESEARCH METHODS REPORT</w:t>
      </w:r>
    </w:p>
    <w:p w:rsidR="00000000" w:rsidDel="00000000" w:rsidP="00000000" w:rsidRDefault="00000000" w:rsidRPr="00000000" w14:paraId="00000007">
      <w:pPr>
        <w:jc w:val="center"/>
        <w:rPr>
          <w:b w:val="1"/>
          <w:sz w:val="30"/>
          <w:szCs w:val="30"/>
        </w:rPr>
      </w:pPr>
      <w:r w:rsidDel="00000000" w:rsidR="00000000" w:rsidRPr="00000000">
        <w:rPr>
          <w:b w:val="1"/>
          <w:sz w:val="30"/>
          <w:szCs w:val="30"/>
          <w:rtl w:val="0"/>
        </w:rPr>
        <w:t xml:space="preserve">LCHS4002</w:t>
      </w:r>
    </w:p>
    <w:p w:rsidR="00000000" w:rsidDel="00000000" w:rsidP="00000000" w:rsidRDefault="00000000" w:rsidRPr="00000000" w14:paraId="00000008">
      <w:pPr>
        <w:spacing w:after="0" w:before="200" w:line="216" w:lineRule="auto"/>
        <w:jc w:val="center"/>
        <w:rPr>
          <w:sz w:val="24"/>
          <w:szCs w:val="24"/>
        </w:rPr>
      </w:pPr>
      <w:r w:rsidDel="00000000" w:rsidR="00000000" w:rsidRPr="00000000">
        <w:rPr>
          <w:rtl w:val="0"/>
        </w:rPr>
      </w:r>
    </w:p>
    <w:p w:rsidR="00000000" w:rsidDel="00000000" w:rsidP="00000000" w:rsidRDefault="00000000" w:rsidRPr="00000000" w14:paraId="00000009">
      <w:pPr>
        <w:jc w:val="center"/>
        <w:rPr>
          <w:b w:val="1"/>
          <w:sz w:val="24"/>
          <w:szCs w:val="24"/>
        </w:rPr>
      </w:pPr>
      <w:r w:rsidDel="00000000" w:rsidR="00000000" w:rsidRPr="00000000">
        <w:rPr>
          <w:rtl w:val="0"/>
        </w:rPr>
      </w:r>
    </w:p>
    <w:p w:rsidR="00000000" w:rsidDel="00000000" w:rsidP="00000000" w:rsidRDefault="00000000" w:rsidRPr="00000000" w14:paraId="0000000A">
      <w:pPr>
        <w:rPr>
          <w:b w:val="1"/>
          <w:sz w:val="24"/>
          <w:szCs w:val="24"/>
        </w:rPr>
      </w:pPr>
      <w:r w:rsidDel="00000000" w:rsidR="00000000" w:rsidRPr="00000000">
        <w:rPr>
          <w:rtl w:val="0"/>
        </w:rPr>
      </w:r>
    </w:p>
    <w:p w:rsidR="00000000" w:rsidDel="00000000" w:rsidP="00000000" w:rsidRDefault="00000000" w:rsidRPr="00000000" w14:paraId="0000000B">
      <w:pPr>
        <w:rPr>
          <w:b w:val="1"/>
          <w:sz w:val="24"/>
          <w:szCs w:val="24"/>
        </w:rPr>
      </w:pPr>
      <w:r w:rsidDel="00000000" w:rsidR="00000000" w:rsidRPr="00000000">
        <w:rPr>
          <w:b w:val="1"/>
          <w:sz w:val="24"/>
          <w:szCs w:val="24"/>
          <w:rtl w:val="0"/>
        </w:rPr>
        <w:t xml:space="preserve">Name: Rita Okpara</w:t>
      </w:r>
    </w:p>
    <w:p w:rsidR="00000000" w:rsidDel="00000000" w:rsidP="00000000" w:rsidRDefault="00000000" w:rsidRPr="00000000" w14:paraId="0000000C">
      <w:pPr>
        <w:rPr>
          <w:b w:val="1"/>
          <w:sz w:val="24"/>
          <w:szCs w:val="24"/>
        </w:rPr>
      </w:pPr>
      <w:r w:rsidDel="00000000" w:rsidR="00000000" w:rsidRPr="00000000">
        <w:rPr>
          <w:b w:val="1"/>
          <w:sz w:val="24"/>
          <w:szCs w:val="24"/>
          <w:rtl w:val="0"/>
        </w:rPr>
        <w:t xml:space="preserve">ID: 2233178</w:t>
      </w:r>
    </w:p>
    <w:p w:rsidR="00000000" w:rsidDel="00000000" w:rsidP="00000000" w:rsidRDefault="00000000" w:rsidRPr="00000000" w14:paraId="0000000D">
      <w:pPr>
        <w:rPr>
          <w:b w:val="1"/>
          <w:sz w:val="24"/>
          <w:szCs w:val="24"/>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360" w:lineRule="auto"/>
        <w:ind w:left="720" w:right="0" w:firstLine="0"/>
        <w:jc w:val="both"/>
        <w:rPr>
          <w:rFonts w:ascii="Times New Roman" w:cs="Times New Roman" w:eastAsia="Times New Roman" w:hAnsi="Times New Roman"/>
          <w:b w:val="1"/>
          <w:color w:val="24292f"/>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1"/>
          <w:i w:val="0"/>
          <w:smallCaps w:val="0"/>
          <w:strike w:val="0"/>
          <w:color w:val="24292f"/>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4292f"/>
          <w:sz w:val="24"/>
          <w:szCs w:val="24"/>
          <w:u w:val="none"/>
          <w:shd w:fill="auto" w:val="clear"/>
          <w:vertAlign w:val="baseline"/>
          <w:rtl w:val="0"/>
        </w:rPr>
        <w:t xml:space="preserve">Introduction </w:t>
      </w:r>
    </w:p>
    <w:p w:rsidR="00000000" w:rsidDel="00000000" w:rsidP="00000000" w:rsidRDefault="00000000" w:rsidRPr="00000000" w14:paraId="00000010">
      <w:pPr>
        <w:spacing w:line="360" w:lineRule="auto"/>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color w:val="24292f"/>
          <w:sz w:val="24"/>
          <w:szCs w:val="24"/>
          <w:rtl w:val="0"/>
        </w:rPr>
        <w:t xml:space="preserve">How we identify, manage, and treat various medical diseases has been completely transformed by healthcare technology (Peek et al. 2020). Several widespread applications of medical technology include In order to increase the calibre of care given to residents, technology utilization in care facilities has grown in popularity in recent years (Bucci et al 2019).  Technology and caring are two crucial facets of contemporary life that are becoming more interwoven. Technology has completely impacted how we communicate, work, and live.</w:t>
      </w:r>
    </w:p>
    <w:p w:rsidR="00000000" w:rsidDel="00000000" w:rsidP="00000000" w:rsidRDefault="00000000" w:rsidRPr="00000000" w14:paraId="00000011">
      <w:pPr>
        <w:spacing w:line="360" w:lineRule="auto"/>
        <w:jc w:val="both"/>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One the one hand, technology has made it possible for us to create new tools and techniques for providing care more successfully and effectively (Konttila, et al. 2019). For instance, telemedicine and remote patient monitoring have allowed healthcare professionals to watch patients from a distance and give care. The quality of life for persons with impairments or long-term health issues has also been significantly enhanced by medical equipment and assistive technology such prostheses, hearing aids, and mobility aids (Konttila, et al. 2019). The delivery of care now faces ethical and societal challenges brought on by technology. For instance, privacy, bias, and accountability issues have been brought up by the use of artificial intelligence (AI) and machine learning algorithms in the healthcare industry. Similarly, the growing use of automation and robotics</w:t>
      </w:r>
    </w:p>
    <w:p w:rsidR="00000000" w:rsidDel="00000000" w:rsidP="00000000" w:rsidRDefault="00000000" w:rsidRPr="00000000" w14:paraId="00000012">
      <w:pPr>
        <w:shd w:fill="ffffff" w:val="clear"/>
        <w:spacing w:after="240" w:line="360" w:lineRule="auto"/>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color w:val="374151"/>
          <w:sz w:val="24"/>
          <w:szCs w:val="24"/>
          <w:rtl w:val="0"/>
        </w:rPr>
        <w:t xml:space="preserve">Despite these obstacles, technology has the power to significantly enhance the quality of assistance and care provided to people individually and collectively (Bucci et al. 2019). It is crucial to make sure that the ethical, social, and cultural ramifications of the development and application of technology in care are carefully considered, with an emphasis on maximizing the advantages and lowering the hazards for all stakeholders (Konttila, et al. 2019).</w:t>
      </w: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1"/>
          <w:i w:val="0"/>
          <w:smallCaps w:val="0"/>
          <w:strike w:val="0"/>
          <w:color w:val="24292f"/>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4292f"/>
          <w:sz w:val="24"/>
          <w:szCs w:val="24"/>
          <w:u w:val="none"/>
          <w:shd w:fill="auto" w:val="clear"/>
          <w:vertAlign w:val="baseline"/>
          <w:rtl w:val="0"/>
        </w:rPr>
        <w:t xml:space="preserve">Mhealth and Care Homes </w:t>
      </w:r>
    </w:p>
    <w:p w:rsidR="00000000" w:rsidDel="00000000" w:rsidP="00000000" w:rsidRDefault="00000000" w:rsidRPr="00000000" w14:paraId="00000014">
      <w:pPr>
        <w:shd w:fill="ffffff" w:val="clear"/>
        <w:spacing w:after="240" w:line="360" w:lineRule="auto"/>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color w:val="24292f"/>
          <w:sz w:val="24"/>
          <w:szCs w:val="24"/>
          <w:rtl w:val="0"/>
        </w:rPr>
        <w:t xml:space="preserve">Mhealth, or mobile health, is the use of portable electronic devices like smartphones, tablets, and wearables to enhance patient care and healthcare delivery (Gajarawala et al. 2021). Healthcare professionals may now deliver healthcare remotely, interact with patients in real-time, and monitor patients remotely thanks to mHealth technology (Fleming et al., 2020). Mhealth has the potential to transform patient care by promoting patient participation and self-management, expanding access to healthcare services, and lowering healthcare costs. Following are a few instances where Mhealth is being applied to enhance patient care:</w:t>
      </w:r>
    </w:p>
    <w:p w:rsidR="00000000" w:rsidDel="00000000" w:rsidP="00000000" w:rsidRDefault="00000000" w:rsidRPr="00000000" w14:paraId="00000015">
      <w:pPr>
        <w:shd w:fill="ffffff" w:val="clear"/>
        <w:spacing w:after="240" w:line="360" w:lineRule="auto"/>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b w:val="1"/>
          <w:color w:val="24292f"/>
          <w:sz w:val="24"/>
          <w:szCs w:val="24"/>
          <w:rtl w:val="0"/>
        </w:rPr>
        <w:t xml:space="preserve">Remote patient monitoring:</w:t>
      </w:r>
      <w:r w:rsidDel="00000000" w:rsidR="00000000" w:rsidRPr="00000000">
        <w:rPr>
          <w:rFonts w:ascii="Times New Roman" w:cs="Times New Roman" w:eastAsia="Times New Roman" w:hAnsi="Times New Roman"/>
          <w:color w:val="24292f"/>
          <w:sz w:val="24"/>
          <w:szCs w:val="24"/>
          <w:rtl w:val="0"/>
        </w:rPr>
        <w:t xml:space="preserve"> Patients with long-term diseases including diabetes, hypertension, and heart disease can be monitored remotely using mHealth technology (Fleming et al. 2020). In order to measure their vital signs, including blood pressure, blood glucose levels, and heart rate, patients can utilize wearables or smartphone applications. Patients can then communicate this data to their healthcare professionals. This makes it possible for medical professionals to see potential health issues early and offer prompt therapies to stop consequences (Gajarawala et al.2021).</w:t>
      </w:r>
    </w:p>
    <w:p w:rsidR="00000000" w:rsidDel="00000000" w:rsidP="00000000" w:rsidRDefault="00000000" w:rsidRPr="00000000" w14:paraId="00000016">
      <w:pPr>
        <w:shd w:fill="ffffff" w:val="clear"/>
        <w:spacing w:after="240" w:line="360" w:lineRule="auto"/>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b w:val="1"/>
          <w:color w:val="24292f"/>
          <w:sz w:val="24"/>
          <w:szCs w:val="24"/>
          <w:rtl w:val="0"/>
        </w:rPr>
        <w:t xml:space="preserve">Telemedicine:</w:t>
      </w:r>
      <w:r w:rsidDel="00000000" w:rsidR="00000000" w:rsidRPr="00000000">
        <w:rPr>
          <w:rFonts w:ascii="Times New Roman" w:cs="Times New Roman" w:eastAsia="Times New Roman" w:hAnsi="Times New Roman"/>
          <w:color w:val="24292f"/>
          <w:sz w:val="24"/>
          <w:szCs w:val="24"/>
          <w:rtl w:val="0"/>
        </w:rPr>
        <w:t xml:space="preserve"> MHealth technology may be utilized to offer online consultations between patients and medical professionals. Patients with mobility challenges or who reside in distant or underdeveloped locations will find this to be very helpful. From simple ailments to chronic diseases, telemedicine may be utilized to diagnose and treat a variety of problems (Pastorino et al. 2019).</w:t>
      </w:r>
    </w:p>
    <w:p w:rsidR="00000000" w:rsidDel="00000000" w:rsidP="00000000" w:rsidRDefault="00000000" w:rsidRPr="00000000" w14:paraId="00000017">
      <w:pPr>
        <w:shd w:fill="ffffff" w:val="clear"/>
        <w:spacing w:after="240" w:line="360" w:lineRule="auto"/>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b w:val="1"/>
          <w:color w:val="24292f"/>
          <w:sz w:val="24"/>
          <w:szCs w:val="24"/>
          <w:rtl w:val="0"/>
        </w:rPr>
        <w:t xml:space="preserve">Medication adherence:</w:t>
      </w:r>
      <w:r w:rsidDel="00000000" w:rsidR="00000000" w:rsidRPr="00000000">
        <w:rPr>
          <w:rFonts w:ascii="Times New Roman" w:cs="Times New Roman" w:eastAsia="Times New Roman" w:hAnsi="Times New Roman"/>
          <w:color w:val="24292f"/>
          <w:sz w:val="24"/>
          <w:szCs w:val="24"/>
          <w:rtl w:val="0"/>
        </w:rPr>
        <w:t xml:space="preserve"> MHealth technology can help people take their medications more consistently. Smartphone applications may educate users about the value of taking medicine as directed and can remind users to take their drugs at the proper time and dosage. By avoiding problems and hospitalizations, this can enhance patient outcomes and lower healthcare expenditures (Naslund et al 2020).</w:t>
      </w:r>
    </w:p>
    <w:p w:rsidR="00000000" w:rsidDel="00000000" w:rsidP="00000000" w:rsidRDefault="00000000" w:rsidRPr="00000000" w14:paraId="00000018">
      <w:pPr>
        <w:shd w:fill="ffffff" w:val="clear"/>
        <w:spacing w:after="240" w:line="360" w:lineRule="auto"/>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color w:val="24292f"/>
          <w:sz w:val="24"/>
          <w:szCs w:val="24"/>
          <w:rtl w:val="0"/>
        </w:rPr>
        <w:t xml:space="preserve">Mhealth technology may be used to give patients access to educational materials and tools so they can control their own health. Apps for smartphones can track progress toward health objectives and offer advice on healthy eating, exercise, and lifestyle choices. These applications allow patients to keep track of their symptoms and have real-time conversations with their healthcare professionals.</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1"/>
          <w:i w:val="0"/>
          <w:smallCaps w:val="0"/>
          <w:strike w:val="0"/>
          <w:color w:val="24292f"/>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4292f"/>
          <w:sz w:val="24"/>
          <w:szCs w:val="24"/>
          <w:u w:val="none"/>
          <w:shd w:fill="auto" w:val="clear"/>
          <w:vertAlign w:val="baseline"/>
          <w:rtl w:val="0"/>
        </w:rPr>
        <w:t xml:space="preserve">Elderly care and technological adoption </w:t>
      </w:r>
    </w:p>
    <w:p w:rsidR="00000000" w:rsidDel="00000000" w:rsidP="00000000" w:rsidRDefault="00000000" w:rsidRPr="00000000" w14:paraId="0000001A">
      <w:pPr>
        <w:shd w:fill="ffffff" w:val="clear"/>
        <w:spacing w:after="240" w:line="360" w:lineRule="auto"/>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color w:val="24292f"/>
          <w:sz w:val="24"/>
          <w:szCs w:val="24"/>
          <w:rtl w:val="0"/>
        </w:rPr>
        <w:t xml:space="preserve">By expanding access to care, boosting productivity, and enhancing patient outcomes, technology has the potential to significantly improve healthcare service delivery for the elderly (Wang et al. 2019). Telemedicine, remote monitoring tools, and electronic health records are a few examples of technology that may be very helpful for the elderly.</w:t>
      </w:r>
    </w:p>
    <w:p w:rsidR="00000000" w:rsidDel="00000000" w:rsidP="00000000" w:rsidRDefault="00000000" w:rsidRPr="00000000" w14:paraId="0000001B">
      <w:pPr>
        <w:shd w:fill="ffffff" w:val="clear"/>
        <w:spacing w:after="240" w:line="360" w:lineRule="auto"/>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color w:val="24292f"/>
          <w:sz w:val="24"/>
          <w:szCs w:val="24"/>
          <w:rtl w:val="0"/>
        </w:rPr>
        <w:t xml:space="preserve">Healthcare professionals may communicate with patients remotely thanks to telemedicine, which can be especially useful for older patients who may have mobility problems or reside in rural locations. Healthcare professionals can chat with patients virtually, keep track of their health, and offer advice on how to manage their medications or adjust their lifestyles via telemedicine (Cubric, 2020).</w:t>
      </w:r>
    </w:p>
    <w:p w:rsidR="00000000" w:rsidDel="00000000" w:rsidP="00000000" w:rsidRDefault="00000000" w:rsidRPr="00000000" w14:paraId="0000001C">
      <w:pPr>
        <w:shd w:fill="ffffff" w:val="clear"/>
        <w:spacing w:after="0" w:line="360" w:lineRule="auto"/>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color w:val="24292f"/>
          <w:sz w:val="24"/>
          <w:szCs w:val="24"/>
          <w:rtl w:val="0"/>
        </w:rPr>
        <w:t xml:space="preserve">Healthcare professionals can monitor patients' health information remotely with the use of gadgets like blood pressure cuffs and glucose monitors. For senior patients with chronic diseases that need for regular monitoring, this can be very beneficial.</w:t>
      </w:r>
    </w:p>
    <w:p w:rsidR="00000000" w:rsidDel="00000000" w:rsidP="00000000" w:rsidRDefault="00000000" w:rsidRPr="00000000" w14:paraId="0000001D">
      <w:pPr>
        <w:shd w:fill="ffffff" w:val="clear"/>
        <w:spacing w:after="0" w:line="360" w:lineRule="auto"/>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color w:val="24292f"/>
          <w:sz w:val="24"/>
          <w:szCs w:val="24"/>
          <w:rtl w:val="0"/>
        </w:rPr>
        <w:t xml:space="preserve">By enabling the sharing of medical data among various providers and locations, electronic health records (EHRs) can aid healthcare professionals in better coordinating treatment for older patients. By doing so, medical mistakes may be decreased and proper treatment for patients can be guaranteed.</w:t>
      </w:r>
    </w:p>
    <w:p w:rsidR="00000000" w:rsidDel="00000000" w:rsidP="00000000" w:rsidRDefault="00000000" w:rsidRPr="00000000" w14:paraId="0000001E">
      <w:pPr>
        <w:shd w:fill="ffffff" w:val="clear"/>
        <w:spacing w:after="0" w:line="360" w:lineRule="auto"/>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color w:val="24292f"/>
          <w:sz w:val="24"/>
          <w:szCs w:val="24"/>
          <w:rtl w:val="0"/>
        </w:rPr>
        <w:t xml:space="preserve">It's crucial to remember that technology is not a cure-all and that using it to offer healthcare might have disadvantages. For instance, older people could find it difficult to use technology or may feel uneasy about remote appointments. Healthcare professionals must also be aware of possible</w:t>
      </w:r>
    </w:p>
    <w:p w:rsidR="00000000" w:rsidDel="00000000" w:rsidP="00000000" w:rsidRDefault="00000000" w:rsidRPr="00000000" w14:paraId="0000001F">
      <w:pPr>
        <w:shd w:fill="ffffff" w:val="clear"/>
        <w:spacing w:after="0" w:line="360" w:lineRule="auto"/>
        <w:jc w:val="both"/>
        <w:rPr>
          <w:rFonts w:ascii="Times New Roman" w:cs="Times New Roman" w:eastAsia="Times New Roman" w:hAnsi="Times New Roman"/>
          <w:color w:val="24292f"/>
          <w:sz w:val="24"/>
          <w:szCs w:val="24"/>
        </w:rPr>
      </w:pPr>
      <w:r w:rsidDel="00000000" w:rsidR="00000000" w:rsidRPr="00000000">
        <w:rPr>
          <w:rtl w:val="0"/>
        </w:rPr>
      </w:r>
    </w:p>
    <w:p w:rsidR="00000000" w:rsidDel="00000000" w:rsidP="00000000" w:rsidRDefault="00000000" w:rsidRPr="00000000" w14:paraId="00000020">
      <w:pPr>
        <w:shd w:fill="ffffff" w:val="clear"/>
        <w:spacing w:after="240" w:before="240" w:line="360" w:lineRule="auto"/>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color w:val="24292f"/>
          <w:sz w:val="24"/>
          <w:szCs w:val="24"/>
          <w:rtl w:val="0"/>
        </w:rPr>
        <w:t xml:space="preserve">Technology offers enormous potential to enhance the delivery of healthcare services to the elderly, but it must be used with care and in a way that is user-friendly, efficient, and patient-centered.  Mhealth has the potential to revolutionize patient care by strengthening patient participation and self-management, expanding the availability of healthcare services, and lowering healthcare costs.</w:t>
      </w:r>
    </w:p>
    <w:p w:rsidR="00000000" w:rsidDel="00000000" w:rsidP="00000000" w:rsidRDefault="00000000" w:rsidRPr="00000000" w14:paraId="00000021">
      <w:pPr>
        <w:shd w:fill="ffffff" w:val="clear"/>
        <w:spacing w:after="240" w:before="240" w:line="360" w:lineRule="auto"/>
        <w:ind w:left="720" w:firstLine="0"/>
        <w:jc w:val="both"/>
        <w:rPr>
          <w:rFonts w:ascii="Times New Roman" w:cs="Times New Roman" w:eastAsia="Times New Roman" w:hAnsi="Times New Roman"/>
          <w:color w:val="24292f"/>
          <w:sz w:val="24"/>
          <w:szCs w:val="24"/>
        </w:rPr>
      </w:pPr>
      <w:r w:rsidDel="00000000" w:rsidR="00000000" w:rsidRPr="00000000">
        <w:rPr>
          <w:rtl w:val="0"/>
        </w:rPr>
      </w:r>
    </w:p>
    <w:p w:rsidR="00000000" w:rsidDel="00000000" w:rsidP="00000000" w:rsidRDefault="00000000" w:rsidRPr="00000000" w14:paraId="00000022">
      <w:pPr>
        <w:numPr>
          <w:ilvl w:val="0"/>
          <w:numId w:val="2"/>
        </w:numPr>
        <w:shd w:fill="ffffff" w:val="clear"/>
        <w:spacing w:after="240" w:before="240" w:line="360" w:lineRule="auto"/>
        <w:ind w:left="720" w:hanging="360"/>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color w:val="24292f"/>
          <w:sz w:val="24"/>
          <w:szCs w:val="24"/>
          <w:rtl w:val="0"/>
        </w:rPr>
        <w:t xml:space="preserve">Electronic health records: Electronic health records (EHRs) can help care home staff to keep track of residents' medical histories, medications, and care plans. This can help to ensure that residents receive appropriate care and can also reduce the risk of medical errors. EHRs allow healthcare providers to access patient information instantly, track medical histories and manage patient care more efficiently.</w:t>
      </w:r>
    </w:p>
    <w:p w:rsidR="00000000" w:rsidDel="00000000" w:rsidP="00000000" w:rsidRDefault="00000000" w:rsidRPr="00000000" w14:paraId="00000023">
      <w:pPr>
        <w:numPr>
          <w:ilvl w:val="0"/>
          <w:numId w:val="2"/>
        </w:numPr>
        <w:shd w:fill="ffffff" w:val="clear"/>
        <w:spacing w:after="240" w:before="240" w:line="360" w:lineRule="auto"/>
        <w:ind w:left="720" w:hanging="360"/>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color w:val="24292f"/>
          <w:sz w:val="24"/>
          <w:szCs w:val="24"/>
          <w:rtl w:val="0"/>
        </w:rPr>
        <w:t xml:space="preserve">Remote monitoring: Remote monitoring technology, such as sensors and wearable devices, can be used to monitor residents' health and well-being. This can include monitoring for falls, changes in vital signs, and changes in behavior.</w:t>
      </w:r>
    </w:p>
    <w:p w:rsidR="00000000" w:rsidDel="00000000" w:rsidP="00000000" w:rsidRDefault="00000000" w:rsidRPr="00000000" w14:paraId="00000024">
      <w:pPr>
        <w:numPr>
          <w:ilvl w:val="0"/>
          <w:numId w:val="2"/>
        </w:numPr>
        <w:shd w:fill="ffffff" w:val="clear"/>
        <w:spacing w:after="240" w:before="240" w:line="360" w:lineRule="auto"/>
        <w:ind w:left="720" w:hanging="360"/>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color w:val="24292f"/>
          <w:sz w:val="24"/>
          <w:szCs w:val="24"/>
          <w:rtl w:val="0"/>
        </w:rPr>
        <w:t xml:space="preserve">Telemedicine: Telemedicine allows care home residents to receive medical care remotely, without the need to visit a doctor's office or hospital. This can be particularly useful for residents with mobility issues or living in remote areas. Healthcare is now possible thanks to telemedicine. providers to deliver healthcare services remotely. Patients can now receive consultations, diagnoses, and treatment through video conferencing.</w:t>
      </w:r>
    </w:p>
    <w:p w:rsidR="00000000" w:rsidDel="00000000" w:rsidP="00000000" w:rsidRDefault="00000000" w:rsidRPr="00000000" w14:paraId="00000025">
      <w:pPr>
        <w:numPr>
          <w:ilvl w:val="0"/>
          <w:numId w:val="2"/>
        </w:numPr>
        <w:shd w:fill="ffffff" w:val="clear"/>
        <w:spacing w:after="240" w:before="240" w:line="360" w:lineRule="auto"/>
        <w:ind w:left="720" w:hanging="360"/>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color w:val="24292f"/>
          <w:sz w:val="24"/>
          <w:szCs w:val="24"/>
          <w:rtl w:val="0"/>
        </w:rPr>
        <w:t xml:space="preserve">Assistive technology: Assistive technology, such as hearing aids and mobility aids, can help care home residents to keep their freedom and standard of living.</w:t>
      </w:r>
    </w:p>
    <w:p w:rsidR="00000000" w:rsidDel="00000000" w:rsidP="00000000" w:rsidRDefault="00000000" w:rsidRPr="00000000" w14:paraId="00000026">
      <w:pPr>
        <w:numPr>
          <w:ilvl w:val="0"/>
          <w:numId w:val="2"/>
        </w:numPr>
        <w:shd w:fill="ffffff" w:val="clear"/>
        <w:spacing w:after="240" w:before="240" w:line="360" w:lineRule="auto"/>
        <w:ind w:left="720" w:hanging="360"/>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color w:val="24292f"/>
          <w:sz w:val="24"/>
          <w:szCs w:val="24"/>
          <w:rtl w:val="0"/>
        </w:rPr>
        <w:t xml:space="preserve">Communication technology: Communication technology, such as video conferencing and social media, can help care home residents to maintain contact with their family members and to participate in social activities.</w:t>
      </w:r>
    </w:p>
    <w:p w:rsidR="00000000" w:rsidDel="00000000" w:rsidP="00000000" w:rsidRDefault="00000000" w:rsidRPr="00000000" w14:paraId="00000027">
      <w:pPr>
        <w:numPr>
          <w:ilvl w:val="0"/>
          <w:numId w:val="2"/>
        </w:numPr>
        <w:shd w:fill="ffffff" w:val="clear"/>
        <w:spacing w:after="240" w:before="240" w:line="360" w:lineRule="auto"/>
        <w:ind w:left="720" w:hanging="360"/>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color w:val="24292f"/>
          <w:sz w:val="24"/>
          <w:szCs w:val="24"/>
          <w:rtl w:val="0"/>
        </w:rPr>
        <w:t xml:space="preserve">Medical Imaging: With the use of medical imaging technologies like X-rays, CT scans, and MRI scans, healthcare practitioners can now diagnose and track a variety of medical disorders with greater accuracy.</w:t>
      </w:r>
    </w:p>
    <w:p w:rsidR="00000000" w:rsidDel="00000000" w:rsidP="00000000" w:rsidRDefault="00000000" w:rsidRPr="00000000" w14:paraId="00000028">
      <w:pPr>
        <w:numPr>
          <w:ilvl w:val="0"/>
          <w:numId w:val="2"/>
        </w:numPr>
        <w:shd w:fill="ffffff" w:val="clear"/>
        <w:spacing w:after="240" w:before="240" w:line="360" w:lineRule="auto"/>
        <w:ind w:left="720" w:hanging="360"/>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color w:val="24292f"/>
          <w:sz w:val="24"/>
          <w:szCs w:val="24"/>
          <w:rtl w:val="0"/>
        </w:rPr>
        <w:t xml:space="preserve">Wearable Technology: Wearable devices like fitness trackers and smartwatches may track a patient's physical activity, check their vital signs, and offer early warning indications of future medical problems.</w:t>
      </w:r>
    </w:p>
    <w:p w:rsidR="00000000" w:rsidDel="00000000" w:rsidP="00000000" w:rsidRDefault="00000000" w:rsidRPr="00000000" w14:paraId="00000029">
      <w:pPr>
        <w:numPr>
          <w:ilvl w:val="0"/>
          <w:numId w:val="2"/>
        </w:numPr>
        <w:shd w:fill="ffffff" w:val="clear"/>
        <w:spacing w:after="240" w:before="240" w:line="360" w:lineRule="auto"/>
        <w:ind w:left="720" w:hanging="360"/>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color w:val="24292f"/>
          <w:sz w:val="24"/>
          <w:szCs w:val="24"/>
          <w:rtl w:val="0"/>
        </w:rPr>
        <w:t xml:space="preserve">Health Apps: Patients may better control their health with the use of health apps. They can assess physical activity, give dietary advice, keep track of prescription regimens, and conduct virtual doctor consultations.</w:t>
      </w:r>
    </w:p>
    <w:p w:rsidR="00000000" w:rsidDel="00000000" w:rsidP="00000000" w:rsidRDefault="00000000" w:rsidRPr="00000000" w14:paraId="0000002A">
      <w:pPr>
        <w:numPr>
          <w:ilvl w:val="0"/>
          <w:numId w:val="2"/>
        </w:numPr>
        <w:shd w:fill="ffffff" w:val="clear"/>
        <w:spacing w:after="240" w:before="240" w:line="360" w:lineRule="auto"/>
        <w:ind w:left="720" w:hanging="360"/>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color w:val="24292f"/>
          <w:sz w:val="24"/>
          <w:szCs w:val="24"/>
          <w:rtl w:val="0"/>
        </w:rPr>
        <w:t xml:space="preserve">Robotic Surgery: Robotic surgery has made it possible for surgeons to carry out intricate treatments with more accuracy and precision, leading to less invasive procedures and faster recovery times.</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40" w:before="240" w:line="360" w:lineRule="auto"/>
        <w:ind w:left="720" w:right="0" w:hanging="360"/>
        <w:jc w:val="both"/>
        <w:rPr>
          <w:rFonts w:ascii="Times New Roman" w:cs="Times New Roman" w:eastAsia="Times New Roman" w:hAnsi="Times New Roman"/>
          <w:b w:val="1"/>
          <w:i w:val="0"/>
          <w:smallCaps w:val="0"/>
          <w:strike w:val="0"/>
          <w:color w:val="24292f"/>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4292f"/>
          <w:sz w:val="24"/>
          <w:szCs w:val="24"/>
          <w:u w:val="none"/>
          <w:shd w:fill="auto" w:val="clear"/>
          <w:vertAlign w:val="baseline"/>
          <w:rtl w:val="0"/>
        </w:rPr>
        <w:t xml:space="preserve">Challenges of Technology adoption in healthcare service delivery </w:t>
      </w:r>
    </w:p>
    <w:p w:rsidR="00000000" w:rsidDel="00000000" w:rsidP="00000000" w:rsidRDefault="00000000" w:rsidRPr="00000000" w14:paraId="0000002C">
      <w:pPr>
        <w:shd w:fill="ffffff" w:val="clear"/>
        <w:spacing w:after="240" w:before="240" w:line="360" w:lineRule="auto"/>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color w:val="24292f"/>
          <w:sz w:val="24"/>
          <w:szCs w:val="24"/>
          <w:rtl w:val="0"/>
        </w:rPr>
        <w:t xml:space="preserve">There are several challenges that arise when implementing technology in healthcare service delivery. Some of the most common challenges include:</w:t>
      </w:r>
    </w:p>
    <w:p w:rsidR="00000000" w:rsidDel="00000000" w:rsidP="00000000" w:rsidRDefault="00000000" w:rsidRPr="00000000" w14:paraId="0000002D">
      <w:pPr>
        <w:shd w:fill="ffffff" w:val="clear"/>
        <w:spacing w:after="240" w:before="240" w:line="360" w:lineRule="auto"/>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b w:val="1"/>
          <w:color w:val="24292f"/>
          <w:sz w:val="24"/>
          <w:szCs w:val="24"/>
          <w:rtl w:val="0"/>
        </w:rPr>
        <w:t xml:space="preserve">Data privacy and security:</w:t>
      </w:r>
      <w:r w:rsidDel="00000000" w:rsidR="00000000" w:rsidRPr="00000000">
        <w:rPr>
          <w:rFonts w:ascii="Times New Roman" w:cs="Times New Roman" w:eastAsia="Times New Roman" w:hAnsi="Times New Roman"/>
          <w:color w:val="24292f"/>
          <w:sz w:val="24"/>
          <w:szCs w:val="24"/>
          <w:rtl w:val="0"/>
        </w:rPr>
        <w:t xml:space="preserve"> As healthcare data becomes increasingly digitized, ensuring the privacy and security of sensitive patient information is critical. Breaches can lead to serious consequences, including identity theft, financial fraud, and medical errors.</w:t>
      </w:r>
    </w:p>
    <w:p w:rsidR="00000000" w:rsidDel="00000000" w:rsidP="00000000" w:rsidRDefault="00000000" w:rsidRPr="00000000" w14:paraId="0000002E">
      <w:pPr>
        <w:shd w:fill="ffffff" w:val="clear"/>
        <w:spacing w:after="240" w:before="240" w:line="360" w:lineRule="auto"/>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b w:val="1"/>
          <w:color w:val="24292f"/>
          <w:sz w:val="24"/>
          <w:szCs w:val="24"/>
          <w:rtl w:val="0"/>
        </w:rPr>
        <w:t xml:space="preserve">Interoperability:</w:t>
      </w:r>
      <w:r w:rsidDel="00000000" w:rsidR="00000000" w:rsidRPr="00000000">
        <w:rPr>
          <w:rFonts w:ascii="Times New Roman" w:cs="Times New Roman" w:eastAsia="Times New Roman" w:hAnsi="Times New Roman"/>
          <w:color w:val="24292f"/>
          <w:sz w:val="24"/>
          <w:szCs w:val="24"/>
          <w:rtl w:val="0"/>
        </w:rPr>
        <w:t xml:space="preserve"> Healthcare providers often use different electronic health record (EHR) systems, making it difficult to exchange patient information between providers. This can lead to duplication of tests and procedures, which can be costly and time-consuming.</w:t>
      </w:r>
    </w:p>
    <w:p w:rsidR="00000000" w:rsidDel="00000000" w:rsidP="00000000" w:rsidRDefault="00000000" w:rsidRPr="00000000" w14:paraId="0000002F">
      <w:pPr>
        <w:shd w:fill="ffffff" w:val="clear"/>
        <w:spacing w:after="240" w:before="240" w:line="360" w:lineRule="auto"/>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b w:val="1"/>
          <w:color w:val="24292f"/>
          <w:sz w:val="24"/>
          <w:szCs w:val="24"/>
          <w:rtl w:val="0"/>
        </w:rPr>
        <w:t xml:space="preserve">Technical issues:</w:t>
      </w:r>
      <w:r w:rsidDel="00000000" w:rsidR="00000000" w:rsidRPr="00000000">
        <w:rPr>
          <w:rFonts w:ascii="Times New Roman" w:cs="Times New Roman" w:eastAsia="Times New Roman" w:hAnsi="Times New Roman"/>
          <w:color w:val="24292f"/>
          <w:sz w:val="24"/>
          <w:szCs w:val="24"/>
          <w:rtl w:val="0"/>
        </w:rPr>
        <w:t xml:space="preserve"> Technology can sometimes be unreliable, leading to system downtime or glitches that can delay care delivery or compromise patient safety ( </w:t>
      </w:r>
      <w:r w:rsidDel="00000000" w:rsidR="00000000" w:rsidRPr="00000000">
        <w:rPr>
          <w:rFonts w:ascii="Times New Roman" w:cs="Times New Roman" w:eastAsia="Times New Roman" w:hAnsi="Times New Roman"/>
          <w:color w:val="222222"/>
          <w:sz w:val="24"/>
          <w:szCs w:val="24"/>
          <w:highlight w:val="white"/>
          <w:rtl w:val="0"/>
        </w:rPr>
        <w:t xml:space="preserve">Arcury, et al 2020)</w:t>
      </w:r>
      <w:r w:rsidDel="00000000" w:rsidR="00000000" w:rsidRPr="00000000">
        <w:rPr>
          <w:rFonts w:ascii="Times New Roman" w:cs="Times New Roman" w:eastAsia="Times New Roman" w:hAnsi="Times New Roman"/>
          <w:color w:val="24292f"/>
          <w:sz w:val="24"/>
          <w:szCs w:val="24"/>
          <w:rtl w:val="0"/>
        </w:rPr>
        <w:t xml:space="preserve">.</w:t>
      </w:r>
    </w:p>
    <w:p w:rsidR="00000000" w:rsidDel="00000000" w:rsidP="00000000" w:rsidRDefault="00000000" w:rsidRPr="00000000" w14:paraId="00000030">
      <w:pPr>
        <w:shd w:fill="ffffff" w:val="clear"/>
        <w:spacing w:after="240" w:before="240" w:line="360" w:lineRule="auto"/>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b w:val="1"/>
          <w:color w:val="24292f"/>
          <w:sz w:val="24"/>
          <w:szCs w:val="24"/>
          <w:rtl w:val="0"/>
        </w:rPr>
        <w:t xml:space="preserve">Training and education</w:t>
      </w:r>
      <w:r w:rsidDel="00000000" w:rsidR="00000000" w:rsidRPr="00000000">
        <w:rPr>
          <w:rFonts w:ascii="Times New Roman" w:cs="Times New Roman" w:eastAsia="Times New Roman" w:hAnsi="Times New Roman"/>
          <w:color w:val="24292f"/>
          <w:sz w:val="24"/>
          <w:szCs w:val="24"/>
          <w:rtl w:val="0"/>
        </w:rPr>
        <w:t xml:space="preserve">: New technology often requires specialized training for healthcare professionals to use it effectively. Ensuring all staff members receive adequate training can be challenging, particularly in larger organizations.</w:t>
      </w:r>
    </w:p>
    <w:p w:rsidR="00000000" w:rsidDel="00000000" w:rsidP="00000000" w:rsidRDefault="00000000" w:rsidRPr="00000000" w14:paraId="00000031">
      <w:pPr>
        <w:shd w:fill="ffffff" w:val="clear"/>
        <w:spacing w:after="240" w:before="240" w:line="360" w:lineRule="auto"/>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b w:val="1"/>
          <w:color w:val="24292f"/>
          <w:sz w:val="24"/>
          <w:szCs w:val="24"/>
          <w:rtl w:val="0"/>
        </w:rPr>
        <w:t xml:space="preserve">Cost:</w:t>
      </w:r>
      <w:r w:rsidDel="00000000" w:rsidR="00000000" w:rsidRPr="00000000">
        <w:rPr>
          <w:rFonts w:ascii="Times New Roman" w:cs="Times New Roman" w:eastAsia="Times New Roman" w:hAnsi="Times New Roman"/>
          <w:color w:val="24292f"/>
          <w:sz w:val="24"/>
          <w:szCs w:val="24"/>
          <w:rtl w:val="0"/>
        </w:rPr>
        <w:t xml:space="preserve"> Implementing new technology, particularly for smaller healthcare organizations, can be expensive. The hardware, software, and ongoing maintenance and support cost can be a significant barrier to adoption.</w:t>
      </w:r>
    </w:p>
    <w:p w:rsidR="00000000" w:rsidDel="00000000" w:rsidP="00000000" w:rsidRDefault="00000000" w:rsidRPr="00000000" w14:paraId="00000032">
      <w:pPr>
        <w:shd w:fill="ffffff" w:val="clear"/>
        <w:spacing w:after="240" w:before="240" w:line="360" w:lineRule="auto"/>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b w:val="1"/>
          <w:color w:val="24292f"/>
          <w:sz w:val="24"/>
          <w:szCs w:val="24"/>
          <w:rtl w:val="0"/>
        </w:rPr>
        <w:t xml:space="preserve">Resistance to change:</w:t>
      </w:r>
      <w:r w:rsidDel="00000000" w:rsidR="00000000" w:rsidRPr="00000000">
        <w:rPr>
          <w:rFonts w:ascii="Times New Roman" w:cs="Times New Roman" w:eastAsia="Times New Roman" w:hAnsi="Times New Roman"/>
          <w:color w:val="24292f"/>
          <w:sz w:val="24"/>
          <w:szCs w:val="24"/>
          <w:rtl w:val="0"/>
        </w:rPr>
        <w:t xml:space="preserve"> Finally, some healthcare providers may be resistant to change and prefer to stick with traditional care delivery methods. Overcoming this resistance can be a challenge, particularly when it comes to implementing new technology.</w:t>
      </w:r>
    </w:p>
    <w:p w:rsidR="00000000" w:rsidDel="00000000" w:rsidP="00000000" w:rsidRDefault="00000000" w:rsidRPr="00000000" w14:paraId="00000033">
      <w:pPr>
        <w:shd w:fill="ffffff" w:val="clear"/>
        <w:spacing w:after="240" w:before="240" w:line="360" w:lineRule="auto"/>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color w:val="24292f"/>
          <w:sz w:val="24"/>
          <w:szCs w:val="24"/>
          <w:rtl w:val="0"/>
        </w:rPr>
        <w:t xml:space="preserve">The future of technology in healthcare service delivery </w:t>
      </w:r>
    </w:p>
    <w:p w:rsidR="00000000" w:rsidDel="00000000" w:rsidP="00000000" w:rsidRDefault="00000000" w:rsidRPr="00000000" w14:paraId="00000034">
      <w:pPr>
        <w:shd w:fill="ffffff" w:val="clear"/>
        <w:spacing w:after="240" w:line="360" w:lineRule="auto"/>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color w:val="24292f"/>
          <w:sz w:val="24"/>
          <w:szCs w:val="24"/>
          <w:rtl w:val="0"/>
        </w:rPr>
        <w:t xml:space="preserve">The future of technology and healthcare service delivery is likely to be shaped by several trends and developments, including:</w:t>
      </w:r>
    </w:p>
    <w:p w:rsidR="00000000" w:rsidDel="00000000" w:rsidP="00000000" w:rsidRDefault="00000000" w:rsidRPr="00000000" w14:paraId="00000035">
      <w:pPr>
        <w:shd w:fill="ffffff" w:val="clear"/>
        <w:spacing w:after="240" w:before="240" w:line="360" w:lineRule="auto"/>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b w:val="1"/>
          <w:color w:val="24292f"/>
          <w:sz w:val="24"/>
          <w:szCs w:val="24"/>
          <w:rtl w:val="0"/>
        </w:rPr>
        <w:t xml:space="preserve">Telemedicine and Virtual Care:</w:t>
      </w:r>
      <w:r w:rsidDel="00000000" w:rsidR="00000000" w:rsidRPr="00000000">
        <w:rPr>
          <w:rFonts w:ascii="Times New Roman" w:cs="Times New Roman" w:eastAsia="Times New Roman" w:hAnsi="Times New Roman"/>
          <w:color w:val="24292f"/>
          <w:sz w:val="24"/>
          <w:szCs w:val="24"/>
          <w:rtl w:val="0"/>
        </w:rPr>
        <w:t xml:space="preserve"> The COVID-19 pandemic has accelerated the adoption of telemedicine and virtual care technologies. Patients can now receive medical consultations and treatment remotely, which can help to reduce the burden on hospitals and clinics.</w:t>
      </w:r>
    </w:p>
    <w:p w:rsidR="00000000" w:rsidDel="00000000" w:rsidP="00000000" w:rsidRDefault="00000000" w:rsidRPr="00000000" w14:paraId="00000036">
      <w:pPr>
        <w:shd w:fill="ffffff" w:val="clear"/>
        <w:spacing w:after="240" w:before="240" w:line="360" w:lineRule="auto"/>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b w:val="1"/>
          <w:color w:val="24292f"/>
          <w:sz w:val="24"/>
          <w:szCs w:val="24"/>
          <w:rtl w:val="0"/>
        </w:rPr>
        <w:t xml:space="preserve">Remote monitoring with Wearable Technology</w:t>
      </w:r>
      <w:r w:rsidDel="00000000" w:rsidR="00000000" w:rsidRPr="00000000">
        <w:rPr>
          <w:rFonts w:ascii="Times New Roman" w:cs="Times New Roman" w:eastAsia="Times New Roman" w:hAnsi="Times New Roman"/>
          <w:color w:val="24292f"/>
          <w:sz w:val="24"/>
          <w:szCs w:val="24"/>
          <w:rtl w:val="0"/>
        </w:rPr>
        <w:t xml:space="preserve">: Health metrics and vital signs can be tracked using wearable technology such as fitness trackers and smartwatches. Individuals may use this to keep an eye on their own health and wellbeing, and it can also give physicians useful data about their patients. Healthcare practitioners may examine vast amounts of data to find patterns and trends with the use of artificial intelligence (AI) and big data analytics. This may contribute to lower healthcare expenses and better patient outcomes.</w:t>
      </w:r>
    </w:p>
    <w:p w:rsidR="00000000" w:rsidDel="00000000" w:rsidP="00000000" w:rsidRDefault="00000000" w:rsidRPr="00000000" w14:paraId="00000037">
      <w:pPr>
        <w:shd w:fill="ffffff" w:val="clear"/>
        <w:spacing w:after="240" w:before="240" w:line="360" w:lineRule="auto"/>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b w:val="1"/>
          <w:color w:val="24292f"/>
          <w:sz w:val="24"/>
          <w:szCs w:val="24"/>
          <w:rtl w:val="0"/>
        </w:rPr>
        <w:t xml:space="preserve">Personalized medicine:</w:t>
      </w:r>
      <w:r w:rsidDel="00000000" w:rsidR="00000000" w:rsidRPr="00000000">
        <w:rPr>
          <w:rFonts w:ascii="Times New Roman" w:cs="Times New Roman" w:eastAsia="Times New Roman" w:hAnsi="Times New Roman"/>
          <w:color w:val="24292f"/>
          <w:sz w:val="24"/>
          <w:szCs w:val="24"/>
          <w:rtl w:val="0"/>
        </w:rPr>
        <w:t xml:space="preserve"> New developments in genetics and other technology allow medical professionals to customize patient care to meet their unique requirements. This may contribute to better patient outcomes and lower danger of unfavorable consequences.</w:t>
      </w:r>
    </w:p>
    <w:p w:rsidR="00000000" w:rsidDel="00000000" w:rsidP="00000000" w:rsidRDefault="00000000" w:rsidRPr="00000000" w14:paraId="00000038">
      <w:pPr>
        <w:shd w:fill="ffffff" w:val="clear"/>
        <w:spacing w:after="240" w:before="240" w:line="360" w:lineRule="auto"/>
        <w:jc w:val="both"/>
        <w:rPr>
          <w:rFonts w:ascii="Times New Roman" w:cs="Times New Roman" w:eastAsia="Times New Roman" w:hAnsi="Times New Roman"/>
          <w:color w:val="24292f"/>
          <w:sz w:val="24"/>
          <w:szCs w:val="24"/>
        </w:rPr>
      </w:pP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40" w:before="240" w:line="360" w:lineRule="auto"/>
        <w:ind w:left="720" w:right="0" w:hanging="360"/>
        <w:jc w:val="both"/>
        <w:rPr>
          <w:rFonts w:ascii="Times New Roman" w:cs="Times New Roman" w:eastAsia="Times New Roman" w:hAnsi="Times New Roman"/>
          <w:b w:val="1"/>
          <w:i w:val="0"/>
          <w:smallCaps w:val="0"/>
          <w:strike w:val="0"/>
          <w:color w:val="24292f"/>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4292f"/>
          <w:sz w:val="24"/>
          <w:szCs w:val="24"/>
          <w:u w:val="none"/>
          <w:shd w:fill="auto" w:val="clear"/>
          <w:vertAlign w:val="baseline"/>
          <w:rtl w:val="0"/>
        </w:rPr>
        <w:t xml:space="preserve">Conclusion </w:t>
      </w:r>
    </w:p>
    <w:p w:rsidR="00000000" w:rsidDel="00000000" w:rsidP="00000000" w:rsidRDefault="00000000" w:rsidRPr="00000000" w14:paraId="0000003A">
      <w:pPr>
        <w:shd w:fill="ffffff" w:val="clear"/>
        <w:spacing w:after="0" w:line="360" w:lineRule="auto"/>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color w:val="24292f"/>
          <w:sz w:val="24"/>
          <w:szCs w:val="24"/>
          <w:rtl w:val="0"/>
        </w:rPr>
        <w:t xml:space="preserve">The future of technology and healthcare service delivery is likely to be characterized by increased efficiency, better patient outcomes, and greater access to care for patients. Technology has the needed potential to greatly improve healthcare service delivery, it is important to recognize and address these challenges to ensure successful implementation and adoption.</w:t>
      </w:r>
    </w:p>
    <w:p w:rsidR="00000000" w:rsidDel="00000000" w:rsidP="00000000" w:rsidRDefault="00000000" w:rsidRPr="00000000" w14:paraId="0000003B">
      <w:pPr>
        <w:shd w:fill="ffffff" w:val="clear"/>
        <w:spacing w:after="0" w:line="360" w:lineRule="auto"/>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color w:val="24292f"/>
          <w:sz w:val="24"/>
          <w:szCs w:val="24"/>
          <w:rtl w:val="0"/>
        </w:rPr>
        <w:t xml:space="preserve">Technology offers immenes benefit in healthcare service delivey in care homes, it's important to ensure that technology is implemented in a way that is both safe and effective. Care home staff should receive appropriate training on how to use technology, and residents should be involved in decisions about the use of technology in their care.</w:t>
      </w:r>
    </w:p>
    <w:p w:rsidR="00000000" w:rsidDel="00000000" w:rsidP="00000000" w:rsidRDefault="00000000" w:rsidRPr="00000000" w14:paraId="0000003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042">
      <w:pPr>
        <w:spacing w:line="36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Abu-Elezz, I., Hassan, A., Nazeemudeen, A., Househ, M., &amp; Abd-Alrazaq, A. (2020). The benefits and threats of blockchain technology in healthcare: A scoping review.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Medical Informatics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142</w:t>
      </w:r>
      <w:r w:rsidDel="00000000" w:rsidR="00000000" w:rsidRPr="00000000">
        <w:rPr>
          <w:rFonts w:ascii="Times New Roman" w:cs="Times New Roman" w:eastAsia="Times New Roman" w:hAnsi="Times New Roman"/>
          <w:color w:val="222222"/>
          <w:sz w:val="24"/>
          <w:szCs w:val="24"/>
          <w:highlight w:val="white"/>
          <w:rtl w:val="0"/>
        </w:rPr>
        <w:t xml:space="preserve">, 104246.</w:t>
      </w:r>
    </w:p>
    <w:p w:rsidR="00000000" w:rsidDel="00000000" w:rsidP="00000000" w:rsidRDefault="00000000" w:rsidRPr="00000000" w14:paraId="00000043">
      <w:pPr>
        <w:spacing w:line="36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Arcury, T. A., Sandberg, J. C., Melius, K. P., Quandt, S. A., Leng, X., Latulipe, C., ... &amp; Bertoni, A. G. (2020). Older adult internet use and eHealth literacy. </w:t>
      </w:r>
      <w:r w:rsidDel="00000000" w:rsidR="00000000" w:rsidRPr="00000000">
        <w:rPr>
          <w:rFonts w:ascii="Times New Roman" w:cs="Times New Roman" w:eastAsia="Times New Roman" w:hAnsi="Times New Roman"/>
          <w:i w:val="1"/>
          <w:color w:val="222222"/>
          <w:sz w:val="24"/>
          <w:szCs w:val="24"/>
          <w:highlight w:val="white"/>
          <w:rtl w:val="0"/>
        </w:rPr>
        <w:t xml:space="preserve">Journal of Applied Gerontology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39</w:t>
      </w:r>
      <w:r w:rsidDel="00000000" w:rsidR="00000000" w:rsidRPr="00000000">
        <w:rPr>
          <w:rFonts w:ascii="Times New Roman" w:cs="Times New Roman" w:eastAsia="Times New Roman" w:hAnsi="Times New Roman"/>
          <w:color w:val="222222"/>
          <w:sz w:val="24"/>
          <w:szCs w:val="24"/>
          <w:highlight w:val="white"/>
          <w:rtl w:val="0"/>
        </w:rPr>
        <w:t xml:space="preserve">(2), 141-150.</w:t>
      </w:r>
    </w:p>
    <w:p w:rsidR="00000000" w:rsidDel="00000000" w:rsidP="00000000" w:rsidRDefault="00000000" w:rsidRPr="00000000" w14:paraId="00000044">
      <w:pPr>
        <w:spacing w:line="36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Bucci, S., Schwannauer, M., &amp; Berry, N. (2019). The digital revolution and its impact on mental health care. </w:t>
      </w:r>
      <w:r w:rsidDel="00000000" w:rsidR="00000000" w:rsidRPr="00000000">
        <w:rPr>
          <w:rFonts w:ascii="Times New Roman" w:cs="Times New Roman" w:eastAsia="Times New Roman" w:hAnsi="Times New Roman"/>
          <w:i w:val="1"/>
          <w:color w:val="222222"/>
          <w:sz w:val="24"/>
          <w:szCs w:val="24"/>
          <w:highlight w:val="white"/>
          <w:rtl w:val="0"/>
        </w:rPr>
        <w:t xml:space="preserve">Psychology and Psychotherapy: Theory, Research and Practice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92</w:t>
      </w:r>
      <w:r w:rsidDel="00000000" w:rsidR="00000000" w:rsidRPr="00000000">
        <w:rPr>
          <w:rFonts w:ascii="Times New Roman" w:cs="Times New Roman" w:eastAsia="Times New Roman" w:hAnsi="Times New Roman"/>
          <w:color w:val="222222"/>
          <w:sz w:val="24"/>
          <w:szCs w:val="24"/>
          <w:highlight w:val="white"/>
          <w:rtl w:val="0"/>
        </w:rPr>
        <w:t xml:space="preserve">(2), 277-297.</w:t>
      </w:r>
    </w:p>
    <w:p w:rsidR="00000000" w:rsidDel="00000000" w:rsidP="00000000" w:rsidRDefault="00000000" w:rsidRPr="00000000" w14:paraId="00000045">
      <w:pPr>
        <w:spacing w:line="36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Cubric, M. (2020). Drivers, barriers and social considerations for AI adoption in business and management: A tertiary study. </w:t>
      </w:r>
      <w:r w:rsidDel="00000000" w:rsidR="00000000" w:rsidRPr="00000000">
        <w:rPr>
          <w:rFonts w:ascii="Times New Roman" w:cs="Times New Roman" w:eastAsia="Times New Roman" w:hAnsi="Times New Roman"/>
          <w:i w:val="1"/>
          <w:color w:val="222222"/>
          <w:sz w:val="24"/>
          <w:szCs w:val="24"/>
          <w:highlight w:val="white"/>
          <w:rtl w:val="0"/>
        </w:rPr>
        <w:t xml:space="preserve">Technology in Society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62</w:t>
      </w:r>
      <w:r w:rsidDel="00000000" w:rsidR="00000000" w:rsidRPr="00000000">
        <w:rPr>
          <w:rFonts w:ascii="Times New Roman" w:cs="Times New Roman" w:eastAsia="Times New Roman" w:hAnsi="Times New Roman"/>
          <w:color w:val="222222"/>
          <w:sz w:val="24"/>
          <w:szCs w:val="24"/>
          <w:highlight w:val="white"/>
          <w:rtl w:val="0"/>
        </w:rPr>
        <w:t xml:space="preserve">, 101257.</w:t>
      </w:r>
    </w:p>
    <w:p w:rsidR="00000000" w:rsidDel="00000000" w:rsidP="00000000" w:rsidRDefault="00000000" w:rsidRPr="00000000" w14:paraId="00000046">
      <w:pPr>
        <w:spacing w:line="36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Fleming, G. A., Petrie, J. R., Bergenstal, R. M., Holl, R. W., Peters, A. L., &amp; Heinemann, L. (2020). Diabetes digital app technology: benefits, challenges, and recommendations. A consensus report by the European Association for the Study of Diabetes (EASD) and the American Diabetes Association (ADA) Diabetes Technology Working Group. </w:t>
      </w:r>
      <w:r w:rsidDel="00000000" w:rsidR="00000000" w:rsidRPr="00000000">
        <w:rPr>
          <w:rFonts w:ascii="Times New Roman" w:cs="Times New Roman" w:eastAsia="Times New Roman" w:hAnsi="Times New Roman"/>
          <w:i w:val="1"/>
          <w:color w:val="222222"/>
          <w:sz w:val="24"/>
          <w:szCs w:val="24"/>
          <w:highlight w:val="white"/>
          <w:rtl w:val="0"/>
        </w:rPr>
        <w:t xml:space="preserve">Diabetes care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43</w:t>
      </w:r>
      <w:r w:rsidDel="00000000" w:rsidR="00000000" w:rsidRPr="00000000">
        <w:rPr>
          <w:rFonts w:ascii="Times New Roman" w:cs="Times New Roman" w:eastAsia="Times New Roman" w:hAnsi="Times New Roman"/>
          <w:color w:val="222222"/>
          <w:sz w:val="24"/>
          <w:szCs w:val="24"/>
          <w:highlight w:val="white"/>
          <w:rtl w:val="0"/>
        </w:rPr>
        <w:t xml:space="preserve">(1), 250-260.</w:t>
      </w:r>
    </w:p>
    <w:p w:rsidR="00000000" w:rsidDel="00000000" w:rsidP="00000000" w:rsidRDefault="00000000" w:rsidRPr="00000000" w14:paraId="00000047">
      <w:pPr>
        <w:spacing w:line="36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Gajarawala, S. N., &amp; Pelkowski, J. N. (2021). Telehealth benefits and barriers. </w:t>
      </w:r>
      <w:r w:rsidDel="00000000" w:rsidR="00000000" w:rsidRPr="00000000">
        <w:rPr>
          <w:rFonts w:ascii="Times New Roman" w:cs="Times New Roman" w:eastAsia="Times New Roman" w:hAnsi="Times New Roman"/>
          <w:i w:val="1"/>
          <w:color w:val="222222"/>
          <w:sz w:val="24"/>
          <w:szCs w:val="24"/>
          <w:highlight w:val="white"/>
          <w:rtl w:val="0"/>
        </w:rPr>
        <w:t xml:space="preserve">The Journal for Nurse Practitioners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17</w:t>
      </w:r>
      <w:r w:rsidDel="00000000" w:rsidR="00000000" w:rsidRPr="00000000">
        <w:rPr>
          <w:rFonts w:ascii="Times New Roman" w:cs="Times New Roman" w:eastAsia="Times New Roman" w:hAnsi="Times New Roman"/>
          <w:color w:val="222222"/>
          <w:sz w:val="24"/>
          <w:szCs w:val="24"/>
          <w:highlight w:val="white"/>
          <w:rtl w:val="0"/>
        </w:rPr>
        <w:t xml:space="preserve">(2), 218-221.</w:t>
      </w:r>
    </w:p>
    <w:p w:rsidR="00000000" w:rsidDel="00000000" w:rsidP="00000000" w:rsidRDefault="00000000" w:rsidRPr="00000000" w14:paraId="00000048">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Konttila, J., Siira, H., Kyngäs, H., Lahtinen, M., Elo, S., Kääriäinen, M., ... &amp; Mikkonen, K. (2019). Healthcare professionals’ competence in digitalisation: A systematic review. </w:t>
      </w:r>
      <w:r w:rsidDel="00000000" w:rsidR="00000000" w:rsidRPr="00000000">
        <w:rPr>
          <w:rFonts w:ascii="Times New Roman" w:cs="Times New Roman" w:eastAsia="Times New Roman" w:hAnsi="Times New Roman"/>
          <w:i w:val="1"/>
          <w:color w:val="222222"/>
          <w:sz w:val="24"/>
          <w:szCs w:val="24"/>
          <w:highlight w:val="white"/>
          <w:rtl w:val="0"/>
        </w:rPr>
        <w:t xml:space="preserve">Journal of clinical nursing</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28</w:t>
      </w:r>
      <w:r w:rsidDel="00000000" w:rsidR="00000000" w:rsidRPr="00000000">
        <w:rPr>
          <w:rFonts w:ascii="Times New Roman" w:cs="Times New Roman" w:eastAsia="Times New Roman" w:hAnsi="Times New Roman"/>
          <w:color w:val="222222"/>
          <w:sz w:val="24"/>
          <w:szCs w:val="24"/>
          <w:highlight w:val="white"/>
          <w:rtl w:val="0"/>
        </w:rPr>
        <w:t xml:space="preserve">(5-6), 745-761.</w:t>
      </w:r>
      <w:r w:rsidDel="00000000" w:rsidR="00000000" w:rsidRPr="00000000">
        <w:rPr>
          <w:rtl w:val="0"/>
        </w:rPr>
      </w:r>
    </w:p>
    <w:p w:rsidR="00000000" w:rsidDel="00000000" w:rsidP="00000000" w:rsidRDefault="00000000" w:rsidRPr="00000000" w14:paraId="00000049">
      <w:pPr>
        <w:spacing w:line="36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Naslund, J. A., Bondre, A., Torous, J., &amp; Aschbrenner, K. A. (2020). Social media and mental health: benefits, risks, and opportunities for research and practice. </w:t>
      </w:r>
      <w:r w:rsidDel="00000000" w:rsidR="00000000" w:rsidRPr="00000000">
        <w:rPr>
          <w:rFonts w:ascii="Times New Roman" w:cs="Times New Roman" w:eastAsia="Times New Roman" w:hAnsi="Times New Roman"/>
          <w:i w:val="1"/>
          <w:color w:val="222222"/>
          <w:sz w:val="24"/>
          <w:szCs w:val="24"/>
          <w:highlight w:val="white"/>
          <w:rtl w:val="0"/>
        </w:rPr>
        <w:t xml:space="preserve">Journal of technology in behavioral science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5</w:t>
      </w:r>
      <w:r w:rsidDel="00000000" w:rsidR="00000000" w:rsidRPr="00000000">
        <w:rPr>
          <w:rFonts w:ascii="Times New Roman" w:cs="Times New Roman" w:eastAsia="Times New Roman" w:hAnsi="Times New Roman"/>
          <w:color w:val="222222"/>
          <w:sz w:val="24"/>
          <w:szCs w:val="24"/>
          <w:highlight w:val="white"/>
          <w:rtl w:val="0"/>
        </w:rPr>
        <w:t xml:space="preserve">, 245-257.</w:t>
      </w:r>
    </w:p>
    <w:p w:rsidR="00000000" w:rsidDel="00000000" w:rsidP="00000000" w:rsidRDefault="00000000" w:rsidRPr="00000000" w14:paraId="0000004A">
      <w:pPr>
        <w:spacing w:line="36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Pastorino, R., De Vito, C., Migliara, G., Glocker, K., Binenbaum, I., Ricciardi, W., &amp; Boccia, S. (2019). Benefits and challenges of Big Data in healthcare: an overview of the European initiatives. </w:t>
      </w:r>
      <w:r w:rsidDel="00000000" w:rsidR="00000000" w:rsidRPr="00000000">
        <w:rPr>
          <w:rFonts w:ascii="Times New Roman" w:cs="Times New Roman" w:eastAsia="Times New Roman" w:hAnsi="Times New Roman"/>
          <w:i w:val="1"/>
          <w:color w:val="222222"/>
          <w:sz w:val="24"/>
          <w:szCs w:val="24"/>
          <w:highlight w:val="white"/>
          <w:rtl w:val="0"/>
        </w:rPr>
        <w:t xml:space="preserve">European journal of public health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29</w:t>
      </w:r>
      <w:r w:rsidDel="00000000" w:rsidR="00000000" w:rsidRPr="00000000">
        <w:rPr>
          <w:rFonts w:ascii="Times New Roman" w:cs="Times New Roman" w:eastAsia="Times New Roman" w:hAnsi="Times New Roman"/>
          <w:color w:val="222222"/>
          <w:sz w:val="24"/>
          <w:szCs w:val="24"/>
          <w:highlight w:val="white"/>
          <w:rtl w:val="0"/>
        </w:rPr>
        <w:t xml:space="preserve">(Supplement_3), 23-27.</w:t>
      </w:r>
    </w:p>
    <w:p w:rsidR="00000000" w:rsidDel="00000000" w:rsidP="00000000" w:rsidRDefault="00000000" w:rsidRPr="00000000" w14:paraId="0000004B">
      <w:pPr>
        <w:spacing w:line="36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Peek, N., Sujan, M., &amp; Scott, P. (2020). Digital health and care in pandemic times: impact of COVID-19. </w:t>
      </w:r>
      <w:r w:rsidDel="00000000" w:rsidR="00000000" w:rsidRPr="00000000">
        <w:rPr>
          <w:rFonts w:ascii="Times New Roman" w:cs="Times New Roman" w:eastAsia="Times New Roman" w:hAnsi="Times New Roman"/>
          <w:i w:val="1"/>
          <w:color w:val="222222"/>
          <w:sz w:val="24"/>
          <w:szCs w:val="24"/>
          <w:highlight w:val="white"/>
          <w:rtl w:val="0"/>
        </w:rPr>
        <w:t xml:space="preserve">BMJ health &amp; care informatics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27</w:t>
      </w:r>
      <w:r w:rsidDel="00000000" w:rsidR="00000000" w:rsidRPr="00000000">
        <w:rPr>
          <w:rFonts w:ascii="Times New Roman" w:cs="Times New Roman" w:eastAsia="Times New Roman" w:hAnsi="Times New Roman"/>
          <w:color w:val="222222"/>
          <w:sz w:val="24"/>
          <w:szCs w:val="24"/>
          <w:highlight w:val="white"/>
          <w:rtl w:val="0"/>
        </w:rPr>
        <w:t xml:space="preserve">(1).</w:t>
      </w:r>
    </w:p>
    <w:p w:rsidR="00000000" w:rsidDel="00000000" w:rsidP="00000000" w:rsidRDefault="00000000" w:rsidRPr="00000000" w14:paraId="0000004C">
      <w:pPr>
        <w:spacing w:line="36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Wang, S., Bolling, K., Mao, W., Reichstadt, J., Jeste, D., Kim, H. C., &amp; Nebeker, C. (2019). Technology to support aging in place: Older adults’ perspectives. In </w:t>
      </w:r>
      <w:r w:rsidDel="00000000" w:rsidR="00000000" w:rsidRPr="00000000">
        <w:rPr>
          <w:rFonts w:ascii="Times New Roman" w:cs="Times New Roman" w:eastAsia="Times New Roman" w:hAnsi="Times New Roman"/>
          <w:i w:val="1"/>
          <w:color w:val="222222"/>
          <w:sz w:val="24"/>
          <w:szCs w:val="24"/>
          <w:highlight w:val="white"/>
          <w:rtl w:val="0"/>
        </w:rPr>
        <w:t xml:space="preserve">Healthcare</w:t>
      </w:r>
      <w:r w:rsidDel="00000000" w:rsidR="00000000" w:rsidRPr="00000000">
        <w:rPr>
          <w:rFonts w:ascii="Times New Roman" w:cs="Times New Roman" w:eastAsia="Times New Roman" w:hAnsi="Times New Roman"/>
          <w:color w:val="222222"/>
          <w:sz w:val="24"/>
          <w:szCs w:val="24"/>
          <w:highlight w:val="white"/>
          <w:rtl w:val="0"/>
        </w:rPr>
        <w:t xml:space="preserve"> (Vol. 7, No. 2, p. 60). MDPI.</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N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tgtED0wyB2SgSYe/diP+fi15EQ==">CgMxLjA4AHIhMVM4VjFPcnFnWm9ZWU01Q1ZGRDFQT21fVmM2VGJZUjFq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