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E1FE085" w14:textId="617FF3F1" w:rsidR="00946943" w:rsidRDefault="00347B4E" w:rsidP="00347B4E">
      <w:pPr>
        <w:pStyle w:val="NormalWeb"/>
        <w:spacing w:line="360" w:lineRule="auto"/>
        <w:rPr>
          <w:rFonts w:ascii="ArialMT" w:hAnsi="ArialMT"/>
          <w:b/>
          <w:bCs/>
          <w:sz w:val="36"/>
          <w:szCs w:val="36"/>
          <w:u w:val="single"/>
        </w:rPr>
      </w:pPr>
      <w:r w:rsidRPr="00347B4E">
        <w:rPr>
          <w:rFonts w:ascii="ArialMT" w:hAnsi="ArialMT"/>
          <w:b/>
          <w:bCs/>
          <w:sz w:val="36"/>
          <w:szCs w:val="36"/>
          <w:u w:val="single"/>
        </w:rPr>
        <w:t>How a s</w:t>
      </w:r>
      <w:bookmarkStart w:id="0" w:name="_GoBack"/>
      <w:bookmarkEnd w:id="0"/>
      <w:r w:rsidRPr="00347B4E">
        <w:rPr>
          <w:rFonts w:ascii="ArialMT" w:hAnsi="ArialMT"/>
          <w:b/>
          <w:bCs/>
          <w:sz w:val="36"/>
          <w:szCs w:val="36"/>
          <w:u w:val="single"/>
        </w:rPr>
        <w:t>chool develops one aspect of its SDP: a report that critically reflects on the actions, impact and evidence base</w:t>
      </w:r>
    </w:p>
    <w:tbl>
      <w:tblPr>
        <w:tblStyle w:val="TableGrid"/>
        <w:tblW w:w="0" w:type="auto"/>
        <w:tblLook w:val="04A0" w:firstRow="1" w:lastRow="0" w:firstColumn="1" w:lastColumn="0" w:noHBand="0" w:noVBand="1"/>
      </w:tblPr>
      <w:tblGrid>
        <w:gridCol w:w="1722"/>
        <w:gridCol w:w="3644"/>
        <w:gridCol w:w="3644"/>
      </w:tblGrid>
      <w:tr w:rsidR="00946943" w14:paraId="19526E8C" w14:textId="77777777" w:rsidTr="00771C2F">
        <w:tc>
          <w:tcPr>
            <w:tcW w:w="1722" w:type="dxa"/>
          </w:tcPr>
          <w:p w14:paraId="39A5CFCC" w14:textId="77777777" w:rsidR="00946943" w:rsidRDefault="00946943" w:rsidP="00771C2F">
            <w:pPr>
              <w:pStyle w:val="AssignBody"/>
            </w:pPr>
          </w:p>
        </w:tc>
        <w:tc>
          <w:tcPr>
            <w:tcW w:w="3647" w:type="dxa"/>
          </w:tcPr>
          <w:p w14:paraId="29219E33" w14:textId="77777777" w:rsidR="00946943" w:rsidRDefault="00946943" w:rsidP="00771C2F">
            <w:pPr>
              <w:pStyle w:val="AssignBody"/>
            </w:pPr>
            <w:proofErr w:type="spellStart"/>
            <w:r>
              <w:t>Targed</w:t>
            </w:r>
            <w:proofErr w:type="spellEnd"/>
            <w:r>
              <w:t>/target</w:t>
            </w:r>
          </w:p>
        </w:tc>
        <w:tc>
          <w:tcPr>
            <w:tcW w:w="3647" w:type="dxa"/>
          </w:tcPr>
          <w:p w14:paraId="09BEE33F" w14:textId="77777777" w:rsidR="00946943" w:rsidRDefault="00946943" w:rsidP="00771C2F">
            <w:pPr>
              <w:pStyle w:val="NormalWeb"/>
              <w:spacing w:before="0" w:beforeAutospacing="0" w:after="0" w:afterAutospacing="0"/>
              <w:rPr>
                <w:rFonts w:ascii="Arial" w:hAnsi="Arial" w:cs="Arial"/>
                <w:color w:val="222222"/>
                <w:lang w:val="en-US"/>
              </w:rPr>
            </w:pP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wyf</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wedi'i</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wneud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yn</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yr</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aseiniad</w:t>
            </w:r>
            <w:proofErr w:type="spellEnd"/>
            <w:r>
              <w:rPr>
                <w:rFonts w:ascii="Arial" w:hAnsi="Arial" w:cs="Arial"/>
                <w:color w:val="222222"/>
                <w:shd w:val="clear" w:color="auto" w:fill="F8F9FA"/>
                <w:lang w:val="en-US"/>
              </w:rPr>
              <w:t xml:space="preserve"> </w:t>
            </w:r>
            <w:proofErr w:type="spellStart"/>
            <w:r>
              <w:rPr>
                <w:rFonts w:ascii="Arial" w:hAnsi="Arial" w:cs="Arial"/>
                <w:color w:val="222222"/>
                <w:shd w:val="clear" w:color="auto" w:fill="F8F9FA"/>
                <w:lang w:val="en-US"/>
              </w:rPr>
              <w:t>hwn</w:t>
            </w:r>
            <w:proofErr w:type="spellEnd"/>
          </w:p>
          <w:p w14:paraId="7B209DC2" w14:textId="77777777" w:rsidR="00946943" w:rsidRDefault="00946943" w:rsidP="00771C2F">
            <w:pPr>
              <w:pStyle w:val="NormalWeb"/>
              <w:spacing w:before="0" w:beforeAutospacing="0" w:after="0" w:afterAutospacing="0"/>
              <w:rPr>
                <w:rFonts w:ascii="Arial" w:hAnsi="Arial" w:cs="Arial"/>
                <w:lang w:val="en-US"/>
              </w:rPr>
            </w:pPr>
            <w:r>
              <w:rPr>
                <w:rFonts w:ascii="Arial" w:hAnsi="Arial" w:cs="Arial"/>
                <w:lang w:val="en-US"/>
              </w:rPr>
              <w:t>What I have done in this assignment...</w:t>
            </w:r>
          </w:p>
          <w:p w14:paraId="2D510C52" w14:textId="77777777" w:rsidR="00946943" w:rsidRDefault="00946943" w:rsidP="00771C2F">
            <w:pPr>
              <w:pStyle w:val="AssignBody"/>
            </w:pPr>
          </w:p>
        </w:tc>
      </w:tr>
      <w:tr w:rsidR="00946943" w14:paraId="73687801" w14:textId="77777777" w:rsidTr="00771C2F">
        <w:tc>
          <w:tcPr>
            <w:tcW w:w="1722" w:type="dxa"/>
          </w:tcPr>
          <w:p w14:paraId="0A67B2A6" w14:textId="77777777" w:rsidR="00946943" w:rsidRDefault="00946943" w:rsidP="00771C2F">
            <w:pPr>
              <w:pStyle w:val="AssignBody"/>
            </w:pPr>
            <w:proofErr w:type="spellStart"/>
            <w:r>
              <w:t>T</w:t>
            </w:r>
            <w:bookmarkStart w:id="1" w:name="cysill"/>
            <w:bookmarkEnd w:id="1"/>
            <w:r>
              <w:t>arged</w:t>
            </w:r>
            <w:proofErr w:type="spellEnd"/>
            <w:r>
              <w:t>/Target 1</w:t>
            </w:r>
          </w:p>
        </w:tc>
        <w:tc>
          <w:tcPr>
            <w:tcW w:w="3647" w:type="dxa"/>
          </w:tcPr>
          <w:p w14:paraId="04D98DCA" w14:textId="667A3BA9" w:rsidR="00946943" w:rsidRPr="00946943" w:rsidRDefault="00946943" w:rsidP="00946943">
            <w:pPr>
              <w:rPr>
                <w:rFonts w:ascii="Arial" w:hAnsi="Arial" w:cs="Arial"/>
                <w:sz w:val="24"/>
                <w:szCs w:val="24"/>
              </w:rPr>
            </w:pPr>
            <w:r w:rsidRPr="00946943">
              <w:rPr>
                <w:rFonts w:ascii="Arial" w:hAnsi="Arial" w:cs="Arial"/>
                <w:color w:val="283041"/>
                <w:shd w:val="clear" w:color="auto" w:fill="FFFFFF"/>
              </w:rPr>
              <w:t>M</w:t>
            </w:r>
            <w:r w:rsidRPr="00946943">
              <w:rPr>
                <w:rFonts w:ascii="Arial" w:hAnsi="Arial" w:cs="Arial"/>
                <w:color w:val="283041"/>
                <w:shd w:val="clear" w:color="auto" w:fill="FFFFFF"/>
              </w:rPr>
              <w:t>ore critical engagement with perspectives that challenge your hypothesis. Consider alternative interpretations of the data generated.</w:t>
            </w:r>
          </w:p>
          <w:p w14:paraId="473D5036" w14:textId="77777777" w:rsidR="00946943" w:rsidRDefault="00946943" w:rsidP="00946943">
            <w:pPr>
              <w:pStyle w:val="AssignBody"/>
              <w:spacing w:line="240" w:lineRule="auto"/>
            </w:pPr>
          </w:p>
        </w:tc>
        <w:tc>
          <w:tcPr>
            <w:tcW w:w="3647" w:type="dxa"/>
          </w:tcPr>
          <w:p w14:paraId="163B1384" w14:textId="3C9E9E1F" w:rsidR="00946943" w:rsidRDefault="00946943" w:rsidP="00946943">
            <w:pPr>
              <w:pStyle w:val="AssignBody"/>
              <w:spacing w:line="240" w:lineRule="auto"/>
            </w:pPr>
            <w:r>
              <w:t xml:space="preserve">I sort out a wide range of literature to review and attempted to present conflicting views. </w:t>
            </w:r>
          </w:p>
        </w:tc>
      </w:tr>
      <w:tr w:rsidR="00946943" w14:paraId="7E660A8D" w14:textId="77777777" w:rsidTr="00771C2F">
        <w:tc>
          <w:tcPr>
            <w:tcW w:w="1722" w:type="dxa"/>
          </w:tcPr>
          <w:p w14:paraId="09D0C264" w14:textId="77777777" w:rsidR="00946943" w:rsidRDefault="00946943" w:rsidP="00771C2F">
            <w:pPr>
              <w:pStyle w:val="AssignBody"/>
            </w:pPr>
            <w:proofErr w:type="spellStart"/>
            <w:r>
              <w:t>Targed</w:t>
            </w:r>
            <w:proofErr w:type="spellEnd"/>
            <w:r>
              <w:t>/Target 2</w:t>
            </w:r>
          </w:p>
        </w:tc>
        <w:tc>
          <w:tcPr>
            <w:tcW w:w="3647" w:type="dxa"/>
          </w:tcPr>
          <w:p w14:paraId="2FD77D63" w14:textId="498238C1" w:rsidR="00946943" w:rsidRDefault="00946943" w:rsidP="00946943">
            <w:r>
              <w:rPr>
                <w:rFonts w:ascii="Helvetica Neue" w:hAnsi="Helvetica Neue"/>
                <w:color w:val="283041"/>
                <w:sz w:val="21"/>
                <w:szCs w:val="21"/>
                <w:shd w:val="clear" w:color="auto" w:fill="FFFFFF"/>
              </w:rPr>
              <w:t>R</w:t>
            </w:r>
            <w:r>
              <w:rPr>
                <w:rFonts w:ascii="Helvetica Neue" w:hAnsi="Helvetica Neue"/>
                <w:color w:val="283041"/>
                <w:sz w:val="21"/>
                <w:szCs w:val="21"/>
                <w:shd w:val="clear" w:color="auto" w:fill="FFFFFF"/>
              </w:rPr>
              <w:t>evise correct methods for Harvard referencing, including citation of authors in the body of a text.</w:t>
            </w:r>
          </w:p>
          <w:p w14:paraId="28BE2BE7" w14:textId="77777777" w:rsidR="00946943" w:rsidRDefault="00946943" w:rsidP="00771C2F">
            <w:pPr>
              <w:pStyle w:val="AssignBody"/>
            </w:pPr>
          </w:p>
        </w:tc>
        <w:tc>
          <w:tcPr>
            <w:tcW w:w="3647" w:type="dxa"/>
          </w:tcPr>
          <w:p w14:paraId="22A711E4" w14:textId="3C358FE6" w:rsidR="00946943" w:rsidRDefault="00946943" w:rsidP="00946943">
            <w:pPr>
              <w:pStyle w:val="AssignBody"/>
              <w:spacing w:line="240" w:lineRule="auto"/>
            </w:pPr>
            <w:r>
              <w:t xml:space="preserve">I revised referencing using the university referencing handbook. </w:t>
            </w:r>
          </w:p>
        </w:tc>
      </w:tr>
      <w:tr w:rsidR="00946943" w14:paraId="7EA781AF" w14:textId="77777777" w:rsidTr="00771C2F">
        <w:tc>
          <w:tcPr>
            <w:tcW w:w="1722" w:type="dxa"/>
          </w:tcPr>
          <w:p w14:paraId="2BAFC24D" w14:textId="77777777" w:rsidR="00946943" w:rsidRDefault="00946943" w:rsidP="00771C2F">
            <w:pPr>
              <w:pStyle w:val="AssignBody"/>
            </w:pPr>
            <w:proofErr w:type="spellStart"/>
            <w:r>
              <w:t>Targed</w:t>
            </w:r>
            <w:proofErr w:type="spellEnd"/>
            <w:r>
              <w:t>/Target 3</w:t>
            </w:r>
          </w:p>
        </w:tc>
        <w:tc>
          <w:tcPr>
            <w:tcW w:w="3647" w:type="dxa"/>
          </w:tcPr>
          <w:p w14:paraId="4EF64728" w14:textId="22FECF26" w:rsidR="00946943" w:rsidRDefault="00946943" w:rsidP="00946943">
            <w:pPr>
              <w:pStyle w:val="NormalWeb"/>
              <w:spacing w:before="0" w:beforeAutospacing="0" w:after="0" w:afterAutospacing="0"/>
              <w:rPr>
                <w:rFonts w:ascii="Helvetica Neue" w:hAnsi="Helvetica Neue"/>
                <w:color w:val="283041"/>
                <w:sz w:val="21"/>
                <w:szCs w:val="21"/>
              </w:rPr>
            </w:pPr>
            <w:r>
              <w:rPr>
                <w:rFonts w:ascii="Helvetica Neue" w:hAnsi="Helvetica Neue"/>
                <w:color w:val="283041"/>
                <w:sz w:val="21"/>
                <w:szCs w:val="21"/>
              </w:rPr>
              <w:t>R</w:t>
            </w:r>
            <w:r>
              <w:rPr>
                <w:rFonts w:ascii="Helvetica Neue" w:hAnsi="Helvetica Neue"/>
                <w:color w:val="283041"/>
                <w:sz w:val="21"/>
                <w:szCs w:val="21"/>
              </w:rPr>
              <w:t>epeated written inaccuracies include comma splicing and the use of the apostrophe.</w:t>
            </w:r>
          </w:p>
          <w:p w14:paraId="10BDE036" w14:textId="77777777" w:rsidR="00946943" w:rsidRDefault="00946943" w:rsidP="00771C2F">
            <w:pPr>
              <w:pStyle w:val="AssignBody"/>
            </w:pPr>
          </w:p>
        </w:tc>
        <w:tc>
          <w:tcPr>
            <w:tcW w:w="3647" w:type="dxa"/>
          </w:tcPr>
          <w:p w14:paraId="5F4F4218" w14:textId="02A338A8" w:rsidR="00946943" w:rsidRDefault="00946943" w:rsidP="00771C2F">
            <w:pPr>
              <w:pStyle w:val="AssignBody"/>
            </w:pPr>
            <w:r>
              <w:t xml:space="preserve">I proofread my work for inaccuracies. </w:t>
            </w:r>
          </w:p>
        </w:tc>
      </w:tr>
    </w:tbl>
    <w:p w14:paraId="1C544184" w14:textId="2C942100" w:rsidR="00347B4E" w:rsidRDefault="00347B4E" w:rsidP="00946943">
      <w:pPr>
        <w:spacing w:line="360" w:lineRule="auto"/>
        <w:rPr>
          <w:b/>
        </w:rPr>
      </w:pPr>
    </w:p>
    <w:p w14:paraId="49C2BEC9" w14:textId="77777777" w:rsidR="00946943" w:rsidRDefault="00946943" w:rsidP="00946943">
      <w:pPr>
        <w:spacing w:line="360" w:lineRule="auto"/>
        <w:rPr>
          <w:b/>
        </w:rPr>
      </w:pPr>
    </w:p>
    <w:p w14:paraId="76582FE0"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following report will critically evaluate and assess the impact of an action point that was developed through a strategic planning process. School X is a recently established 3-16 English Medium school in the South Wales area. The school serves an area that is ranked fifteenth out of 191 of the most deprived LSOA’s in Wales (Welsh Government, 2019). For the academic year 2018/2019, the school had 1301 pupils, 28% of whom received free school meals (FSM) and an attendance rate of 93.8% which was in the first quartile in comparison to Wales’ overall average attendance. </w:t>
      </w:r>
    </w:p>
    <w:p w14:paraId="3031A0AF" w14:textId="77777777" w:rsidR="00946943" w:rsidRPr="00946943" w:rsidRDefault="00946943" w:rsidP="00946943">
      <w:pPr>
        <w:spacing w:line="360" w:lineRule="auto"/>
        <w:rPr>
          <w:rFonts w:ascii="Arial" w:hAnsi="Arial" w:cs="Arial"/>
          <w:bCs/>
          <w:color w:val="000000" w:themeColor="text1"/>
          <w:sz w:val="22"/>
          <w:szCs w:val="22"/>
        </w:rPr>
      </w:pPr>
    </w:p>
    <w:p w14:paraId="7AEE1A3C"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school’s Strategic Improvement Plan (SIP) is structured using three key priorities for improvement that have been identified. School X’s first key priority outlined in the SIP for 2019/2020 is to achieve excellent standards, the action point that will be discussed is to improve NNT [National Numeracy Test] quartile position. The specific target identified within this action point is to raise standards above that of the Local Authority average and Wales’ average respectively.  </w:t>
      </w:r>
    </w:p>
    <w:p w14:paraId="1B7166A3" w14:textId="77777777" w:rsidR="00946943" w:rsidRPr="00946943" w:rsidRDefault="00946943" w:rsidP="00946943">
      <w:pPr>
        <w:spacing w:line="360" w:lineRule="auto"/>
        <w:rPr>
          <w:rFonts w:ascii="Arial" w:hAnsi="Arial" w:cs="Arial"/>
          <w:bCs/>
          <w:color w:val="000000" w:themeColor="text1"/>
          <w:sz w:val="22"/>
          <w:szCs w:val="22"/>
        </w:rPr>
      </w:pPr>
    </w:p>
    <w:p w14:paraId="687B31FC"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lastRenderedPageBreak/>
        <w:t xml:space="preserve">School development planning is a continuous cycle of reflection, identifying areas for improvement, devising approaches for improvement, implementing approaches, and evaluating and assessing the impact of actions taken (Welsh Government, 2014). The components of effective school development planning that frequently appear in the literature are; self-evaluation within an evidence-based framework, setting suitably challenging and specific goals, and data-driven decision making (Welsh Government, 2014;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Hanover Research, 2014;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w:t>
      </w:r>
    </w:p>
    <w:p w14:paraId="59398848" w14:textId="77777777" w:rsidR="00946943" w:rsidRPr="00946943" w:rsidRDefault="00946943" w:rsidP="00946943">
      <w:pPr>
        <w:spacing w:line="360" w:lineRule="auto"/>
        <w:rPr>
          <w:rFonts w:ascii="Arial" w:hAnsi="Arial" w:cs="Arial"/>
          <w:bCs/>
          <w:color w:val="000000" w:themeColor="text1"/>
          <w:sz w:val="22"/>
          <w:szCs w:val="22"/>
        </w:rPr>
      </w:pPr>
    </w:p>
    <w:p w14:paraId="0F2E160A"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Self-evaluation is the process of reflecting on prior performance that forms the foundation of school improvement planning (Welsh Government, 2014). Schools assess their current performance as a means to set targets to improve in the future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xml:space="preserve">, et al., 2009). A cyclical approach is often taken to plan, implement and evaluate teaching and learning (Cheng, 2011). </w:t>
      </w:r>
      <w:proofErr w:type="spellStart"/>
      <w:r w:rsidRPr="00946943">
        <w:rPr>
          <w:rFonts w:ascii="Arial" w:hAnsi="Arial" w:cs="Arial"/>
          <w:bCs/>
          <w:color w:val="000000" w:themeColor="text1"/>
          <w:sz w:val="22"/>
          <w:szCs w:val="22"/>
        </w:rPr>
        <w:t>Kyriakides</w:t>
      </w:r>
      <w:proofErr w:type="spellEnd"/>
      <w:r w:rsidRPr="00946943">
        <w:rPr>
          <w:rFonts w:ascii="Arial" w:hAnsi="Arial" w:cs="Arial"/>
          <w:bCs/>
          <w:color w:val="000000" w:themeColor="text1"/>
          <w:sz w:val="22"/>
          <w:szCs w:val="22"/>
        </w:rPr>
        <w:t xml:space="preserve"> and Campbell (2004) state that the participation of stakeholders in a school’s self-evaluation meaningfully differentiates the process from other forms of evaluation. David and Rudd (2001) posit that school improvement is highly contingent on a school’s ability to self-evaluate. Cheng (2011) suggests that effective strategic planning is predicated on a school’s capacity for self-evaluation.</w:t>
      </w:r>
    </w:p>
    <w:p w14:paraId="761035FA" w14:textId="77777777" w:rsidR="00946943" w:rsidRPr="00946943" w:rsidRDefault="00946943" w:rsidP="00946943">
      <w:pPr>
        <w:spacing w:line="360" w:lineRule="auto"/>
        <w:rPr>
          <w:rFonts w:ascii="Arial" w:hAnsi="Arial" w:cs="Arial"/>
          <w:bCs/>
          <w:color w:val="000000" w:themeColor="text1"/>
          <w:sz w:val="22"/>
          <w:szCs w:val="22"/>
        </w:rPr>
      </w:pPr>
    </w:p>
    <w:p w14:paraId="66F3A86F"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validity of self-evaluation has been contested, with resulting judgements being deemed unreliable (Scriven, 1991; </w:t>
      </w:r>
      <w:proofErr w:type="spellStart"/>
      <w:r w:rsidRPr="00946943">
        <w:rPr>
          <w:rFonts w:ascii="Arial" w:hAnsi="Arial" w:cs="Arial"/>
          <w:bCs/>
          <w:color w:val="000000" w:themeColor="text1"/>
          <w:sz w:val="22"/>
          <w:szCs w:val="22"/>
        </w:rPr>
        <w:t>Madeus</w:t>
      </w:r>
      <w:proofErr w:type="spellEnd"/>
      <w:r w:rsidRPr="00946943">
        <w:rPr>
          <w:rFonts w:ascii="Arial" w:hAnsi="Arial" w:cs="Arial"/>
          <w:bCs/>
          <w:color w:val="000000" w:themeColor="text1"/>
          <w:sz w:val="22"/>
          <w:szCs w:val="22"/>
        </w:rPr>
        <w:t>, et al., 1983). The reliability of results may be supplemented by external evaluations, including co-operative review and discussion of results with the external body (</w:t>
      </w:r>
      <w:proofErr w:type="spellStart"/>
      <w:r w:rsidRPr="00946943">
        <w:rPr>
          <w:rFonts w:ascii="Arial" w:hAnsi="Arial" w:cs="Arial"/>
          <w:bCs/>
          <w:color w:val="000000" w:themeColor="text1"/>
          <w:sz w:val="22"/>
          <w:szCs w:val="22"/>
        </w:rPr>
        <w:t>Kyriakides</w:t>
      </w:r>
      <w:proofErr w:type="spellEnd"/>
      <w:r w:rsidRPr="00946943">
        <w:rPr>
          <w:rFonts w:ascii="Arial" w:hAnsi="Arial" w:cs="Arial"/>
          <w:bCs/>
          <w:color w:val="000000" w:themeColor="text1"/>
          <w:sz w:val="22"/>
          <w:szCs w:val="22"/>
        </w:rPr>
        <w:t xml:space="preserve"> &amp; Campbell, 2004). A key component of effective self-evaluation is the collection and use of qualitative and quantitative data (Welsh Government, 2014; Cheng, 2011). Self-evaluation that is data-driven may have greater reliability and validity as well as the possibility of benchmarking certain data against that of other schools (Welsh Government, 2014;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2019). While the value of self-evaluation is widely recognised, the quality can be disparate between schools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et al., 2009). Self-evaluation is said to require a positive attitude by participants in order to be useful (</w:t>
      </w:r>
      <w:proofErr w:type="spellStart"/>
      <w:r w:rsidRPr="00946943">
        <w:rPr>
          <w:rFonts w:ascii="Arial" w:hAnsi="Arial" w:cs="Arial"/>
          <w:bCs/>
          <w:color w:val="000000" w:themeColor="text1"/>
          <w:sz w:val="22"/>
          <w:szCs w:val="22"/>
        </w:rPr>
        <w:t>McBeath</w:t>
      </w:r>
      <w:proofErr w:type="spellEnd"/>
      <w:r w:rsidRPr="00946943">
        <w:rPr>
          <w:rFonts w:ascii="Arial" w:hAnsi="Arial" w:cs="Arial"/>
          <w:bCs/>
          <w:color w:val="000000" w:themeColor="text1"/>
          <w:sz w:val="22"/>
          <w:szCs w:val="22"/>
        </w:rPr>
        <w:t xml:space="preserve">, 1999;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et al., 2009). There is some evidence to suggest that teachers generally do not view self-evaluation positively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2007;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et al., 2009). Self-evaluation has been viewed as an outside imposition, a strain on teacher’s autonomy and as added paperwork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et al., 2009).</w:t>
      </w:r>
    </w:p>
    <w:p w14:paraId="2C91AAD4" w14:textId="77777777" w:rsidR="00946943" w:rsidRPr="00946943" w:rsidRDefault="00946943" w:rsidP="00946943">
      <w:pPr>
        <w:spacing w:line="360" w:lineRule="auto"/>
        <w:rPr>
          <w:rFonts w:ascii="Arial" w:hAnsi="Arial" w:cs="Arial"/>
          <w:bCs/>
          <w:color w:val="000000" w:themeColor="text1"/>
          <w:sz w:val="22"/>
          <w:szCs w:val="22"/>
        </w:rPr>
      </w:pPr>
    </w:p>
    <w:p w14:paraId="6B534E32"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Data is key to the strategic development planning process and school improvement as a means of identifying areas for development (Welsh Government, 2014;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The purpose of data collection is two-fold: to provide accountability measures to external bodies and to inform school improvement processes (Van </w:t>
      </w:r>
      <w:proofErr w:type="spellStart"/>
      <w:r w:rsidRPr="00946943">
        <w:rPr>
          <w:rFonts w:ascii="Arial" w:hAnsi="Arial" w:cs="Arial"/>
          <w:bCs/>
          <w:color w:val="000000" w:themeColor="text1"/>
          <w:sz w:val="22"/>
          <w:szCs w:val="22"/>
        </w:rPr>
        <w:t>Geel</w:t>
      </w:r>
      <w:proofErr w:type="spellEnd"/>
      <w:r w:rsidRPr="00946943">
        <w:rPr>
          <w:rFonts w:ascii="Arial" w:hAnsi="Arial" w:cs="Arial"/>
          <w:bCs/>
          <w:color w:val="000000" w:themeColor="text1"/>
          <w:sz w:val="22"/>
          <w:szCs w:val="22"/>
        </w:rPr>
        <w:t xml:space="preserve">, et al., 2016). The process of </w:t>
      </w:r>
      <w:r w:rsidRPr="00946943">
        <w:rPr>
          <w:rFonts w:ascii="Arial" w:hAnsi="Arial" w:cs="Arial"/>
          <w:bCs/>
          <w:color w:val="000000" w:themeColor="text1"/>
          <w:sz w:val="22"/>
          <w:szCs w:val="22"/>
        </w:rPr>
        <w:lastRenderedPageBreak/>
        <w:t>school improvement may begin with data collection and analysis, leading to the development of targets. Alternatively, data is collected to measure progress against existing targets and new targets are developed from this point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
    <w:p w14:paraId="75EBC36E" w14:textId="77777777" w:rsidR="00946943" w:rsidRPr="00946943" w:rsidRDefault="00946943" w:rsidP="00946943">
      <w:pPr>
        <w:spacing w:line="360" w:lineRule="auto"/>
        <w:rPr>
          <w:rFonts w:ascii="Arial" w:hAnsi="Arial" w:cs="Arial"/>
          <w:bCs/>
          <w:color w:val="000000" w:themeColor="text1"/>
          <w:sz w:val="22"/>
          <w:szCs w:val="22"/>
        </w:rPr>
      </w:pPr>
    </w:p>
    <w:p w14:paraId="70B5491F"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Once data has been collected it must be analysed and interpreted to identify strengths, potential areas for development and their possible causes (Marsh, 2012; </w:t>
      </w:r>
      <w:proofErr w:type="spellStart"/>
      <w:r w:rsidRPr="00946943">
        <w:rPr>
          <w:rFonts w:ascii="Arial" w:hAnsi="Arial" w:cs="Arial"/>
          <w:bCs/>
          <w:color w:val="000000" w:themeColor="text1"/>
          <w:sz w:val="22"/>
          <w:szCs w:val="22"/>
        </w:rPr>
        <w:t>Vanlommel</w:t>
      </w:r>
      <w:proofErr w:type="spellEnd"/>
      <w:r w:rsidRPr="00946943">
        <w:rPr>
          <w:rFonts w:ascii="Arial" w:hAnsi="Arial" w:cs="Arial"/>
          <w:bCs/>
          <w:color w:val="000000" w:themeColor="text1"/>
          <w:sz w:val="22"/>
          <w:szCs w:val="22"/>
        </w:rPr>
        <w:t xml:space="preserve">, et al., 2017;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Interpreting data and making conclusions that inform improvement targets can be a challenging part of the process (Brown, et al., 2017;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roofErr w:type="spellStart"/>
      <w:r w:rsidRPr="00946943">
        <w:rPr>
          <w:rFonts w:ascii="Arial" w:hAnsi="Arial" w:cs="Arial"/>
          <w:bCs/>
          <w:color w:val="000000" w:themeColor="text1"/>
          <w:sz w:val="22"/>
          <w:szCs w:val="22"/>
        </w:rPr>
        <w:t>Eynon</w:t>
      </w:r>
      <w:proofErr w:type="spellEnd"/>
      <w:r w:rsidRPr="00946943">
        <w:rPr>
          <w:rFonts w:ascii="Arial" w:hAnsi="Arial" w:cs="Arial"/>
          <w:bCs/>
          <w:color w:val="000000" w:themeColor="text1"/>
          <w:sz w:val="22"/>
          <w:szCs w:val="22"/>
        </w:rPr>
        <w:t xml:space="preserve"> (2013) posits that all data is socially constructed therefore data collection is inherently biased. This extends to data analysis as individuals bring their own biases, preconceptions, and beliefs to the process (</w:t>
      </w:r>
      <w:proofErr w:type="spellStart"/>
      <w:r w:rsidRPr="00946943">
        <w:rPr>
          <w:rFonts w:ascii="Arial" w:hAnsi="Arial" w:cs="Arial"/>
          <w:bCs/>
          <w:color w:val="000000" w:themeColor="text1"/>
          <w:sz w:val="22"/>
          <w:szCs w:val="22"/>
        </w:rPr>
        <w:t>Datnow</w:t>
      </w:r>
      <w:proofErr w:type="spellEnd"/>
      <w:r w:rsidRPr="00946943">
        <w:rPr>
          <w:rFonts w:ascii="Arial" w:hAnsi="Arial" w:cs="Arial"/>
          <w:bCs/>
          <w:color w:val="000000" w:themeColor="text1"/>
          <w:sz w:val="22"/>
          <w:szCs w:val="22"/>
        </w:rPr>
        <w:t xml:space="preserve">, et al., 2017). </w:t>
      </w:r>
    </w:p>
    <w:p w14:paraId="75C31555" w14:textId="77777777" w:rsidR="00946943" w:rsidRPr="00946943" w:rsidRDefault="00946943" w:rsidP="00946943">
      <w:pPr>
        <w:spacing w:line="360" w:lineRule="auto"/>
        <w:rPr>
          <w:rFonts w:ascii="Arial" w:hAnsi="Arial" w:cs="Arial"/>
          <w:bCs/>
          <w:color w:val="000000" w:themeColor="text1"/>
          <w:sz w:val="22"/>
          <w:szCs w:val="22"/>
        </w:rPr>
      </w:pPr>
    </w:p>
    <w:p w14:paraId="58164D72"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use of data-driven decision making has been found to improve pupil achievement (Van </w:t>
      </w:r>
      <w:proofErr w:type="spellStart"/>
      <w:r w:rsidRPr="00946943">
        <w:rPr>
          <w:rFonts w:ascii="Arial" w:hAnsi="Arial" w:cs="Arial"/>
          <w:bCs/>
          <w:color w:val="000000" w:themeColor="text1"/>
          <w:sz w:val="22"/>
          <w:szCs w:val="22"/>
        </w:rPr>
        <w:t>Geel</w:t>
      </w:r>
      <w:proofErr w:type="spellEnd"/>
      <w:r w:rsidRPr="00946943">
        <w:rPr>
          <w:rFonts w:ascii="Arial" w:hAnsi="Arial" w:cs="Arial"/>
          <w:bCs/>
          <w:color w:val="000000" w:themeColor="text1"/>
          <w:sz w:val="22"/>
          <w:szCs w:val="22"/>
        </w:rPr>
        <w:t xml:space="preserve">, et al., 2016; </w:t>
      </w:r>
      <w:proofErr w:type="spellStart"/>
      <w:r w:rsidRPr="00946943">
        <w:rPr>
          <w:rFonts w:ascii="Arial" w:hAnsi="Arial" w:cs="Arial"/>
          <w:bCs/>
          <w:color w:val="000000" w:themeColor="text1"/>
          <w:sz w:val="22"/>
          <w:szCs w:val="22"/>
        </w:rPr>
        <w:t>Poortman</w:t>
      </w:r>
      <w:proofErr w:type="spellEnd"/>
      <w:r w:rsidRPr="00946943">
        <w:rPr>
          <w:rFonts w:ascii="Arial" w:hAnsi="Arial" w:cs="Arial"/>
          <w:bCs/>
          <w:color w:val="000000" w:themeColor="text1"/>
          <w:sz w:val="22"/>
          <w:szCs w:val="22"/>
        </w:rPr>
        <w:t xml:space="preserve"> &amp;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2014; Campbell &amp; Levin, 2008). Penuel and Shepard (2016) argue that achievement should not be judged entirely on the basis of standardised tests or summative assessments. Data exploitation such as ‘teaching to the test’ is found where there is an emphasis on improving summative assessment standards for accountability purposes (</w:t>
      </w:r>
      <w:proofErr w:type="spellStart"/>
      <w:r w:rsidRPr="00946943">
        <w:rPr>
          <w:rFonts w:ascii="Arial" w:hAnsi="Arial" w:cs="Arial"/>
          <w:bCs/>
          <w:color w:val="000000" w:themeColor="text1"/>
          <w:sz w:val="22"/>
          <w:szCs w:val="22"/>
        </w:rPr>
        <w:t>Booher</w:t>
      </w:r>
      <w:proofErr w:type="spellEnd"/>
      <w:r w:rsidRPr="00946943">
        <w:rPr>
          <w:rFonts w:ascii="Arial" w:hAnsi="Arial" w:cs="Arial"/>
          <w:bCs/>
          <w:color w:val="000000" w:themeColor="text1"/>
          <w:sz w:val="22"/>
          <w:szCs w:val="22"/>
        </w:rPr>
        <w:t xml:space="preserve">-Jennings, 2005; </w:t>
      </w:r>
      <w:proofErr w:type="spellStart"/>
      <w:r w:rsidRPr="00946943">
        <w:rPr>
          <w:rFonts w:ascii="Arial" w:hAnsi="Arial" w:cs="Arial"/>
          <w:bCs/>
          <w:color w:val="000000" w:themeColor="text1"/>
          <w:sz w:val="22"/>
          <w:szCs w:val="22"/>
        </w:rPr>
        <w:t>Datnow</w:t>
      </w:r>
      <w:proofErr w:type="spellEnd"/>
      <w:r w:rsidRPr="00946943">
        <w:rPr>
          <w:rFonts w:ascii="Arial" w:hAnsi="Arial" w:cs="Arial"/>
          <w:bCs/>
          <w:color w:val="000000" w:themeColor="text1"/>
          <w:sz w:val="22"/>
          <w:szCs w:val="22"/>
        </w:rPr>
        <w:t xml:space="preserve"> &amp; Park, 2018). Brown (2015) contends that evidence-based teaching synthesises formative data, summative data, and research. Data can sometimes have an impact on practitioners' conceptual understanding, yet this does not translate into the school improvement process (Farley-Ripple, et al., 2018). </w:t>
      </w:r>
    </w:p>
    <w:p w14:paraId="6AA5FA15" w14:textId="77777777" w:rsidR="00946943" w:rsidRPr="00946943" w:rsidRDefault="00946943" w:rsidP="00946943">
      <w:pPr>
        <w:spacing w:line="360" w:lineRule="auto"/>
        <w:rPr>
          <w:rFonts w:ascii="Arial" w:hAnsi="Arial" w:cs="Arial"/>
          <w:bCs/>
          <w:color w:val="000000" w:themeColor="text1"/>
          <w:sz w:val="22"/>
          <w:szCs w:val="22"/>
        </w:rPr>
      </w:pPr>
    </w:p>
    <w:p w14:paraId="7C77F881"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SIP outlines in detail how targets will be met, and resources allocated within the context of the school’s key priorities (Welsh Government, 2014). Targets are developed so that there is clarity among stakeholders regarding what explicitly needs to be achieved and the means by which to achieve it (Newman, 2012). Targets for improvement agreed to by the governing body must be appropriately challenging and achievable (Welsh Government, 2014; Hanover Research, 2014). Targets that are unrealistic given the school context, resources available or time constraints, may cause demoralization within the school community. </w:t>
      </w:r>
      <w:proofErr w:type="gramStart"/>
      <w:r w:rsidRPr="00946943">
        <w:rPr>
          <w:rFonts w:ascii="Arial" w:hAnsi="Arial" w:cs="Arial"/>
          <w:bCs/>
          <w:color w:val="000000" w:themeColor="text1"/>
          <w:sz w:val="22"/>
          <w:szCs w:val="22"/>
        </w:rPr>
        <w:t>Therefore</w:t>
      </w:r>
      <w:proofErr w:type="gramEnd"/>
      <w:r w:rsidRPr="00946943">
        <w:rPr>
          <w:rFonts w:ascii="Arial" w:hAnsi="Arial" w:cs="Arial"/>
          <w:bCs/>
          <w:color w:val="000000" w:themeColor="text1"/>
          <w:sz w:val="22"/>
          <w:szCs w:val="22"/>
        </w:rPr>
        <w:t xml:space="preserve"> the process of how targets are set is also critical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Terpstra &amp; </w:t>
      </w:r>
      <w:proofErr w:type="spellStart"/>
      <w:r w:rsidRPr="00946943">
        <w:rPr>
          <w:rFonts w:ascii="Arial" w:hAnsi="Arial" w:cs="Arial"/>
          <w:bCs/>
          <w:color w:val="000000" w:themeColor="text1"/>
          <w:sz w:val="22"/>
          <w:szCs w:val="22"/>
        </w:rPr>
        <w:t>Rozell</w:t>
      </w:r>
      <w:proofErr w:type="spellEnd"/>
      <w:r w:rsidRPr="00946943">
        <w:rPr>
          <w:rFonts w:ascii="Arial" w:hAnsi="Arial" w:cs="Arial"/>
          <w:bCs/>
          <w:color w:val="000000" w:themeColor="text1"/>
          <w:sz w:val="22"/>
          <w:szCs w:val="22"/>
        </w:rPr>
        <w:t xml:space="preserve">, 1994; Hanover Research, 2014). </w:t>
      </w:r>
    </w:p>
    <w:p w14:paraId="218556E4" w14:textId="77777777" w:rsidR="00946943" w:rsidRPr="00946943" w:rsidRDefault="00946943" w:rsidP="00946943">
      <w:pPr>
        <w:spacing w:line="360" w:lineRule="auto"/>
        <w:rPr>
          <w:rFonts w:ascii="Arial" w:hAnsi="Arial" w:cs="Arial"/>
          <w:bCs/>
          <w:color w:val="000000" w:themeColor="text1"/>
          <w:sz w:val="22"/>
          <w:szCs w:val="22"/>
        </w:rPr>
      </w:pPr>
    </w:p>
    <w:p w14:paraId="13631D35"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The involvement of teachers and stakeholders in the development of targets may increase their commitment to the targets and the likelihood of achieving the targets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Robinson &amp; Timperley, 2007; </w:t>
      </w:r>
      <w:proofErr w:type="spellStart"/>
      <w:r w:rsidRPr="00946943">
        <w:rPr>
          <w:rFonts w:ascii="Arial" w:hAnsi="Arial" w:cs="Arial"/>
          <w:bCs/>
          <w:color w:val="000000" w:themeColor="text1"/>
          <w:sz w:val="22"/>
          <w:szCs w:val="22"/>
        </w:rPr>
        <w:t>Oyedele</w:t>
      </w:r>
      <w:proofErr w:type="spellEnd"/>
      <w:r w:rsidRPr="00946943">
        <w:rPr>
          <w:rFonts w:ascii="Arial" w:hAnsi="Arial" w:cs="Arial"/>
          <w:bCs/>
          <w:color w:val="000000" w:themeColor="text1"/>
          <w:sz w:val="22"/>
          <w:szCs w:val="22"/>
        </w:rPr>
        <w:t xml:space="preserve"> &amp; </w:t>
      </w:r>
      <w:proofErr w:type="spellStart"/>
      <w:r w:rsidRPr="00946943">
        <w:rPr>
          <w:rFonts w:ascii="Arial" w:hAnsi="Arial" w:cs="Arial"/>
          <w:bCs/>
          <w:color w:val="000000" w:themeColor="text1"/>
          <w:sz w:val="22"/>
          <w:szCs w:val="22"/>
        </w:rPr>
        <w:t>Chikwature</w:t>
      </w:r>
      <w:proofErr w:type="spellEnd"/>
      <w:r w:rsidRPr="00946943">
        <w:rPr>
          <w:rFonts w:ascii="Arial" w:hAnsi="Arial" w:cs="Arial"/>
          <w:bCs/>
          <w:color w:val="000000" w:themeColor="text1"/>
          <w:sz w:val="22"/>
          <w:szCs w:val="22"/>
        </w:rPr>
        <w:t xml:space="preserve">, 2016). </w:t>
      </w:r>
      <w:proofErr w:type="spellStart"/>
      <w:r w:rsidRPr="00946943">
        <w:rPr>
          <w:rFonts w:ascii="Arial" w:hAnsi="Arial" w:cs="Arial"/>
          <w:bCs/>
          <w:color w:val="000000" w:themeColor="text1"/>
          <w:sz w:val="22"/>
          <w:szCs w:val="22"/>
        </w:rPr>
        <w:t>Ewy</w:t>
      </w:r>
      <w:proofErr w:type="spellEnd"/>
      <w:r w:rsidRPr="00946943">
        <w:rPr>
          <w:rFonts w:ascii="Arial" w:hAnsi="Arial" w:cs="Arial"/>
          <w:bCs/>
          <w:color w:val="000000" w:themeColor="text1"/>
          <w:sz w:val="22"/>
          <w:szCs w:val="22"/>
        </w:rPr>
        <w:t xml:space="preserve"> (2009) argues that effective strategic planning requires the participation of competent teachers. </w:t>
      </w:r>
      <w:proofErr w:type="spellStart"/>
      <w:r w:rsidRPr="00946943">
        <w:rPr>
          <w:rFonts w:ascii="Arial" w:hAnsi="Arial" w:cs="Arial"/>
          <w:bCs/>
          <w:color w:val="000000" w:themeColor="text1"/>
          <w:sz w:val="22"/>
          <w:szCs w:val="22"/>
        </w:rPr>
        <w:t>Ackoff</w:t>
      </w:r>
      <w:proofErr w:type="spellEnd"/>
      <w:r w:rsidRPr="00946943">
        <w:rPr>
          <w:rFonts w:ascii="Arial" w:hAnsi="Arial" w:cs="Arial"/>
          <w:bCs/>
          <w:color w:val="000000" w:themeColor="text1"/>
          <w:sz w:val="22"/>
          <w:szCs w:val="22"/>
        </w:rPr>
        <w:t xml:space="preserve"> (1970) contends that the process of involving staff in strategic planning is valuable in and of itself. </w:t>
      </w:r>
      <w:r w:rsidRPr="00946943">
        <w:rPr>
          <w:rFonts w:ascii="Arial" w:hAnsi="Arial" w:cs="Arial"/>
          <w:bCs/>
          <w:color w:val="000000" w:themeColor="text1"/>
          <w:sz w:val="22"/>
          <w:szCs w:val="22"/>
        </w:rPr>
        <w:lastRenderedPageBreak/>
        <w:t>However, there is some evidence to suggest that teachers do not fully comprehend strategic development planning therefore may be limited in what they can contribute to the goal-setting process (</w:t>
      </w:r>
      <w:proofErr w:type="spellStart"/>
      <w:r w:rsidRPr="00946943">
        <w:rPr>
          <w:rFonts w:ascii="Arial" w:hAnsi="Arial" w:cs="Arial"/>
          <w:bCs/>
          <w:color w:val="000000" w:themeColor="text1"/>
          <w:sz w:val="22"/>
          <w:szCs w:val="22"/>
        </w:rPr>
        <w:t>Oyedele</w:t>
      </w:r>
      <w:proofErr w:type="spellEnd"/>
      <w:r w:rsidRPr="00946943">
        <w:rPr>
          <w:rFonts w:ascii="Arial" w:hAnsi="Arial" w:cs="Arial"/>
          <w:bCs/>
          <w:color w:val="000000" w:themeColor="text1"/>
          <w:sz w:val="22"/>
          <w:szCs w:val="22"/>
        </w:rPr>
        <w:t xml:space="preserve"> &amp; </w:t>
      </w:r>
      <w:proofErr w:type="spellStart"/>
      <w:r w:rsidRPr="00946943">
        <w:rPr>
          <w:rFonts w:ascii="Arial" w:hAnsi="Arial" w:cs="Arial"/>
          <w:bCs/>
          <w:color w:val="000000" w:themeColor="text1"/>
          <w:sz w:val="22"/>
          <w:szCs w:val="22"/>
        </w:rPr>
        <w:t>Chikwature</w:t>
      </w:r>
      <w:proofErr w:type="spellEnd"/>
      <w:r w:rsidRPr="00946943">
        <w:rPr>
          <w:rFonts w:ascii="Arial" w:hAnsi="Arial" w:cs="Arial"/>
          <w:bCs/>
          <w:color w:val="000000" w:themeColor="text1"/>
          <w:sz w:val="22"/>
          <w:szCs w:val="22"/>
        </w:rPr>
        <w:t xml:space="preserve">, 2016). Increased professional development surrounding strategic development planning may be necessary to ensure teachers and staff can substantively contribute to the process (Pang, 2003; Ren, 2007; Wang &amp; Hua, 2008; Cheng, 2011). </w:t>
      </w:r>
    </w:p>
    <w:p w14:paraId="5C642C74" w14:textId="77777777" w:rsidR="00946943" w:rsidRPr="00946943" w:rsidRDefault="00946943" w:rsidP="00946943">
      <w:pPr>
        <w:spacing w:line="360" w:lineRule="auto"/>
        <w:rPr>
          <w:rFonts w:ascii="Arial" w:hAnsi="Arial" w:cs="Arial"/>
          <w:bCs/>
          <w:color w:val="000000" w:themeColor="text1"/>
          <w:sz w:val="22"/>
          <w:szCs w:val="22"/>
        </w:rPr>
      </w:pPr>
    </w:p>
    <w:p w14:paraId="0A0A52CF" w14:textId="77777777" w:rsidR="00946943" w:rsidRPr="00946943" w:rsidRDefault="00946943" w:rsidP="00946943">
      <w:pPr>
        <w:spacing w:line="360" w:lineRule="auto"/>
        <w:rPr>
          <w:rFonts w:ascii="Arial" w:hAnsi="Arial" w:cs="Arial"/>
          <w:bCs/>
          <w:color w:val="000000" w:themeColor="text1"/>
          <w:sz w:val="22"/>
          <w:szCs w:val="22"/>
        </w:rPr>
      </w:pP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argue that when developing school improvement targets, equitability should be a key consideration to ensure that appropriate support is given to pupils and intersectional inequalities are addressed in order to close the achievement gap. The use of strategic development planning to address the achievement gap is seen to be limited as schools “inevitably reflect the massive inequalities that exist within British society” (Dyson, et al., 2010, p. 39). Caputo &amp; Rastelli (2014) suggest that when planning to improve pupil achievement, the specificity and detail of targets, as well as the targets being highly contextualised to the reality of the school is of importance to ensure the achievability of targets. </w:t>
      </w:r>
    </w:p>
    <w:p w14:paraId="49177B8E" w14:textId="77777777" w:rsidR="00946943" w:rsidRPr="00946943" w:rsidRDefault="00946943" w:rsidP="00946943">
      <w:pPr>
        <w:spacing w:line="360" w:lineRule="auto"/>
        <w:rPr>
          <w:rFonts w:ascii="Arial" w:hAnsi="Arial" w:cs="Arial"/>
          <w:bCs/>
          <w:color w:val="000000" w:themeColor="text1"/>
          <w:sz w:val="22"/>
          <w:szCs w:val="22"/>
        </w:rPr>
      </w:pPr>
    </w:p>
    <w:p w14:paraId="24EBE4CF"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Improving the standards of Numeracy education is one of Wales’ national priorities, as such strategic development plans must outline how schools will address this priority (Welsh Government, 2014). National Numeracy Tests (NNT) for KS3 pupils are conducted in Welsh secondary schools, with the results being used to develop teaching (Welsh Government, 2016). Intervention approaches and strategies intended to improve numeracy often use data to identify areas for improvement. Strategies then either align teaching to learner’s individual needs or implement a general research-based approach for all learners (Doig, 2001). </w:t>
      </w:r>
    </w:p>
    <w:p w14:paraId="08B59419" w14:textId="77777777" w:rsidR="00946943" w:rsidRPr="00946943" w:rsidRDefault="00946943" w:rsidP="00946943">
      <w:pPr>
        <w:spacing w:line="360" w:lineRule="auto"/>
        <w:rPr>
          <w:rFonts w:ascii="Arial" w:hAnsi="Arial" w:cs="Arial"/>
          <w:bCs/>
          <w:color w:val="000000" w:themeColor="text1"/>
          <w:sz w:val="22"/>
          <w:szCs w:val="22"/>
        </w:rPr>
      </w:pPr>
    </w:p>
    <w:p w14:paraId="38FF2DB8"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School X began developing their 2019/2020 SIP in September 2019, by reviewing the 2018/2019 results, conducting standards meetings, self-review and appraisal meetings, and Departmental self-evaluations. School X uses a self-evaluation procedure that is based on looking at current provision and answering a series of questions, ‘how are we doing?’ ‘how do we know?’ ‘where do we want to go?’ etc. This procedure has previously been used by Scottish schools (</w:t>
      </w:r>
      <w:proofErr w:type="spellStart"/>
      <w:r w:rsidRPr="00946943">
        <w:rPr>
          <w:rFonts w:ascii="Arial" w:hAnsi="Arial" w:cs="Arial"/>
          <w:bCs/>
          <w:color w:val="000000" w:themeColor="text1"/>
          <w:sz w:val="22"/>
          <w:szCs w:val="22"/>
        </w:rPr>
        <w:t>Croxford</w:t>
      </w:r>
      <w:proofErr w:type="spellEnd"/>
      <w:r w:rsidRPr="00946943">
        <w:rPr>
          <w:rFonts w:ascii="Arial" w:hAnsi="Arial" w:cs="Arial"/>
          <w:bCs/>
          <w:color w:val="000000" w:themeColor="text1"/>
          <w:sz w:val="22"/>
          <w:szCs w:val="22"/>
        </w:rPr>
        <w:t xml:space="preserve">, et al., 2009). The Mathematics and Numeracy departmental self-evaluation for 2018/2019 judged the standards of progress in skills as good overall. The descriptor of ‘good’ is that there were strong features, although minor attitudes may need to be improved. This judgement was based on GCSE results, KS3 results, and NNT results. </w:t>
      </w:r>
    </w:p>
    <w:p w14:paraId="3089ACE2" w14:textId="77777777" w:rsidR="00946943" w:rsidRPr="00946943" w:rsidRDefault="00946943" w:rsidP="00946943">
      <w:pPr>
        <w:spacing w:line="360" w:lineRule="auto"/>
        <w:rPr>
          <w:rFonts w:ascii="Arial" w:hAnsi="Arial" w:cs="Arial"/>
          <w:bCs/>
          <w:color w:val="000000" w:themeColor="text1"/>
          <w:sz w:val="22"/>
          <w:szCs w:val="22"/>
        </w:rPr>
      </w:pPr>
    </w:p>
    <w:p w14:paraId="2CBA270E"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NNT results for both procedural and reasoning were found to remain stable. The NNT 2018/19 test results are as follows: pupils in Years 7 and 8 scoring in the 85-115 range was </w:t>
      </w:r>
      <w:r w:rsidRPr="00946943">
        <w:rPr>
          <w:rFonts w:ascii="Arial" w:hAnsi="Arial" w:cs="Arial"/>
          <w:bCs/>
          <w:color w:val="000000" w:themeColor="text1"/>
          <w:sz w:val="22"/>
          <w:szCs w:val="22"/>
        </w:rPr>
        <w:lastRenderedPageBreak/>
        <w:t xml:space="preserve">72%, Pupils in Year 9 scoring in this range was 79%. The National average for pupils scoring in the 85-115 range was 68.3% in Years 7 and 8, 67.7% in Year 9 (National Pupil Database, 2019). Local Authority data was unavailable at the time of the Departmental self-evaluation. Group skills reports using NNT results for each year group were then analysed and key areas in which Numeracy skills needed be developed were identified at both cohort and school level. Mathematics assessment data is also used to inform individual learner’s progress against Numeracy learner outcomes, with pupil self-evaluation, pupil interview, work scrutiny, moderation and teacher feedback informing key areas for development. For example, the key priorities identified for Year 7 based on analysis are improving performance on the NNT in the strands of length, mass, capacity and fractions, decimals, percentages, and ratio. </w:t>
      </w:r>
    </w:p>
    <w:p w14:paraId="7C790C77" w14:textId="77777777" w:rsidR="00946943" w:rsidRPr="00946943" w:rsidRDefault="00946943" w:rsidP="00946943">
      <w:pPr>
        <w:spacing w:line="360" w:lineRule="auto"/>
        <w:rPr>
          <w:rFonts w:ascii="Arial" w:hAnsi="Arial" w:cs="Arial"/>
          <w:bCs/>
          <w:color w:val="000000" w:themeColor="text1"/>
          <w:sz w:val="22"/>
          <w:szCs w:val="22"/>
        </w:rPr>
      </w:pPr>
    </w:p>
    <w:p w14:paraId="4AE01CE7"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department judged their capacity for self-evaluation and improvement planning as good, evidenced by learning walks, book scrutiny, pupil discussion, departmental spreadsheets and departmental minutes. The areas for improvement were identified as self-evaluation needing to become a document more driven by the whole department as the Department Head currently takes responsibility for preparing the report. This aligns with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xml:space="preserve">, et al. (2009) who highlight that school leaders are more likely to view self-evaluation as valuable than teachers who are less involved in the process. The other target for improvement was ensuring that SMID data is accurate to enhance the efficiency of data analysis and setting targets for improvement.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highlights that teachers tend to favour formative assessment and informal data, thus analysing and drawing conclusions from formal data can be more challenging. </w:t>
      </w:r>
    </w:p>
    <w:p w14:paraId="12C1A482" w14:textId="77777777" w:rsidR="00946943" w:rsidRPr="00946943" w:rsidRDefault="00946943" w:rsidP="00946943">
      <w:pPr>
        <w:spacing w:line="360" w:lineRule="auto"/>
        <w:rPr>
          <w:rFonts w:ascii="Arial" w:hAnsi="Arial" w:cs="Arial"/>
          <w:bCs/>
          <w:color w:val="000000" w:themeColor="text1"/>
          <w:sz w:val="22"/>
          <w:szCs w:val="22"/>
        </w:rPr>
      </w:pPr>
    </w:p>
    <w:p w14:paraId="29D0D9DB"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The whole School evaluation report (SER), Departmental improvement plans (DIP) and the SIP for 2019/2020 were completed by the end of October, along with updated benchmarking data. The action point to Improve the NNT quartile position was developed through analysis of the benchmarking data, SER and DIP by the Senior Leadership Team (SLT). The target ‘to improve NNT results standards above that of the Local Authority and Wales’ did not appear in the DIP, although several of the strategies and actions that have been outlined in order to meet the target did appear in the DIP. One possible explanation for this discrepancy is that SLT has more experience analysing data and using it to formulate action points than Department Heads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roofErr w:type="spellStart"/>
      <w:r w:rsidRPr="00946943">
        <w:rPr>
          <w:rFonts w:ascii="Arial" w:hAnsi="Arial" w:cs="Arial"/>
          <w:bCs/>
          <w:color w:val="000000" w:themeColor="text1"/>
          <w:sz w:val="22"/>
          <w:szCs w:val="22"/>
        </w:rPr>
        <w:t>Datnow</w:t>
      </w:r>
      <w:proofErr w:type="spellEnd"/>
      <w:r w:rsidRPr="00946943">
        <w:rPr>
          <w:rFonts w:ascii="Arial" w:hAnsi="Arial" w:cs="Arial"/>
          <w:bCs/>
          <w:color w:val="000000" w:themeColor="text1"/>
          <w:sz w:val="22"/>
          <w:szCs w:val="22"/>
        </w:rPr>
        <w:t>, et al., 2017; Cheng, 2011). Alternatively, as improving Numeracy is a national priority this may be an accountability target as it is necessary to demonstrate improvement to external bodies and stakeholders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et al., 2016). Strategic improvement targets can often be influenced by governmental policy priorities and the political climate of the era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w:t>
      </w:r>
      <w:r w:rsidRPr="00946943">
        <w:rPr>
          <w:rFonts w:ascii="Arial" w:hAnsi="Arial" w:cs="Arial"/>
          <w:bCs/>
          <w:color w:val="000000" w:themeColor="text1"/>
          <w:sz w:val="22"/>
          <w:szCs w:val="22"/>
        </w:rPr>
        <w:lastRenderedPageBreak/>
        <w:t xml:space="preserve">et al., 2016; </w:t>
      </w:r>
      <w:proofErr w:type="spellStart"/>
      <w:r w:rsidRPr="00946943">
        <w:rPr>
          <w:rFonts w:ascii="Arial" w:hAnsi="Arial" w:cs="Arial"/>
          <w:bCs/>
          <w:color w:val="000000" w:themeColor="text1"/>
          <w:sz w:val="22"/>
          <w:szCs w:val="22"/>
        </w:rPr>
        <w:t>Klenowski</w:t>
      </w:r>
      <w:proofErr w:type="spellEnd"/>
      <w:r w:rsidRPr="00946943">
        <w:rPr>
          <w:rFonts w:ascii="Arial" w:hAnsi="Arial" w:cs="Arial"/>
          <w:bCs/>
          <w:color w:val="000000" w:themeColor="text1"/>
          <w:sz w:val="22"/>
          <w:szCs w:val="22"/>
        </w:rPr>
        <w:t xml:space="preserve"> &amp; Wyatt-Smith, 2012).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et al (2016) have criticised target setting that is influenced by the political climate and test scores. The tension between using data from tests as a diagnostic tool for improving teaching and learning should be considered within the broader context of increased accountability for schools (</w:t>
      </w:r>
      <w:proofErr w:type="spellStart"/>
      <w:r w:rsidRPr="00946943">
        <w:rPr>
          <w:rFonts w:ascii="Arial" w:hAnsi="Arial" w:cs="Arial"/>
          <w:bCs/>
          <w:color w:val="000000" w:themeColor="text1"/>
          <w:sz w:val="22"/>
          <w:szCs w:val="22"/>
        </w:rPr>
        <w:t>Klenowski</w:t>
      </w:r>
      <w:proofErr w:type="spellEnd"/>
      <w:r w:rsidRPr="00946943">
        <w:rPr>
          <w:rFonts w:ascii="Arial" w:hAnsi="Arial" w:cs="Arial"/>
          <w:bCs/>
          <w:color w:val="000000" w:themeColor="text1"/>
          <w:sz w:val="22"/>
          <w:szCs w:val="22"/>
        </w:rPr>
        <w:t xml:space="preserve"> &amp; Wyatt-Smith, 2012). </w:t>
      </w:r>
    </w:p>
    <w:p w14:paraId="4C427D1A" w14:textId="77777777" w:rsidR="00946943" w:rsidRPr="00946943" w:rsidRDefault="00946943" w:rsidP="00946943">
      <w:pPr>
        <w:spacing w:line="360" w:lineRule="auto"/>
        <w:rPr>
          <w:rFonts w:ascii="Arial" w:hAnsi="Arial" w:cs="Arial"/>
          <w:bCs/>
          <w:color w:val="000000" w:themeColor="text1"/>
          <w:sz w:val="22"/>
          <w:szCs w:val="22"/>
        </w:rPr>
      </w:pPr>
    </w:p>
    <w:p w14:paraId="2DC6206B"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The target is connected to a key priority, strategies and actions that will be implemented are stated, the intended outcome is described and progress reviews to evaluate and monitor progress towards the target are scheduled, as illustrated in Appendix 1. This aligns with Rader (2005) who suggests that targets are more achievable when they are operationalised. Improving the NNT quartile position may be considered not a very specific target and possibly a little board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Instead of tying improvement to the LA and Wales’ average, which changes year on year, specifying a percentage increase in test scores or improving performance scores in specific strands of the test may be easier to measure and achieve (Locke &amp; Latham, 2002;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et al., 2016). There is some evidence to suggest that strategic planning failures are often attributable to a lack of accurate data and staff being insufficiently involved in the planning process (Zhang, 2007; Chu, 2007)</w:t>
      </w:r>
    </w:p>
    <w:p w14:paraId="24D677C6" w14:textId="77777777" w:rsidR="00946943" w:rsidRPr="00946943" w:rsidRDefault="00946943" w:rsidP="00946943">
      <w:pPr>
        <w:spacing w:line="360" w:lineRule="auto"/>
        <w:rPr>
          <w:rFonts w:ascii="Arial" w:hAnsi="Arial" w:cs="Arial"/>
          <w:bCs/>
          <w:color w:val="000000" w:themeColor="text1"/>
          <w:sz w:val="22"/>
          <w:szCs w:val="22"/>
        </w:rPr>
      </w:pPr>
    </w:p>
    <w:p w14:paraId="52BDA4AB"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In February of 2020, the first SIP Review of targets was conducted. Evidence from lesson observations, book scrutiny, meeting minutes, learner outcomes and data analysis, was used to assess progress towards the target. At this point in the school year, some of the strategies had not yet been implemented. For example, as pupils do not take the NNT until after Easter they had not yet been given the learner outcomes and Numeracy toolkit therefore the impact of this strategy could not be evaluated. Analogously, the use of RUCSAC as a consistent approach to numerical reasoning across the school had not been fully implemented by the time of the first review. That is possibly due to the fact that the school had more than 30 new teaching staff start in September 2019 and the shared vision for numeracy and numeracy approaches had not yet been fully communicated. It is necessary to consider the role and capacity of individual teachers to implement approaches in order to meet targets (Bell, 2002). </w:t>
      </w:r>
    </w:p>
    <w:p w14:paraId="506327BC" w14:textId="77777777" w:rsidR="00946943" w:rsidRPr="00946943" w:rsidRDefault="00946943" w:rsidP="00946943">
      <w:pPr>
        <w:spacing w:line="360" w:lineRule="auto"/>
        <w:rPr>
          <w:rFonts w:ascii="Arial" w:hAnsi="Arial" w:cs="Arial"/>
          <w:bCs/>
          <w:color w:val="000000" w:themeColor="text1"/>
          <w:sz w:val="22"/>
          <w:szCs w:val="22"/>
        </w:rPr>
      </w:pPr>
    </w:p>
    <w:p w14:paraId="06F83B8E"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 overall impact of the strategies and approaches taken is difficult to evaluate at this point, as determining whether the target has been met is contingent on the NNT scores for 2020 and pupils have not yet taken the tests. The process of developing the action point “Improve NNT quartile position” included several of the elements of effective strategic development planning. Both the departmental and whole school self-evaluations were robust and analysed both quantitative and qualitative data. The areas for improvement identified in the </w:t>
      </w:r>
      <w:r w:rsidRPr="00946943">
        <w:rPr>
          <w:rFonts w:ascii="Arial" w:hAnsi="Arial" w:cs="Arial"/>
          <w:bCs/>
          <w:color w:val="000000" w:themeColor="text1"/>
          <w:sz w:val="22"/>
          <w:szCs w:val="22"/>
        </w:rPr>
        <w:lastRenderedPageBreak/>
        <w:t xml:space="preserve">DIP align with recommendations drawn from research. Teachers should be included in the self-evaluation and planning process in order to foster a collective commitment to the strategic development targets, to utilise their expertise on the school context and as a means of enhancing teacher professionalism (Cheng, 2008; Cheng, 2011; </w:t>
      </w:r>
      <w:proofErr w:type="spellStart"/>
      <w:r w:rsidRPr="00946943">
        <w:rPr>
          <w:rFonts w:ascii="Arial" w:hAnsi="Arial" w:cs="Arial"/>
          <w:bCs/>
          <w:color w:val="000000" w:themeColor="text1"/>
          <w:sz w:val="22"/>
          <w:szCs w:val="22"/>
        </w:rPr>
        <w:t>Vanhoof</w:t>
      </w:r>
      <w:proofErr w:type="spellEnd"/>
      <w:r w:rsidRPr="00946943">
        <w:rPr>
          <w:rFonts w:ascii="Arial" w:hAnsi="Arial" w:cs="Arial"/>
          <w:bCs/>
          <w:color w:val="000000" w:themeColor="text1"/>
          <w:sz w:val="22"/>
          <w:szCs w:val="22"/>
        </w:rPr>
        <w:t xml:space="preserve">, et al., 2009). </w:t>
      </w:r>
    </w:p>
    <w:p w14:paraId="7C116B68" w14:textId="77777777" w:rsidR="00946943" w:rsidRPr="00946943" w:rsidRDefault="00946943" w:rsidP="00946943">
      <w:pPr>
        <w:spacing w:line="360" w:lineRule="auto"/>
        <w:rPr>
          <w:rFonts w:ascii="Arial" w:hAnsi="Arial" w:cs="Arial"/>
          <w:bCs/>
          <w:color w:val="000000" w:themeColor="text1"/>
          <w:sz w:val="22"/>
          <w:szCs w:val="22"/>
        </w:rPr>
      </w:pPr>
    </w:p>
    <w:p w14:paraId="43527728"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The target was developed through data-driven processes and informed by analysis. Within the school, there appears to be a positive culture surrounding data as a tool for improvement as well as for accountability purposes. In the future, continuing professional development concerning data use in strategic development planning would enhance teachers' skills and ability to contribute to the process while also further strengthening the culture of data-driven decision-making being developed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xml:space="preserve">, 2019; </w:t>
      </w:r>
      <w:proofErr w:type="spellStart"/>
      <w:r w:rsidRPr="00946943">
        <w:rPr>
          <w:rFonts w:ascii="Arial" w:hAnsi="Arial" w:cs="Arial"/>
          <w:bCs/>
          <w:color w:val="000000" w:themeColor="text1"/>
          <w:sz w:val="22"/>
          <w:szCs w:val="22"/>
        </w:rPr>
        <w:t>Datnow</w:t>
      </w:r>
      <w:proofErr w:type="spellEnd"/>
      <w:r w:rsidRPr="00946943">
        <w:rPr>
          <w:rFonts w:ascii="Arial" w:hAnsi="Arial" w:cs="Arial"/>
          <w:bCs/>
          <w:color w:val="000000" w:themeColor="text1"/>
          <w:sz w:val="22"/>
          <w:szCs w:val="22"/>
        </w:rPr>
        <w:t xml:space="preserve"> &amp; Hubbard, 2015). There is also room within the data collection process and development of the target, to outline how the needs of pupils who require enhanced provision and pupils from adverse circumstances will be met, to achieve the target (</w:t>
      </w:r>
      <w:proofErr w:type="spellStart"/>
      <w:r w:rsidRPr="00946943">
        <w:rPr>
          <w:rFonts w:ascii="Arial" w:hAnsi="Arial" w:cs="Arial"/>
          <w:bCs/>
          <w:color w:val="000000" w:themeColor="text1"/>
          <w:sz w:val="22"/>
          <w:szCs w:val="22"/>
        </w:rPr>
        <w:t>Sinay</w:t>
      </w:r>
      <w:proofErr w:type="spellEnd"/>
      <w:r w:rsidRPr="00946943">
        <w:rPr>
          <w:rFonts w:ascii="Arial" w:hAnsi="Arial" w:cs="Arial"/>
          <w:bCs/>
          <w:color w:val="000000" w:themeColor="text1"/>
          <w:sz w:val="22"/>
          <w:szCs w:val="22"/>
        </w:rPr>
        <w:t xml:space="preserve">, et al., 2016). </w:t>
      </w:r>
    </w:p>
    <w:p w14:paraId="4DB21578" w14:textId="77777777" w:rsidR="00946943" w:rsidRPr="00946943" w:rsidRDefault="00946943" w:rsidP="00946943">
      <w:pPr>
        <w:spacing w:line="360" w:lineRule="auto"/>
        <w:rPr>
          <w:rFonts w:ascii="Arial" w:hAnsi="Arial" w:cs="Arial"/>
          <w:bCs/>
          <w:color w:val="000000" w:themeColor="text1"/>
          <w:sz w:val="22"/>
          <w:szCs w:val="22"/>
        </w:rPr>
      </w:pPr>
    </w:p>
    <w:p w14:paraId="43EE7190" w14:textId="77777777" w:rsidR="00946943" w:rsidRPr="00946943"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 xml:space="preserve">There is a tension between setting targets for accountability purposes and targets that focus on improving pupil learning. However, a balance appears to have been struck between the national priority to raise standards of numeracy and to improve provision and teaching to benefit learners. The extent to which stakeholders have been involved in the development of this action point, in particular, was unclear based on the evidence collected for this report. Research suggests that input from stakeholders is necessary to build an attitude towards improvement that celebrates </w:t>
      </w:r>
      <w:proofErr w:type="gramStart"/>
      <w:r w:rsidRPr="00946943">
        <w:rPr>
          <w:rFonts w:ascii="Arial" w:hAnsi="Arial" w:cs="Arial"/>
          <w:bCs/>
          <w:color w:val="000000" w:themeColor="text1"/>
          <w:sz w:val="22"/>
          <w:szCs w:val="22"/>
        </w:rPr>
        <w:t>good-practice</w:t>
      </w:r>
      <w:proofErr w:type="gramEnd"/>
      <w:r w:rsidRPr="00946943">
        <w:rPr>
          <w:rFonts w:ascii="Arial" w:hAnsi="Arial" w:cs="Arial"/>
          <w:bCs/>
          <w:color w:val="000000" w:themeColor="text1"/>
          <w:sz w:val="22"/>
          <w:szCs w:val="22"/>
        </w:rPr>
        <w:t xml:space="preserve"> as well as accounting for pupil achievement and test scores (Park, et al., 2013). </w:t>
      </w:r>
    </w:p>
    <w:p w14:paraId="2D877A67" w14:textId="77777777" w:rsidR="00946943" w:rsidRPr="00946943" w:rsidRDefault="00946943" w:rsidP="00946943">
      <w:pPr>
        <w:spacing w:line="360" w:lineRule="auto"/>
        <w:rPr>
          <w:rFonts w:ascii="Arial" w:hAnsi="Arial" w:cs="Arial"/>
          <w:bCs/>
          <w:color w:val="000000" w:themeColor="text1"/>
          <w:sz w:val="22"/>
          <w:szCs w:val="22"/>
        </w:rPr>
      </w:pPr>
    </w:p>
    <w:p w14:paraId="3827E627" w14:textId="7178E696" w:rsidR="00710776" w:rsidRDefault="00946943" w:rsidP="00946943">
      <w:pPr>
        <w:spacing w:line="360" w:lineRule="auto"/>
        <w:rPr>
          <w:rFonts w:ascii="Arial" w:hAnsi="Arial" w:cs="Arial"/>
          <w:bCs/>
          <w:color w:val="000000" w:themeColor="text1"/>
          <w:sz w:val="22"/>
          <w:szCs w:val="22"/>
        </w:rPr>
      </w:pPr>
      <w:r w:rsidRPr="00946943">
        <w:rPr>
          <w:rFonts w:ascii="Arial" w:hAnsi="Arial" w:cs="Arial"/>
          <w:bCs/>
          <w:color w:val="000000" w:themeColor="text1"/>
          <w:sz w:val="22"/>
          <w:szCs w:val="22"/>
        </w:rPr>
        <w:t>In conclusion, School X’s strategic development planning process has some strong features and some areas for improvement within the process itself. The SIPs targets are informed by self-evaluation, data and an overall vision of achieving excellent standards. The effectiveness of strategic planning relies on a complex set of variables, which is also true of teaching and learning generally. In my future teaching practice, I will avail myself of every CPD opportunity to enhance my data analysis skills in the context of strategic development planning. As a Mathematician, I feel that this could be an area of strength and very beneficial to my teaching practice (</w:t>
      </w:r>
      <w:proofErr w:type="spellStart"/>
      <w:r w:rsidRPr="00946943">
        <w:rPr>
          <w:rFonts w:ascii="Arial" w:hAnsi="Arial" w:cs="Arial"/>
          <w:bCs/>
          <w:color w:val="000000" w:themeColor="text1"/>
          <w:sz w:val="22"/>
          <w:szCs w:val="22"/>
        </w:rPr>
        <w:t>Schildkamp</w:t>
      </w:r>
      <w:proofErr w:type="spellEnd"/>
      <w:r w:rsidRPr="00946943">
        <w:rPr>
          <w:rFonts w:ascii="Arial" w:hAnsi="Arial" w:cs="Arial"/>
          <w:bCs/>
          <w:color w:val="000000" w:themeColor="text1"/>
          <w:sz w:val="22"/>
          <w:szCs w:val="22"/>
        </w:rPr>
        <w:t>, 2019).</w:t>
      </w:r>
    </w:p>
    <w:p w14:paraId="4632F956" w14:textId="77777777" w:rsidR="00946943" w:rsidRDefault="00946943" w:rsidP="00946943">
      <w:pPr>
        <w:spacing w:line="360" w:lineRule="auto"/>
        <w:rPr>
          <w:rFonts w:ascii="Arial" w:hAnsi="Arial" w:cs="Arial"/>
          <w:bCs/>
          <w:color w:val="000000" w:themeColor="text1"/>
          <w:sz w:val="22"/>
          <w:szCs w:val="22"/>
        </w:rPr>
      </w:pPr>
    </w:p>
    <w:p w14:paraId="44C248B1" w14:textId="5B8827C7" w:rsidR="00710776" w:rsidRPr="00347B4E" w:rsidRDefault="00710776" w:rsidP="00347B4E">
      <w:pPr>
        <w:spacing w:line="360" w:lineRule="auto"/>
        <w:rPr>
          <w:rFonts w:ascii="Arial" w:hAnsi="Arial" w:cs="Arial"/>
          <w:bCs/>
          <w:color w:val="000000" w:themeColor="text1"/>
          <w:sz w:val="22"/>
          <w:szCs w:val="22"/>
        </w:rPr>
      </w:pPr>
      <w:r>
        <w:rPr>
          <w:rFonts w:ascii="Arial" w:hAnsi="Arial" w:cs="Arial"/>
          <w:bCs/>
          <w:color w:val="000000" w:themeColor="text1"/>
          <w:sz w:val="22"/>
          <w:szCs w:val="22"/>
        </w:rPr>
        <w:t>Work count 27</w:t>
      </w:r>
      <w:r w:rsidR="00946943">
        <w:rPr>
          <w:rFonts w:ascii="Arial" w:hAnsi="Arial" w:cs="Arial"/>
          <w:bCs/>
          <w:color w:val="000000" w:themeColor="text1"/>
          <w:sz w:val="22"/>
          <w:szCs w:val="22"/>
        </w:rPr>
        <w:t>16</w:t>
      </w:r>
    </w:p>
    <w:p w14:paraId="32C56095" w14:textId="0FD23E2F" w:rsidR="008623BF" w:rsidRDefault="008623BF" w:rsidP="00347B4E">
      <w:pPr>
        <w:spacing w:line="360" w:lineRule="auto"/>
        <w:ind w:left="-284"/>
        <w:rPr>
          <w:rFonts w:ascii="Arial" w:hAnsi="Arial" w:cs="Arial"/>
          <w:bCs/>
          <w:color w:val="000000" w:themeColor="text1"/>
          <w:sz w:val="22"/>
          <w:szCs w:val="22"/>
        </w:rPr>
      </w:pPr>
    </w:p>
    <w:sdt>
      <w:sdtPr>
        <w:rPr>
          <w:rFonts w:ascii="Arial" w:hAnsi="Arial" w:cs="Arial"/>
          <w:sz w:val="22"/>
          <w:szCs w:val="22"/>
        </w:rPr>
        <w:id w:val="1030065325"/>
        <w:docPartObj>
          <w:docPartGallery w:val="Bibliographies"/>
          <w:docPartUnique/>
        </w:docPartObj>
      </w:sdtPr>
      <w:sdtEndPr>
        <w:rPr>
          <w:rFonts w:eastAsiaTheme="minorHAnsi"/>
          <w:color w:val="auto"/>
          <w:lang w:val="en-GB" w:bidi="ar-SA"/>
        </w:rPr>
      </w:sdtEndPr>
      <w:sdtContent>
        <w:p w14:paraId="6DECFDA5" w14:textId="41A6840E" w:rsidR="00347B4E" w:rsidRPr="00F551DA" w:rsidRDefault="00347B4E" w:rsidP="00F551DA">
          <w:pPr>
            <w:pStyle w:val="Heading1"/>
            <w:jc w:val="center"/>
            <w:rPr>
              <w:rFonts w:ascii="Arial" w:hAnsi="Arial" w:cs="Arial"/>
              <w:sz w:val="24"/>
              <w:szCs w:val="24"/>
              <w:u w:val="single"/>
            </w:rPr>
          </w:pPr>
          <w:r w:rsidRPr="00F551DA">
            <w:rPr>
              <w:rFonts w:ascii="Arial" w:hAnsi="Arial" w:cs="Arial"/>
              <w:color w:val="000000" w:themeColor="text1"/>
              <w:sz w:val="24"/>
              <w:szCs w:val="24"/>
              <w:u w:val="single"/>
            </w:rPr>
            <w:t>References</w:t>
          </w:r>
        </w:p>
        <w:p w14:paraId="6DABC723"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sz w:val="22"/>
              <w:szCs w:val="22"/>
            </w:rPr>
            <w:fldChar w:fldCharType="begin"/>
          </w:r>
          <w:r w:rsidRPr="00347B4E">
            <w:rPr>
              <w:rFonts w:ascii="Arial" w:hAnsi="Arial" w:cs="Arial"/>
              <w:sz w:val="22"/>
              <w:szCs w:val="22"/>
            </w:rPr>
            <w:instrText xml:space="preserve"> BIBLIOGRAPHY </w:instrText>
          </w:r>
          <w:r w:rsidRPr="00347B4E">
            <w:rPr>
              <w:rFonts w:ascii="Arial" w:hAnsi="Arial" w:cs="Arial"/>
              <w:sz w:val="22"/>
              <w:szCs w:val="22"/>
            </w:rPr>
            <w:fldChar w:fldCharType="separate"/>
          </w:r>
          <w:r w:rsidRPr="00347B4E">
            <w:rPr>
              <w:rFonts w:ascii="Arial" w:hAnsi="Arial" w:cs="Arial"/>
              <w:noProof/>
              <w:sz w:val="22"/>
              <w:szCs w:val="22"/>
              <w:lang w:val="en-US"/>
            </w:rPr>
            <w:t xml:space="preserve">Bell, L., 2002. Strategic planning and school management: full of sound and fury, signifying nothing?. </w:t>
          </w:r>
          <w:r w:rsidRPr="00347B4E">
            <w:rPr>
              <w:rFonts w:ascii="Arial" w:hAnsi="Arial" w:cs="Arial"/>
              <w:i/>
              <w:iCs/>
              <w:noProof/>
              <w:sz w:val="22"/>
              <w:szCs w:val="22"/>
              <w:lang w:val="en-US"/>
            </w:rPr>
            <w:t xml:space="preserve">Journal of Ediucational Administration, </w:t>
          </w:r>
          <w:r w:rsidRPr="00347B4E">
            <w:rPr>
              <w:rFonts w:ascii="Arial" w:hAnsi="Arial" w:cs="Arial"/>
              <w:noProof/>
              <w:sz w:val="22"/>
              <w:szCs w:val="22"/>
              <w:lang w:val="en-US"/>
            </w:rPr>
            <w:t>40(5), pp. 407-424.</w:t>
          </w:r>
        </w:p>
        <w:p w14:paraId="7203729D"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Booher-Jennings, J., 2005. elow the Bubble: “Educational Triage” and the Texas Accountability System. </w:t>
          </w:r>
          <w:r w:rsidRPr="00347B4E">
            <w:rPr>
              <w:rFonts w:ascii="Arial" w:hAnsi="Arial" w:cs="Arial"/>
              <w:i/>
              <w:iCs/>
              <w:noProof/>
              <w:sz w:val="22"/>
              <w:szCs w:val="22"/>
              <w:lang w:val="en-US"/>
            </w:rPr>
            <w:t xml:space="preserve">American Educational Research Journal, </w:t>
          </w:r>
          <w:r w:rsidRPr="00347B4E">
            <w:rPr>
              <w:rFonts w:ascii="Arial" w:hAnsi="Arial" w:cs="Arial"/>
              <w:noProof/>
              <w:sz w:val="22"/>
              <w:szCs w:val="22"/>
              <w:lang w:val="en-US"/>
            </w:rPr>
            <w:t>42(2), p. 231–268.</w:t>
          </w:r>
        </w:p>
        <w:p w14:paraId="0950D644"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Brown, C., Schildkamp, K. &amp; Hubers, M., 2017. Combining the Best of Two Worlds: A Conceptual Proposal for Evidence-Informed School Improvement. </w:t>
          </w:r>
          <w:r w:rsidRPr="00347B4E">
            <w:rPr>
              <w:rFonts w:ascii="Arial" w:hAnsi="Arial" w:cs="Arial"/>
              <w:i/>
              <w:iCs/>
              <w:noProof/>
              <w:sz w:val="22"/>
              <w:szCs w:val="22"/>
              <w:lang w:val="en-US"/>
            </w:rPr>
            <w:t xml:space="preserve">Educational Research , </w:t>
          </w:r>
          <w:r w:rsidRPr="00347B4E">
            <w:rPr>
              <w:rFonts w:ascii="Arial" w:hAnsi="Arial" w:cs="Arial"/>
              <w:noProof/>
              <w:sz w:val="22"/>
              <w:szCs w:val="22"/>
              <w:lang w:val="en-US"/>
            </w:rPr>
            <w:t>59(2), pp. 154-172.</w:t>
          </w:r>
        </w:p>
        <w:p w14:paraId="7D38B176"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Campbell, C. &amp; Levin, B., 2008. Using data to support educational improvement. </w:t>
          </w:r>
          <w:r w:rsidRPr="00347B4E">
            <w:rPr>
              <w:rFonts w:ascii="Arial" w:hAnsi="Arial" w:cs="Arial"/>
              <w:i/>
              <w:iCs/>
              <w:noProof/>
              <w:sz w:val="22"/>
              <w:szCs w:val="22"/>
              <w:lang w:val="en-US"/>
            </w:rPr>
            <w:t xml:space="preserve">Educational Assessment, Evaluation and Accountability, </w:t>
          </w:r>
          <w:r w:rsidRPr="00347B4E">
            <w:rPr>
              <w:rFonts w:ascii="Arial" w:hAnsi="Arial" w:cs="Arial"/>
              <w:noProof/>
              <w:sz w:val="22"/>
              <w:szCs w:val="22"/>
              <w:lang w:val="en-US"/>
            </w:rPr>
            <w:t>21(1), pp. 47-65.</w:t>
          </w:r>
        </w:p>
        <w:p w14:paraId="02FCF601"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Cheng, C., 2008. Management practices for promoting shared decision-making in school organization. </w:t>
          </w:r>
          <w:r w:rsidRPr="00347B4E">
            <w:rPr>
              <w:rFonts w:ascii="Arial" w:hAnsi="Arial" w:cs="Arial"/>
              <w:i/>
              <w:iCs/>
              <w:noProof/>
              <w:sz w:val="22"/>
              <w:szCs w:val="22"/>
              <w:lang w:val="en-US"/>
            </w:rPr>
            <w:t xml:space="preserve">KEDI Journal of Educational Policy, </w:t>
          </w:r>
          <w:r w:rsidRPr="00347B4E">
            <w:rPr>
              <w:rFonts w:ascii="Arial" w:hAnsi="Arial" w:cs="Arial"/>
              <w:noProof/>
              <w:sz w:val="22"/>
              <w:szCs w:val="22"/>
              <w:lang w:val="en-US"/>
            </w:rPr>
            <w:t>5(2), pp. 63-88.</w:t>
          </w:r>
        </w:p>
        <w:p w14:paraId="3D763AD6"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Cheng, E., 2011. An examination of the predictive relationships of self-evaluation capacity and staff competency on strategic planning in Hong Kong aided secondary schools. </w:t>
          </w:r>
          <w:r w:rsidRPr="00347B4E">
            <w:rPr>
              <w:rFonts w:ascii="Arial" w:hAnsi="Arial" w:cs="Arial"/>
              <w:i/>
              <w:iCs/>
              <w:noProof/>
              <w:sz w:val="22"/>
              <w:szCs w:val="22"/>
              <w:lang w:val="en-US"/>
            </w:rPr>
            <w:t xml:space="preserve">Educational Research for Policy and Practice, </w:t>
          </w:r>
          <w:r w:rsidRPr="00347B4E">
            <w:rPr>
              <w:rFonts w:ascii="Arial" w:hAnsi="Arial" w:cs="Arial"/>
              <w:noProof/>
              <w:sz w:val="22"/>
              <w:szCs w:val="22"/>
              <w:lang w:val="en-US"/>
            </w:rPr>
            <w:t>Volume 10, pp. 211-223.</w:t>
          </w:r>
        </w:p>
        <w:p w14:paraId="7BBBFF9A"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Chu, J., 2007. Changes in primary and secondary school development planning. </w:t>
          </w:r>
          <w:r w:rsidRPr="00347B4E">
            <w:rPr>
              <w:rFonts w:ascii="Arial" w:hAnsi="Arial" w:cs="Arial"/>
              <w:i/>
              <w:iCs/>
              <w:noProof/>
              <w:sz w:val="22"/>
              <w:szCs w:val="22"/>
              <w:lang w:val="en-US"/>
            </w:rPr>
            <w:t xml:space="preserve">Journal of Research in Education Sciences, </w:t>
          </w:r>
          <w:r w:rsidRPr="00347B4E">
            <w:rPr>
              <w:rFonts w:ascii="Arial" w:hAnsi="Arial" w:cs="Arial"/>
              <w:noProof/>
              <w:sz w:val="22"/>
              <w:szCs w:val="22"/>
              <w:lang w:val="en-US"/>
            </w:rPr>
            <w:t>Volume 9, pp. 9-13.</w:t>
          </w:r>
        </w:p>
        <w:p w14:paraId="7649C24F"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Croxford, L., Grek, S. &amp; Shaik, F., 2009. Quality assurance and evaluation (QAE) in Scotland: Promoting self-evaluation within and beyond the country. </w:t>
          </w:r>
          <w:r w:rsidRPr="00347B4E">
            <w:rPr>
              <w:rFonts w:ascii="Arial" w:hAnsi="Arial" w:cs="Arial"/>
              <w:i/>
              <w:iCs/>
              <w:noProof/>
              <w:sz w:val="22"/>
              <w:szCs w:val="22"/>
              <w:lang w:val="en-US"/>
            </w:rPr>
            <w:t xml:space="preserve">Special Issue of Journal of Education Policy, </w:t>
          </w:r>
          <w:r w:rsidRPr="00347B4E">
            <w:rPr>
              <w:rFonts w:ascii="Arial" w:hAnsi="Arial" w:cs="Arial"/>
              <w:noProof/>
              <w:sz w:val="22"/>
              <w:szCs w:val="22"/>
              <w:lang w:val="en-US"/>
            </w:rPr>
            <w:t>24(2), pp. 179-193.</w:t>
          </w:r>
        </w:p>
        <w:p w14:paraId="06B04B36"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Datnow, A., Greene, J. &amp; Gannon-Slater, N., 2017. Data Use for Equity: Implications for Teaching, Leadership, and Policy. </w:t>
          </w:r>
          <w:r w:rsidRPr="00347B4E">
            <w:rPr>
              <w:rFonts w:ascii="Arial" w:hAnsi="Arial" w:cs="Arial"/>
              <w:i/>
              <w:iCs/>
              <w:noProof/>
              <w:sz w:val="22"/>
              <w:szCs w:val="22"/>
              <w:lang w:val="en-US"/>
            </w:rPr>
            <w:t xml:space="preserve">Journal of Educational Administration, </w:t>
          </w:r>
          <w:r w:rsidRPr="00347B4E">
            <w:rPr>
              <w:rFonts w:ascii="Arial" w:hAnsi="Arial" w:cs="Arial"/>
              <w:noProof/>
              <w:sz w:val="22"/>
              <w:szCs w:val="22"/>
              <w:lang w:val="en-US"/>
            </w:rPr>
            <w:t>55(4), pp. 354-360.</w:t>
          </w:r>
        </w:p>
        <w:p w14:paraId="3442097F"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Datnow, A. &amp; Hubbard, L., 2015. Teachers’ Use of Assessment Data to Inform Instruction: Lessons from the past and Prospects for the Future. </w:t>
          </w:r>
          <w:r w:rsidRPr="00347B4E">
            <w:rPr>
              <w:rFonts w:ascii="Arial" w:hAnsi="Arial" w:cs="Arial"/>
              <w:i/>
              <w:iCs/>
              <w:noProof/>
              <w:sz w:val="22"/>
              <w:szCs w:val="22"/>
              <w:lang w:val="en-US"/>
            </w:rPr>
            <w:t xml:space="preserve">Teachers College Record, </w:t>
          </w:r>
          <w:r w:rsidRPr="00347B4E">
            <w:rPr>
              <w:rFonts w:ascii="Arial" w:hAnsi="Arial" w:cs="Arial"/>
              <w:noProof/>
              <w:sz w:val="22"/>
              <w:szCs w:val="22"/>
              <w:lang w:val="en-US"/>
            </w:rPr>
            <w:t>117(4).</w:t>
          </w:r>
        </w:p>
        <w:p w14:paraId="64730D6C"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Datnow, A. &amp; Park, V., 2018. Opening or Closing Doors for Students? Equity and Data Use in Schools. </w:t>
          </w:r>
          <w:r w:rsidRPr="00347B4E">
            <w:rPr>
              <w:rFonts w:ascii="Arial" w:hAnsi="Arial" w:cs="Arial"/>
              <w:i/>
              <w:iCs/>
              <w:noProof/>
              <w:sz w:val="22"/>
              <w:szCs w:val="22"/>
              <w:lang w:val="en-US"/>
            </w:rPr>
            <w:t xml:space="preserve">Journal of Educational Change , </w:t>
          </w:r>
          <w:r w:rsidRPr="00347B4E">
            <w:rPr>
              <w:rFonts w:ascii="Arial" w:hAnsi="Arial" w:cs="Arial"/>
              <w:noProof/>
              <w:sz w:val="22"/>
              <w:szCs w:val="22"/>
              <w:lang w:val="en-US"/>
            </w:rPr>
            <w:t>19(2), p. 131–152.</w:t>
          </w:r>
        </w:p>
        <w:p w14:paraId="2CD6E298"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Doig, B., 2001. </w:t>
          </w:r>
          <w:r w:rsidRPr="00347B4E">
            <w:rPr>
              <w:rFonts w:ascii="Arial" w:hAnsi="Arial" w:cs="Arial"/>
              <w:i/>
              <w:iCs/>
              <w:noProof/>
              <w:sz w:val="22"/>
              <w:szCs w:val="22"/>
              <w:lang w:val="en-US"/>
            </w:rPr>
            <w:t xml:space="preserve">Summing Up : Australian Numeracy Performances, Practices, Programs And Possibilities. </w:t>
          </w:r>
          <w:r w:rsidRPr="00347B4E">
            <w:rPr>
              <w:rFonts w:ascii="Arial" w:hAnsi="Arial" w:cs="Arial"/>
              <w:noProof/>
              <w:sz w:val="22"/>
              <w:szCs w:val="22"/>
              <w:lang w:val="en-US"/>
            </w:rPr>
            <w:t xml:space="preserve">[Online] </w:t>
          </w:r>
          <w:r w:rsidRPr="00347B4E">
            <w:rPr>
              <w:rFonts w:ascii="Arial" w:hAnsi="Arial" w:cs="Arial"/>
              <w:noProof/>
              <w:sz w:val="22"/>
              <w:szCs w:val="22"/>
              <w:lang w:val="en-US"/>
            </w:rPr>
            <w:br/>
            <w:t xml:space="preserve">Available at: </w:t>
          </w:r>
          <w:r w:rsidRPr="00347B4E">
            <w:rPr>
              <w:rFonts w:ascii="Arial" w:hAnsi="Arial" w:cs="Arial"/>
              <w:noProof/>
              <w:sz w:val="22"/>
              <w:szCs w:val="22"/>
              <w:u w:val="single"/>
              <w:lang w:val="en-US"/>
            </w:rPr>
            <w:t>https://research.acer.edu.au/cgi/viewcontent.cgi?article=1000&amp;context=literacy_numeracy_reviews</w:t>
          </w:r>
          <w:r w:rsidRPr="00347B4E">
            <w:rPr>
              <w:rFonts w:ascii="Arial" w:hAnsi="Arial" w:cs="Arial"/>
              <w:noProof/>
              <w:sz w:val="22"/>
              <w:szCs w:val="22"/>
              <w:lang w:val="en-US"/>
            </w:rPr>
            <w:br/>
            <w:t>[Accessed 10 April 2020].</w:t>
          </w:r>
        </w:p>
        <w:p w14:paraId="4ABFAC72"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Dyson, A. et al., 2010. </w:t>
          </w:r>
          <w:r w:rsidRPr="00347B4E">
            <w:rPr>
              <w:rFonts w:ascii="Arial" w:hAnsi="Arial" w:cs="Arial"/>
              <w:i/>
              <w:iCs/>
              <w:noProof/>
              <w:sz w:val="22"/>
              <w:szCs w:val="22"/>
              <w:lang w:val="en-US"/>
            </w:rPr>
            <w:t xml:space="preserve">Insight 2: Social inequality: Can schools narrow the gap? , </w:t>
          </w:r>
          <w:r w:rsidRPr="00347B4E">
            <w:rPr>
              <w:rFonts w:ascii="Arial" w:hAnsi="Arial" w:cs="Arial"/>
              <w:noProof/>
              <w:sz w:val="22"/>
              <w:szCs w:val="22"/>
              <w:lang w:val="en-US"/>
            </w:rPr>
            <w:t>Macclesfield: British Education Research Association (BERA).</w:t>
          </w:r>
        </w:p>
        <w:p w14:paraId="36477957"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Farley-Ripple, E. et al., 2018. Rethinking Connections between Research and Practice in Education: A Conceptual Framework. </w:t>
          </w:r>
          <w:r w:rsidRPr="00347B4E">
            <w:rPr>
              <w:rFonts w:ascii="Arial" w:hAnsi="Arial" w:cs="Arial"/>
              <w:i/>
              <w:iCs/>
              <w:noProof/>
              <w:sz w:val="22"/>
              <w:szCs w:val="22"/>
              <w:lang w:val="en-US"/>
            </w:rPr>
            <w:t xml:space="preserve">Educational Researcher, </w:t>
          </w:r>
          <w:r w:rsidRPr="00347B4E">
            <w:rPr>
              <w:rFonts w:ascii="Arial" w:hAnsi="Arial" w:cs="Arial"/>
              <w:noProof/>
              <w:sz w:val="22"/>
              <w:szCs w:val="22"/>
              <w:lang w:val="en-US"/>
            </w:rPr>
            <w:t>47(4), pp. 235-245.</w:t>
          </w:r>
        </w:p>
        <w:p w14:paraId="6F06D5F8"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Hanover Research, 2014. </w:t>
          </w:r>
          <w:r w:rsidRPr="00347B4E">
            <w:rPr>
              <w:rFonts w:ascii="Arial" w:hAnsi="Arial" w:cs="Arial"/>
              <w:i/>
              <w:iCs/>
              <w:noProof/>
              <w:sz w:val="22"/>
              <w:szCs w:val="22"/>
              <w:lang w:val="en-US"/>
            </w:rPr>
            <w:t xml:space="preserve">Best practices for school improvement planning. </w:t>
          </w:r>
          <w:r w:rsidRPr="00347B4E">
            <w:rPr>
              <w:rFonts w:ascii="Arial" w:hAnsi="Arial" w:cs="Arial"/>
              <w:noProof/>
              <w:sz w:val="22"/>
              <w:szCs w:val="22"/>
              <w:lang w:val="en-US"/>
            </w:rPr>
            <w:t xml:space="preserve">[Online] </w:t>
          </w:r>
          <w:r w:rsidRPr="00347B4E">
            <w:rPr>
              <w:rFonts w:ascii="Arial" w:hAnsi="Arial" w:cs="Arial"/>
              <w:noProof/>
              <w:sz w:val="22"/>
              <w:szCs w:val="22"/>
              <w:lang w:val="en-US"/>
            </w:rPr>
            <w:br/>
            <w:t xml:space="preserve">Available at: </w:t>
          </w:r>
          <w:r w:rsidRPr="00347B4E">
            <w:rPr>
              <w:rFonts w:ascii="Arial" w:hAnsi="Arial" w:cs="Arial"/>
              <w:noProof/>
              <w:sz w:val="22"/>
              <w:szCs w:val="22"/>
              <w:u w:val="single"/>
              <w:lang w:val="en-US"/>
            </w:rPr>
            <w:t>https://www.hanoverresearch.com/media/Best-Practices-for-School-Improvement-Planning1.pdf</w:t>
          </w:r>
          <w:r w:rsidRPr="00347B4E">
            <w:rPr>
              <w:rFonts w:ascii="Arial" w:hAnsi="Arial" w:cs="Arial"/>
              <w:noProof/>
              <w:sz w:val="22"/>
              <w:szCs w:val="22"/>
              <w:lang w:val="en-US"/>
            </w:rPr>
            <w:br/>
            <w:t>[Accessed 7 April 2020].</w:t>
          </w:r>
        </w:p>
        <w:p w14:paraId="744B835A"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Klenowski, V. &amp; Wyatt-Smith, C., 2012. The impact of high stakes testing: the Australian story. </w:t>
          </w:r>
          <w:r w:rsidRPr="00347B4E">
            <w:rPr>
              <w:rFonts w:ascii="Arial" w:hAnsi="Arial" w:cs="Arial"/>
              <w:i/>
              <w:iCs/>
              <w:noProof/>
              <w:sz w:val="22"/>
              <w:szCs w:val="22"/>
              <w:lang w:val="en-US"/>
            </w:rPr>
            <w:t xml:space="preserve">Assessment in Education: Principles, Policy and Practice, </w:t>
          </w:r>
          <w:r w:rsidRPr="00347B4E">
            <w:rPr>
              <w:rFonts w:ascii="Arial" w:hAnsi="Arial" w:cs="Arial"/>
              <w:noProof/>
              <w:sz w:val="22"/>
              <w:szCs w:val="22"/>
              <w:lang w:val="en-US"/>
            </w:rPr>
            <w:t>19(1), pp. 65-79.</w:t>
          </w:r>
        </w:p>
        <w:p w14:paraId="0FFB0211"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Kyriakides, L. &amp; Campbell, R., 2004. School self-evaluation and school improvement: a critique of values and procedures. </w:t>
          </w:r>
          <w:r w:rsidRPr="00347B4E">
            <w:rPr>
              <w:rFonts w:ascii="Arial" w:hAnsi="Arial" w:cs="Arial"/>
              <w:i/>
              <w:iCs/>
              <w:noProof/>
              <w:sz w:val="22"/>
              <w:szCs w:val="22"/>
              <w:lang w:val="en-US"/>
            </w:rPr>
            <w:t xml:space="preserve">Studies in Educational Evaluation, </w:t>
          </w:r>
          <w:r w:rsidRPr="00347B4E">
            <w:rPr>
              <w:rFonts w:ascii="Arial" w:hAnsi="Arial" w:cs="Arial"/>
              <w:noProof/>
              <w:sz w:val="22"/>
              <w:szCs w:val="22"/>
              <w:lang w:val="en-US"/>
            </w:rPr>
            <w:t>Volume 30, pp. 23-36.</w:t>
          </w:r>
        </w:p>
        <w:p w14:paraId="2B8B0F15"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Locke, E. &amp; Latham, G., 2002. Building a practically useful theory of goal setting and task motivation: A 35-year odyssey. </w:t>
          </w:r>
          <w:r w:rsidRPr="00347B4E">
            <w:rPr>
              <w:rFonts w:ascii="Arial" w:hAnsi="Arial" w:cs="Arial"/>
              <w:i/>
              <w:iCs/>
              <w:noProof/>
              <w:sz w:val="22"/>
              <w:szCs w:val="22"/>
              <w:lang w:val="en-US"/>
            </w:rPr>
            <w:t xml:space="preserve">American Psychologist, </w:t>
          </w:r>
          <w:r w:rsidRPr="00347B4E">
            <w:rPr>
              <w:rFonts w:ascii="Arial" w:hAnsi="Arial" w:cs="Arial"/>
              <w:noProof/>
              <w:sz w:val="22"/>
              <w:szCs w:val="22"/>
              <w:lang w:val="en-US"/>
            </w:rPr>
            <w:t>57(9), pp. 705-717.</w:t>
          </w:r>
        </w:p>
        <w:p w14:paraId="10CE685B"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Madeus, G., Scriven, M. &amp; Stuffledeam, D., 1983. </w:t>
          </w:r>
          <w:r w:rsidRPr="00347B4E">
            <w:rPr>
              <w:rFonts w:ascii="Arial" w:hAnsi="Arial" w:cs="Arial"/>
              <w:i/>
              <w:iCs/>
              <w:noProof/>
              <w:sz w:val="22"/>
              <w:szCs w:val="22"/>
              <w:lang w:val="en-US"/>
            </w:rPr>
            <w:t xml:space="preserve">Evaluation models. </w:t>
          </w:r>
          <w:r w:rsidRPr="00347B4E">
            <w:rPr>
              <w:rFonts w:ascii="Arial" w:hAnsi="Arial" w:cs="Arial"/>
              <w:noProof/>
              <w:sz w:val="22"/>
              <w:szCs w:val="22"/>
              <w:lang w:val="en-US"/>
            </w:rPr>
            <w:t>Lancaster: Kluwer-Nijhoff.</w:t>
          </w:r>
        </w:p>
        <w:p w14:paraId="598628B9"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Marsh, J., 2012. Interventions Promoting Educators’ Use of Data: Research Insights and Gaps. </w:t>
          </w:r>
          <w:r w:rsidRPr="00347B4E">
            <w:rPr>
              <w:rFonts w:ascii="Arial" w:hAnsi="Arial" w:cs="Arial"/>
              <w:i/>
              <w:iCs/>
              <w:noProof/>
              <w:sz w:val="22"/>
              <w:szCs w:val="22"/>
              <w:lang w:val="en-US"/>
            </w:rPr>
            <w:t xml:space="preserve">Teachers College Record, </w:t>
          </w:r>
          <w:r w:rsidRPr="00347B4E">
            <w:rPr>
              <w:rFonts w:ascii="Arial" w:hAnsi="Arial" w:cs="Arial"/>
              <w:noProof/>
              <w:sz w:val="22"/>
              <w:szCs w:val="22"/>
              <w:lang w:val="en-US"/>
            </w:rPr>
            <w:t>114(1), pp. 1-48.</w:t>
          </w:r>
        </w:p>
        <w:p w14:paraId="0AD52DDB"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McBeath, J., 1999. </w:t>
          </w:r>
          <w:r w:rsidRPr="00347B4E">
            <w:rPr>
              <w:rFonts w:ascii="Arial" w:hAnsi="Arial" w:cs="Arial"/>
              <w:i/>
              <w:iCs/>
              <w:noProof/>
              <w:sz w:val="22"/>
              <w:szCs w:val="22"/>
              <w:lang w:val="en-US"/>
            </w:rPr>
            <w:t xml:space="preserve">Schools must speak for themselves. </w:t>
          </w:r>
          <w:r w:rsidRPr="00347B4E">
            <w:rPr>
              <w:rFonts w:ascii="Arial" w:hAnsi="Arial" w:cs="Arial"/>
              <w:noProof/>
              <w:sz w:val="22"/>
              <w:szCs w:val="22"/>
              <w:lang w:val="en-US"/>
            </w:rPr>
            <w:t>London: Routledge.</w:t>
          </w:r>
        </w:p>
        <w:p w14:paraId="2F4CEC92"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National Pupil Database, 2019. </w:t>
          </w:r>
          <w:r w:rsidRPr="00347B4E">
            <w:rPr>
              <w:rFonts w:ascii="Arial" w:hAnsi="Arial" w:cs="Arial"/>
              <w:i/>
              <w:iCs/>
              <w:noProof/>
              <w:sz w:val="22"/>
              <w:szCs w:val="22"/>
              <w:lang w:val="en-US"/>
            </w:rPr>
            <w:t xml:space="preserve">First Release National reading and numeracy test results , </w:t>
          </w:r>
          <w:r w:rsidRPr="00347B4E">
            <w:rPr>
              <w:rFonts w:ascii="Arial" w:hAnsi="Arial" w:cs="Arial"/>
              <w:noProof/>
              <w:sz w:val="22"/>
              <w:szCs w:val="22"/>
              <w:lang w:val="en-US"/>
            </w:rPr>
            <w:t>Cardiff: Welsh Government.</w:t>
          </w:r>
        </w:p>
        <w:p w14:paraId="351C77DA"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Newman, R., 2012. Goal setting to achieve results. </w:t>
          </w:r>
          <w:r w:rsidRPr="00347B4E">
            <w:rPr>
              <w:rFonts w:ascii="Arial" w:hAnsi="Arial" w:cs="Arial"/>
              <w:i/>
              <w:iCs/>
              <w:noProof/>
              <w:sz w:val="22"/>
              <w:szCs w:val="22"/>
              <w:lang w:val="en-US"/>
            </w:rPr>
            <w:t xml:space="preserve">Leadership, </w:t>
          </w:r>
          <w:r w:rsidRPr="00347B4E">
            <w:rPr>
              <w:rFonts w:ascii="Arial" w:hAnsi="Arial" w:cs="Arial"/>
              <w:noProof/>
              <w:sz w:val="22"/>
              <w:szCs w:val="22"/>
              <w:lang w:val="en-US"/>
            </w:rPr>
            <w:t>41(3), pp. 12-38.</w:t>
          </w:r>
        </w:p>
        <w:p w14:paraId="202EC5BB"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lastRenderedPageBreak/>
            <w:t xml:space="preserve">Oyedele, V. &amp; Chikwature, W., 2016. Teachers’ Perception of the Role of Strategic Planning in Educational Development at Three Mission Secondary Boarding Schools in Manicaland Province. </w:t>
          </w:r>
          <w:r w:rsidRPr="00347B4E">
            <w:rPr>
              <w:rFonts w:ascii="Arial" w:hAnsi="Arial" w:cs="Arial"/>
              <w:i/>
              <w:iCs/>
              <w:noProof/>
              <w:sz w:val="22"/>
              <w:szCs w:val="22"/>
              <w:lang w:val="en-US"/>
            </w:rPr>
            <w:t xml:space="preserve">International Journal of Humanities Social Sciences and Education, </w:t>
          </w:r>
          <w:r w:rsidRPr="00347B4E">
            <w:rPr>
              <w:rFonts w:ascii="Arial" w:hAnsi="Arial" w:cs="Arial"/>
              <w:noProof/>
              <w:sz w:val="22"/>
              <w:szCs w:val="22"/>
              <w:lang w:val="en-US"/>
            </w:rPr>
            <w:t>3(5), pp. 57-66.</w:t>
          </w:r>
        </w:p>
        <w:p w14:paraId="3D64611D"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Pang, N., 2003. Initiating organizational change through school self evaluation. </w:t>
          </w:r>
          <w:r w:rsidRPr="00347B4E">
            <w:rPr>
              <w:rFonts w:ascii="Arial" w:hAnsi="Arial" w:cs="Arial"/>
              <w:i/>
              <w:iCs/>
              <w:noProof/>
              <w:sz w:val="22"/>
              <w:szCs w:val="22"/>
              <w:lang w:val="en-US"/>
            </w:rPr>
            <w:t xml:space="preserve">The International Journal of Knowledge, Culture and Change Management, </w:t>
          </w:r>
          <w:r w:rsidRPr="00347B4E">
            <w:rPr>
              <w:rFonts w:ascii="Arial" w:hAnsi="Arial" w:cs="Arial"/>
              <w:noProof/>
              <w:sz w:val="22"/>
              <w:szCs w:val="22"/>
              <w:lang w:val="en-US"/>
            </w:rPr>
            <w:t>Volume 3, pp. 245-256.</w:t>
          </w:r>
        </w:p>
        <w:p w14:paraId="4EEE68A1"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Park, V., Daly, A. &amp; Guerra, A., 2013. Strategic Framing: How Leaders Craft the Meaning of Data Use for Equity and Learning. </w:t>
          </w:r>
          <w:r w:rsidRPr="00347B4E">
            <w:rPr>
              <w:rFonts w:ascii="Arial" w:hAnsi="Arial" w:cs="Arial"/>
              <w:i/>
              <w:iCs/>
              <w:noProof/>
              <w:sz w:val="22"/>
              <w:szCs w:val="22"/>
              <w:lang w:val="en-US"/>
            </w:rPr>
            <w:t xml:space="preserve">Educational Policy, </w:t>
          </w:r>
          <w:r w:rsidRPr="00347B4E">
            <w:rPr>
              <w:rFonts w:ascii="Arial" w:hAnsi="Arial" w:cs="Arial"/>
              <w:noProof/>
              <w:sz w:val="22"/>
              <w:szCs w:val="22"/>
              <w:lang w:val="en-US"/>
            </w:rPr>
            <w:t>27(4), pp. 645-675.</w:t>
          </w:r>
        </w:p>
        <w:p w14:paraId="2B30D330"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Poortman, C. &amp; Schildkamp, K., 2014. Solving Student Achievement Focused Problems with a Data Use Intervention for Teachers. </w:t>
          </w:r>
          <w:r w:rsidRPr="00347B4E">
            <w:rPr>
              <w:rFonts w:ascii="Arial" w:hAnsi="Arial" w:cs="Arial"/>
              <w:i/>
              <w:iCs/>
              <w:noProof/>
              <w:sz w:val="22"/>
              <w:szCs w:val="22"/>
              <w:lang w:val="en-US"/>
            </w:rPr>
            <w:t xml:space="preserve">Teaching and Teacher Education, </w:t>
          </w:r>
          <w:r w:rsidRPr="00347B4E">
            <w:rPr>
              <w:rFonts w:ascii="Arial" w:hAnsi="Arial" w:cs="Arial"/>
              <w:noProof/>
              <w:sz w:val="22"/>
              <w:szCs w:val="22"/>
              <w:lang w:val="en-US"/>
            </w:rPr>
            <w:t>Volume 60, pp. 425-433.</w:t>
          </w:r>
        </w:p>
        <w:p w14:paraId="0B22A518"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Ren, D., 2007. </w:t>
          </w:r>
          <w:r w:rsidRPr="00347B4E">
            <w:rPr>
              <w:rFonts w:ascii="Arial" w:hAnsi="Arial" w:cs="Arial"/>
              <w:i/>
              <w:iCs/>
              <w:noProof/>
              <w:sz w:val="22"/>
              <w:szCs w:val="22"/>
              <w:lang w:val="en-US"/>
            </w:rPr>
            <w:t xml:space="preserve">Researches and practices on school-based training. </w:t>
          </w:r>
          <w:r w:rsidRPr="00347B4E">
            <w:rPr>
              <w:rFonts w:ascii="Arial" w:hAnsi="Arial" w:cs="Arial"/>
              <w:noProof/>
              <w:sz w:val="22"/>
              <w:szCs w:val="22"/>
              <w:lang w:val="en-US"/>
            </w:rPr>
            <w:t>Chongqing: Normal University Press.</w:t>
          </w:r>
        </w:p>
        <w:p w14:paraId="4B24363A"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Robinson, V. &amp; Timperley, H., 2007. The leadership of the improvement of teaching and learning: Lessons from initiatives with positive outcomes for students. </w:t>
          </w:r>
          <w:r w:rsidRPr="00347B4E">
            <w:rPr>
              <w:rFonts w:ascii="Arial" w:hAnsi="Arial" w:cs="Arial"/>
              <w:i/>
              <w:iCs/>
              <w:noProof/>
              <w:sz w:val="22"/>
              <w:szCs w:val="22"/>
              <w:lang w:val="en-US"/>
            </w:rPr>
            <w:t xml:space="preserve">Australian Journal of Education, </w:t>
          </w:r>
          <w:r w:rsidRPr="00347B4E">
            <w:rPr>
              <w:rFonts w:ascii="Arial" w:hAnsi="Arial" w:cs="Arial"/>
              <w:noProof/>
              <w:sz w:val="22"/>
              <w:szCs w:val="22"/>
              <w:lang w:val="en-US"/>
            </w:rPr>
            <w:t>51(3), pp. 247-262.</w:t>
          </w:r>
        </w:p>
        <w:p w14:paraId="474124DD"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Schildkamp, K., 2007. </w:t>
          </w:r>
          <w:r w:rsidRPr="00347B4E">
            <w:rPr>
              <w:rFonts w:ascii="Arial" w:hAnsi="Arial" w:cs="Arial"/>
              <w:i/>
              <w:iCs/>
              <w:noProof/>
              <w:sz w:val="22"/>
              <w:szCs w:val="22"/>
              <w:lang w:val="en-US"/>
            </w:rPr>
            <w:t xml:space="preserve">The utilisation of a self-evaluation instrument for primary educa- tion. </w:t>
          </w:r>
          <w:r w:rsidRPr="00347B4E">
            <w:rPr>
              <w:rFonts w:ascii="Arial" w:hAnsi="Arial" w:cs="Arial"/>
              <w:noProof/>
              <w:sz w:val="22"/>
              <w:szCs w:val="22"/>
              <w:lang w:val="en-US"/>
            </w:rPr>
            <w:t>Enschede: PrintPartners Ipskamp.</w:t>
          </w:r>
        </w:p>
        <w:p w14:paraId="29300B4D"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Schildkamp, K., 2019. Data-based decision-making for school improvement: Research insights and gaps. </w:t>
          </w:r>
          <w:r w:rsidRPr="00347B4E">
            <w:rPr>
              <w:rFonts w:ascii="Arial" w:hAnsi="Arial" w:cs="Arial"/>
              <w:i/>
              <w:iCs/>
              <w:noProof/>
              <w:sz w:val="22"/>
              <w:szCs w:val="22"/>
              <w:lang w:val="en-US"/>
            </w:rPr>
            <w:t xml:space="preserve">Educational Research, </w:t>
          </w:r>
          <w:r w:rsidRPr="00347B4E">
            <w:rPr>
              <w:rFonts w:ascii="Arial" w:hAnsi="Arial" w:cs="Arial"/>
              <w:noProof/>
              <w:sz w:val="22"/>
              <w:szCs w:val="22"/>
              <w:lang w:val="en-US"/>
            </w:rPr>
            <w:t>61(3), pp. 257-273.</w:t>
          </w:r>
        </w:p>
        <w:p w14:paraId="332E5AB8"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Scriven, M., 1991. </w:t>
          </w:r>
          <w:r w:rsidRPr="00347B4E">
            <w:rPr>
              <w:rFonts w:ascii="Arial" w:hAnsi="Arial" w:cs="Arial"/>
              <w:i/>
              <w:iCs/>
              <w:noProof/>
              <w:sz w:val="22"/>
              <w:szCs w:val="22"/>
              <w:lang w:val="en-US"/>
            </w:rPr>
            <w:t xml:space="preserve">Evaluation thesaurus. </w:t>
          </w:r>
          <w:r w:rsidRPr="00347B4E">
            <w:rPr>
              <w:rFonts w:ascii="Arial" w:hAnsi="Arial" w:cs="Arial"/>
              <w:noProof/>
              <w:sz w:val="22"/>
              <w:szCs w:val="22"/>
              <w:lang w:val="en-US"/>
            </w:rPr>
            <w:t>4th Edition ed. Newbury Park: Sage.</w:t>
          </w:r>
        </w:p>
        <w:p w14:paraId="145B2534"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Sinay, E., Ryan, G. &amp; Walter, S., 2016. </w:t>
          </w:r>
          <w:r w:rsidRPr="00347B4E">
            <w:rPr>
              <w:rFonts w:ascii="Arial" w:hAnsi="Arial" w:cs="Arial"/>
              <w:i/>
              <w:iCs/>
              <w:noProof/>
              <w:sz w:val="22"/>
              <w:szCs w:val="22"/>
              <w:lang w:val="en-US"/>
            </w:rPr>
            <w:t xml:space="preserve">Research series on school effectiveness and school improvement: Goal setting, </w:t>
          </w:r>
          <w:r w:rsidRPr="00347B4E">
            <w:rPr>
              <w:rFonts w:ascii="Arial" w:hAnsi="Arial" w:cs="Arial"/>
              <w:noProof/>
              <w:sz w:val="22"/>
              <w:szCs w:val="22"/>
              <w:lang w:val="en-US"/>
            </w:rPr>
            <w:t>Toronto : Toronto School Board District.</w:t>
          </w:r>
        </w:p>
        <w:p w14:paraId="07AF0600"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Terpstra, D. &amp; Rozell, E., 1994. The relationship of goal setting to organizational profitability.. </w:t>
          </w:r>
          <w:r w:rsidRPr="00347B4E">
            <w:rPr>
              <w:rFonts w:ascii="Arial" w:hAnsi="Arial" w:cs="Arial"/>
              <w:i/>
              <w:iCs/>
              <w:noProof/>
              <w:sz w:val="22"/>
              <w:szCs w:val="22"/>
              <w:lang w:val="en-US"/>
            </w:rPr>
            <w:t xml:space="preserve">Group &amp; Organization Management, </w:t>
          </w:r>
          <w:r w:rsidRPr="00347B4E">
            <w:rPr>
              <w:rFonts w:ascii="Arial" w:hAnsi="Arial" w:cs="Arial"/>
              <w:noProof/>
              <w:sz w:val="22"/>
              <w:szCs w:val="22"/>
              <w:lang w:val="en-US"/>
            </w:rPr>
            <w:t>19(3), pp. 285-295.</w:t>
          </w:r>
        </w:p>
        <w:p w14:paraId="6085D3C3"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Van Geel, M., Keuning, T., Visscher, A. &amp; Fox, J., 2016. Assessing the Effects of a School-Wide Data-Based Decision-Making Intervention on Student Achievement Growth in Primary Schools. </w:t>
          </w:r>
          <w:r w:rsidRPr="00347B4E">
            <w:rPr>
              <w:rFonts w:ascii="Arial" w:hAnsi="Arial" w:cs="Arial"/>
              <w:i/>
              <w:iCs/>
              <w:noProof/>
              <w:sz w:val="22"/>
              <w:szCs w:val="22"/>
              <w:lang w:val="en-US"/>
            </w:rPr>
            <w:t xml:space="preserve">American Educational Research Journal , </w:t>
          </w:r>
          <w:r w:rsidRPr="00347B4E">
            <w:rPr>
              <w:rFonts w:ascii="Arial" w:hAnsi="Arial" w:cs="Arial"/>
              <w:noProof/>
              <w:sz w:val="22"/>
              <w:szCs w:val="22"/>
              <w:lang w:val="en-US"/>
            </w:rPr>
            <w:t>53(2), pp. 360-394.</w:t>
          </w:r>
        </w:p>
        <w:p w14:paraId="0919CEAA"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Vanhoof, J., Van Petegem, P. &amp; De Maeyer, S., 2009. Attitudes towards school self-evaluation. </w:t>
          </w:r>
          <w:r w:rsidRPr="00347B4E">
            <w:rPr>
              <w:rFonts w:ascii="Arial" w:hAnsi="Arial" w:cs="Arial"/>
              <w:i/>
              <w:iCs/>
              <w:noProof/>
              <w:sz w:val="22"/>
              <w:szCs w:val="22"/>
              <w:lang w:val="en-US"/>
            </w:rPr>
            <w:t xml:space="preserve">Studies in Educational Evaluation , </w:t>
          </w:r>
          <w:r w:rsidRPr="00347B4E">
            <w:rPr>
              <w:rFonts w:ascii="Arial" w:hAnsi="Arial" w:cs="Arial"/>
              <w:noProof/>
              <w:sz w:val="22"/>
              <w:szCs w:val="22"/>
              <w:lang w:val="en-US"/>
            </w:rPr>
            <w:t>Volume 35, pp. 21-28.</w:t>
          </w:r>
        </w:p>
        <w:p w14:paraId="3E19F5AC"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Vanlommel, K., Van Gasse, R., Vanhoof, J. &amp; Van Petegem, P., 2017. Teachers’ Decision-Making: Data Based or Intuition Driven?. </w:t>
          </w:r>
          <w:r w:rsidRPr="00347B4E">
            <w:rPr>
              <w:rFonts w:ascii="Arial" w:hAnsi="Arial" w:cs="Arial"/>
              <w:i/>
              <w:iCs/>
              <w:noProof/>
              <w:sz w:val="22"/>
              <w:szCs w:val="22"/>
              <w:lang w:val="en-US"/>
            </w:rPr>
            <w:t xml:space="preserve">International Journal of Educational Research, </w:t>
          </w:r>
          <w:r w:rsidRPr="00347B4E">
            <w:rPr>
              <w:rFonts w:ascii="Arial" w:hAnsi="Arial" w:cs="Arial"/>
              <w:noProof/>
              <w:sz w:val="22"/>
              <w:szCs w:val="22"/>
              <w:lang w:val="en-US"/>
            </w:rPr>
            <w:t>Volume 83, pp. 75-83.</w:t>
          </w:r>
        </w:p>
        <w:p w14:paraId="04F29DE1"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Wang, G. &amp; Hua, Z., 2008. School-based practical and strategic analysis on improving teacher professional competency. </w:t>
          </w:r>
          <w:r w:rsidRPr="00347B4E">
            <w:rPr>
              <w:rFonts w:ascii="Arial" w:hAnsi="Arial" w:cs="Arial"/>
              <w:i/>
              <w:iCs/>
              <w:noProof/>
              <w:sz w:val="22"/>
              <w:szCs w:val="22"/>
              <w:lang w:val="en-US"/>
            </w:rPr>
            <w:t xml:space="preserve">Journal of Lianyungang Teachers College, </w:t>
          </w:r>
          <w:r w:rsidRPr="00347B4E">
            <w:rPr>
              <w:rFonts w:ascii="Arial" w:hAnsi="Arial" w:cs="Arial"/>
              <w:noProof/>
              <w:sz w:val="22"/>
              <w:szCs w:val="22"/>
              <w:lang w:val="en-US"/>
            </w:rPr>
            <w:t>Volume 1, pp. 61-62.</w:t>
          </w:r>
        </w:p>
        <w:p w14:paraId="6A9F84C5"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Welsh Government, 2014. </w:t>
          </w:r>
          <w:r w:rsidRPr="00347B4E">
            <w:rPr>
              <w:rFonts w:ascii="Arial" w:hAnsi="Arial" w:cs="Arial"/>
              <w:i/>
              <w:iCs/>
              <w:noProof/>
              <w:sz w:val="22"/>
              <w:szCs w:val="22"/>
              <w:lang w:val="en-US"/>
            </w:rPr>
            <w:t xml:space="preserve">School development plans. </w:t>
          </w:r>
          <w:r w:rsidRPr="00347B4E">
            <w:rPr>
              <w:rFonts w:ascii="Arial" w:hAnsi="Arial" w:cs="Arial"/>
              <w:noProof/>
              <w:sz w:val="22"/>
              <w:szCs w:val="22"/>
              <w:lang w:val="en-US"/>
            </w:rPr>
            <w:t xml:space="preserve">[Online] </w:t>
          </w:r>
          <w:r w:rsidRPr="00347B4E">
            <w:rPr>
              <w:rFonts w:ascii="Arial" w:hAnsi="Arial" w:cs="Arial"/>
              <w:noProof/>
              <w:sz w:val="22"/>
              <w:szCs w:val="22"/>
              <w:lang w:val="en-US"/>
            </w:rPr>
            <w:br/>
            <w:t xml:space="preserve">Available at: </w:t>
          </w:r>
          <w:r w:rsidRPr="00347B4E">
            <w:rPr>
              <w:rFonts w:ascii="Arial" w:hAnsi="Arial" w:cs="Arial"/>
              <w:noProof/>
              <w:sz w:val="22"/>
              <w:szCs w:val="22"/>
              <w:u w:val="single"/>
              <w:lang w:val="en-US"/>
            </w:rPr>
            <w:t>https://gov.wales/sites/default/files/publications/2018-03/school-development-plans.pdf</w:t>
          </w:r>
          <w:r w:rsidRPr="00347B4E">
            <w:rPr>
              <w:rFonts w:ascii="Arial" w:hAnsi="Arial" w:cs="Arial"/>
              <w:noProof/>
              <w:sz w:val="22"/>
              <w:szCs w:val="22"/>
              <w:lang w:val="en-US"/>
            </w:rPr>
            <w:br/>
            <w:t>[Accessed 7 April 2020].</w:t>
          </w:r>
        </w:p>
        <w:p w14:paraId="04B57713"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Welsh Government, 2016. </w:t>
          </w:r>
          <w:r w:rsidRPr="00347B4E">
            <w:rPr>
              <w:rFonts w:ascii="Arial" w:hAnsi="Arial" w:cs="Arial"/>
              <w:i/>
              <w:iCs/>
              <w:noProof/>
              <w:sz w:val="22"/>
              <w:szCs w:val="22"/>
              <w:lang w:val="en-US"/>
            </w:rPr>
            <w:t xml:space="preserve">National Literacy and Numeracy Programme - a strategic action plan. </w:t>
          </w:r>
          <w:r w:rsidRPr="00347B4E">
            <w:rPr>
              <w:rFonts w:ascii="Arial" w:hAnsi="Arial" w:cs="Arial"/>
              <w:noProof/>
              <w:sz w:val="22"/>
              <w:szCs w:val="22"/>
              <w:lang w:val="en-US"/>
            </w:rPr>
            <w:t xml:space="preserve">[Online] </w:t>
          </w:r>
          <w:r w:rsidRPr="00347B4E">
            <w:rPr>
              <w:rFonts w:ascii="Arial" w:hAnsi="Arial" w:cs="Arial"/>
              <w:noProof/>
              <w:sz w:val="22"/>
              <w:szCs w:val="22"/>
              <w:lang w:val="en-US"/>
            </w:rPr>
            <w:br/>
            <w:t xml:space="preserve">Available at: </w:t>
          </w:r>
          <w:r w:rsidRPr="00347B4E">
            <w:rPr>
              <w:rFonts w:ascii="Arial" w:hAnsi="Arial" w:cs="Arial"/>
              <w:noProof/>
              <w:sz w:val="22"/>
              <w:szCs w:val="22"/>
              <w:u w:val="single"/>
              <w:lang w:val="en-US"/>
            </w:rPr>
            <w:t>https://gov.wales/sites/default/files/publications/2018-11/national-literacy-and-numeracy-programme-a-strategic-action-plan.pdf</w:t>
          </w:r>
          <w:r w:rsidRPr="00347B4E">
            <w:rPr>
              <w:rFonts w:ascii="Arial" w:hAnsi="Arial" w:cs="Arial"/>
              <w:noProof/>
              <w:sz w:val="22"/>
              <w:szCs w:val="22"/>
              <w:lang w:val="en-US"/>
            </w:rPr>
            <w:br/>
            <w:t>[Accessed 9 April 2020].</w:t>
          </w:r>
        </w:p>
        <w:p w14:paraId="40A5D0E5"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Welsh Government, 2019. </w:t>
          </w:r>
          <w:r w:rsidRPr="00347B4E">
            <w:rPr>
              <w:rFonts w:ascii="Arial" w:hAnsi="Arial" w:cs="Arial"/>
              <w:i/>
              <w:iCs/>
              <w:noProof/>
              <w:sz w:val="22"/>
              <w:szCs w:val="22"/>
              <w:lang w:val="en-US"/>
            </w:rPr>
            <w:t xml:space="preserve">StatsWales. </w:t>
          </w:r>
          <w:r w:rsidRPr="00347B4E">
            <w:rPr>
              <w:rFonts w:ascii="Arial" w:hAnsi="Arial" w:cs="Arial"/>
              <w:noProof/>
              <w:sz w:val="22"/>
              <w:szCs w:val="22"/>
              <w:lang w:val="en-US"/>
            </w:rPr>
            <w:t xml:space="preserve">[Online] </w:t>
          </w:r>
          <w:r w:rsidRPr="00347B4E">
            <w:rPr>
              <w:rFonts w:ascii="Arial" w:hAnsi="Arial" w:cs="Arial"/>
              <w:noProof/>
              <w:sz w:val="22"/>
              <w:szCs w:val="22"/>
              <w:lang w:val="en-US"/>
            </w:rPr>
            <w:br/>
            <w:t xml:space="preserve">Available at: </w:t>
          </w:r>
          <w:r w:rsidRPr="00347B4E">
            <w:rPr>
              <w:rFonts w:ascii="Arial" w:hAnsi="Arial" w:cs="Arial"/>
              <w:noProof/>
              <w:sz w:val="22"/>
              <w:szCs w:val="22"/>
              <w:u w:val="single"/>
              <w:lang w:val="en-US"/>
            </w:rPr>
            <w:t>https://statswales.gov.wales/Catalogue/Community-Safety-and-Social-Inclusion/Welsh-Index-of-Multiple-Deprivation/WIMD-2019/localauthorityanalysis</w:t>
          </w:r>
          <w:r w:rsidRPr="00347B4E">
            <w:rPr>
              <w:rFonts w:ascii="Arial" w:hAnsi="Arial" w:cs="Arial"/>
              <w:noProof/>
              <w:sz w:val="22"/>
              <w:szCs w:val="22"/>
              <w:lang w:val="en-US"/>
            </w:rPr>
            <w:br/>
            <w:t>[Accessed 5 April 2020].</w:t>
          </w:r>
        </w:p>
        <w:p w14:paraId="344BB57D" w14:textId="77777777" w:rsidR="00347B4E" w:rsidRPr="00347B4E" w:rsidRDefault="00347B4E" w:rsidP="00347B4E">
          <w:pPr>
            <w:pStyle w:val="Bibliography"/>
            <w:rPr>
              <w:rFonts w:ascii="Arial" w:hAnsi="Arial" w:cs="Arial"/>
              <w:noProof/>
              <w:sz w:val="22"/>
              <w:szCs w:val="22"/>
              <w:lang w:val="en-US"/>
            </w:rPr>
          </w:pPr>
          <w:r w:rsidRPr="00347B4E">
            <w:rPr>
              <w:rFonts w:ascii="Arial" w:hAnsi="Arial" w:cs="Arial"/>
              <w:noProof/>
              <w:sz w:val="22"/>
              <w:szCs w:val="22"/>
              <w:lang w:val="en-US"/>
            </w:rPr>
            <w:t xml:space="preserve">Zhang, M., 2007. Analysis on factors that affect the implementation of school development planning. </w:t>
          </w:r>
          <w:r w:rsidRPr="00347B4E">
            <w:rPr>
              <w:rFonts w:ascii="Arial" w:hAnsi="Arial" w:cs="Arial"/>
              <w:i/>
              <w:iCs/>
              <w:noProof/>
              <w:sz w:val="22"/>
              <w:szCs w:val="22"/>
              <w:lang w:val="en-US"/>
            </w:rPr>
            <w:t xml:space="preserve">Journal of Jiangsu Education, </w:t>
          </w:r>
          <w:r w:rsidRPr="00347B4E">
            <w:rPr>
              <w:rFonts w:ascii="Arial" w:hAnsi="Arial" w:cs="Arial"/>
              <w:noProof/>
              <w:sz w:val="22"/>
              <w:szCs w:val="22"/>
              <w:lang w:val="en-US"/>
            </w:rPr>
            <w:t>Volume 12, pp. 26-27.</w:t>
          </w:r>
        </w:p>
        <w:p w14:paraId="37CB98BB" w14:textId="194EF3C1" w:rsidR="00347B4E" w:rsidRPr="00347B4E" w:rsidRDefault="00347B4E" w:rsidP="00347B4E">
          <w:pPr>
            <w:rPr>
              <w:rFonts w:ascii="Arial" w:hAnsi="Arial" w:cs="Arial"/>
              <w:sz w:val="22"/>
              <w:szCs w:val="22"/>
            </w:rPr>
          </w:pPr>
          <w:r w:rsidRPr="00347B4E">
            <w:rPr>
              <w:rFonts w:ascii="Arial" w:hAnsi="Arial" w:cs="Arial"/>
              <w:b/>
              <w:bCs/>
              <w:sz w:val="22"/>
              <w:szCs w:val="22"/>
            </w:rPr>
            <w:fldChar w:fldCharType="end"/>
          </w:r>
        </w:p>
      </w:sdtContent>
    </w:sdt>
    <w:p w14:paraId="0FA84B26" w14:textId="77777777" w:rsidR="00347B4E" w:rsidRPr="00347B4E" w:rsidRDefault="00347B4E" w:rsidP="00347B4E">
      <w:pPr>
        <w:spacing w:line="360" w:lineRule="auto"/>
        <w:ind w:left="-284"/>
        <w:rPr>
          <w:rFonts w:ascii="Arial" w:hAnsi="Arial" w:cs="Arial"/>
          <w:bCs/>
          <w:color w:val="000000" w:themeColor="text1"/>
          <w:sz w:val="22"/>
          <w:szCs w:val="22"/>
        </w:rPr>
      </w:pPr>
    </w:p>
    <w:p w14:paraId="0857F040" w14:textId="6601F2DF" w:rsidR="003802D9" w:rsidRDefault="003802D9" w:rsidP="00347B4E">
      <w:pPr>
        <w:spacing w:line="360" w:lineRule="auto"/>
        <w:ind w:left="-284"/>
        <w:rPr>
          <w:rFonts w:ascii="Arial" w:hAnsi="Arial" w:cs="Arial"/>
          <w:bCs/>
          <w:color w:val="000000" w:themeColor="text1"/>
          <w:sz w:val="22"/>
          <w:szCs w:val="22"/>
        </w:rPr>
      </w:pPr>
    </w:p>
    <w:p w14:paraId="73CF337E" w14:textId="6EF76AD9" w:rsidR="00F551DA" w:rsidRDefault="00F551DA" w:rsidP="00347B4E">
      <w:pPr>
        <w:spacing w:line="360" w:lineRule="auto"/>
        <w:ind w:left="-284"/>
        <w:rPr>
          <w:rFonts w:ascii="Arial" w:hAnsi="Arial" w:cs="Arial"/>
          <w:bCs/>
          <w:color w:val="000000" w:themeColor="text1"/>
          <w:sz w:val="22"/>
          <w:szCs w:val="22"/>
        </w:rPr>
      </w:pPr>
    </w:p>
    <w:p w14:paraId="24CAED43" w14:textId="17FCE282" w:rsidR="00F551DA" w:rsidRDefault="00F551DA" w:rsidP="00347B4E">
      <w:pPr>
        <w:spacing w:line="360" w:lineRule="auto"/>
        <w:ind w:left="-284"/>
        <w:rPr>
          <w:rFonts w:ascii="Arial" w:hAnsi="Arial" w:cs="Arial"/>
          <w:bCs/>
          <w:color w:val="000000" w:themeColor="text1"/>
          <w:sz w:val="22"/>
          <w:szCs w:val="22"/>
        </w:rPr>
      </w:pPr>
    </w:p>
    <w:p w14:paraId="5B8A4D6C" w14:textId="63C90AEA" w:rsidR="00F551DA" w:rsidRDefault="00F551DA" w:rsidP="00347B4E">
      <w:pPr>
        <w:spacing w:line="360" w:lineRule="auto"/>
        <w:ind w:left="-284"/>
        <w:rPr>
          <w:rFonts w:ascii="Arial" w:hAnsi="Arial" w:cs="Arial"/>
          <w:bCs/>
          <w:color w:val="000000" w:themeColor="text1"/>
          <w:sz w:val="22"/>
          <w:szCs w:val="22"/>
        </w:rPr>
      </w:pPr>
    </w:p>
    <w:p w14:paraId="32B49551" w14:textId="54D103E4" w:rsidR="00F551DA" w:rsidRDefault="00F551DA" w:rsidP="00347B4E">
      <w:pPr>
        <w:spacing w:line="360" w:lineRule="auto"/>
        <w:ind w:left="-284"/>
        <w:rPr>
          <w:rFonts w:ascii="Arial" w:hAnsi="Arial" w:cs="Arial"/>
          <w:bCs/>
          <w:color w:val="000000" w:themeColor="text1"/>
          <w:sz w:val="22"/>
          <w:szCs w:val="22"/>
        </w:rPr>
      </w:pPr>
    </w:p>
    <w:p w14:paraId="718F15E5" w14:textId="1947EAC1" w:rsidR="00F551DA" w:rsidRDefault="00F551DA" w:rsidP="00347B4E">
      <w:pPr>
        <w:spacing w:line="360" w:lineRule="auto"/>
        <w:ind w:left="-284"/>
        <w:rPr>
          <w:rFonts w:ascii="Arial" w:hAnsi="Arial" w:cs="Arial"/>
          <w:bCs/>
          <w:color w:val="000000" w:themeColor="text1"/>
          <w:sz w:val="22"/>
          <w:szCs w:val="22"/>
        </w:rPr>
      </w:pPr>
    </w:p>
    <w:p w14:paraId="7705ABA0" w14:textId="2F961E33" w:rsidR="00F551DA" w:rsidRDefault="00F551DA" w:rsidP="00347B4E">
      <w:pPr>
        <w:spacing w:line="360" w:lineRule="auto"/>
        <w:ind w:left="-284"/>
        <w:rPr>
          <w:rFonts w:ascii="Arial" w:hAnsi="Arial" w:cs="Arial"/>
          <w:bCs/>
          <w:color w:val="000000" w:themeColor="text1"/>
          <w:sz w:val="22"/>
          <w:szCs w:val="22"/>
        </w:rPr>
      </w:pPr>
    </w:p>
    <w:p w14:paraId="2D1154C8" w14:textId="0CEE56B9" w:rsidR="00F551DA" w:rsidRDefault="00F551DA" w:rsidP="00347B4E">
      <w:pPr>
        <w:spacing w:line="360" w:lineRule="auto"/>
        <w:ind w:left="-284"/>
        <w:rPr>
          <w:rFonts w:ascii="Arial" w:hAnsi="Arial" w:cs="Arial"/>
          <w:bCs/>
          <w:color w:val="000000" w:themeColor="text1"/>
          <w:sz w:val="22"/>
          <w:szCs w:val="22"/>
        </w:rPr>
      </w:pPr>
    </w:p>
    <w:p w14:paraId="2E81B76C" w14:textId="41667743" w:rsidR="00F551DA" w:rsidRDefault="00F551DA" w:rsidP="00347B4E">
      <w:pPr>
        <w:spacing w:line="360" w:lineRule="auto"/>
        <w:ind w:left="-284"/>
        <w:rPr>
          <w:rFonts w:ascii="Arial" w:hAnsi="Arial" w:cs="Arial"/>
          <w:bCs/>
          <w:color w:val="000000" w:themeColor="text1"/>
          <w:sz w:val="22"/>
          <w:szCs w:val="22"/>
        </w:rPr>
      </w:pPr>
    </w:p>
    <w:p w14:paraId="12FA14B1" w14:textId="1EF88B7E" w:rsidR="00F551DA" w:rsidRDefault="00F551DA" w:rsidP="00347B4E">
      <w:pPr>
        <w:spacing w:line="360" w:lineRule="auto"/>
        <w:ind w:left="-284"/>
        <w:rPr>
          <w:rFonts w:ascii="Arial" w:hAnsi="Arial" w:cs="Arial"/>
          <w:bCs/>
          <w:color w:val="000000" w:themeColor="text1"/>
          <w:sz w:val="22"/>
          <w:szCs w:val="22"/>
        </w:rPr>
      </w:pPr>
    </w:p>
    <w:p w14:paraId="400C154C" w14:textId="2A99EB1D" w:rsidR="00F551DA" w:rsidRDefault="00F551DA" w:rsidP="00347B4E">
      <w:pPr>
        <w:spacing w:line="360" w:lineRule="auto"/>
        <w:ind w:left="-284"/>
        <w:rPr>
          <w:rFonts w:ascii="Arial" w:hAnsi="Arial" w:cs="Arial"/>
          <w:bCs/>
          <w:color w:val="000000" w:themeColor="text1"/>
          <w:sz w:val="22"/>
          <w:szCs w:val="22"/>
        </w:rPr>
      </w:pPr>
    </w:p>
    <w:p w14:paraId="6DDD7D97" w14:textId="652803B0" w:rsidR="00F551DA" w:rsidRDefault="00F551DA" w:rsidP="00347B4E">
      <w:pPr>
        <w:spacing w:line="360" w:lineRule="auto"/>
        <w:ind w:left="-284"/>
        <w:rPr>
          <w:rFonts w:ascii="Arial" w:hAnsi="Arial" w:cs="Arial"/>
          <w:bCs/>
          <w:color w:val="000000" w:themeColor="text1"/>
          <w:sz w:val="22"/>
          <w:szCs w:val="22"/>
        </w:rPr>
      </w:pPr>
    </w:p>
    <w:p w14:paraId="4B225E43" w14:textId="00871CB1" w:rsidR="00F551DA" w:rsidRDefault="00F551DA" w:rsidP="00347B4E">
      <w:pPr>
        <w:spacing w:line="360" w:lineRule="auto"/>
        <w:ind w:left="-284"/>
        <w:rPr>
          <w:rFonts w:ascii="Arial" w:hAnsi="Arial" w:cs="Arial"/>
          <w:bCs/>
          <w:color w:val="000000" w:themeColor="text1"/>
          <w:sz w:val="22"/>
          <w:szCs w:val="22"/>
        </w:rPr>
      </w:pPr>
    </w:p>
    <w:p w14:paraId="5A645870" w14:textId="2C24D7CA" w:rsidR="00F551DA" w:rsidRDefault="00F551DA" w:rsidP="00F551DA">
      <w:pPr>
        <w:spacing w:line="360" w:lineRule="auto"/>
        <w:ind w:left="-284"/>
        <w:jc w:val="center"/>
        <w:rPr>
          <w:rFonts w:ascii="Arial" w:hAnsi="Arial" w:cs="Arial"/>
          <w:b/>
          <w:color w:val="000000" w:themeColor="text1"/>
          <w:u w:val="single"/>
        </w:rPr>
      </w:pPr>
      <w:r w:rsidRPr="00F551DA">
        <w:rPr>
          <w:rFonts w:ascii="Arial" w:hAnsi="Arial" w:cs="Arial"/>
          <w:b/>
          <w:color w:val="000000" w:themeColor="text1"/>
          <w:u w:val="single"/>
        </w:rPr>
        <w:t>Appendices</w:t>
      </w:r>
    </w:p>
    <w:p w14:paraId="646FD547" w14:textId="0881620F" w:rsidR="00F551DA" w:rsidRDefault="00F551DA" w:rsidP="00F551DA">
      <w:pPr>
        <w:spacing w:line="360" w:lineRule="auto"/>
        <w:rPr>
          <w:rFonts w:ascii="Arial" w:hAnsi="Arial" w:cs="Arial"/>
          <w:bCs/>
          <w:color w:val="000000" w:themeColor="text1"/>
        </w:rPr>
      </w:pPr>
      <w:r w:rsidRPr="00F551DA">
        <w:rPr>
          <w:rFonts w:ascii="Arial" w:hAnsi="Arial" w:cs="Arial"/>
          <w:bCs/>
          <w:color w:val="000000" w:themeColor="text1"/>
        </w:rPr>
        <w:t xml:space="preserve">Appendix 1 </w:t>
      </w:r>
    </w:p>
    <w:p w14:paraId="4967062A" w14:textId="5A3D2598" w:rsidR="00F551DA" w:rsidRPr="00F551DA" w:rsidRDefault="00F551DA" w:rsidP="00F551DA">
      <w:pPr>
        <w:spacing w:line="360" w:lineRule="auto"/>
        <w:rPr>
          <w:rFonts w:ascii="Arial" w:hAnsi="Arial" w:cs="Arial"/>
          <w:bCs/>
          <w:color w:val="000000" w:themeColor="text1"/>
        </w:rPr>
      </w:pPr>
      <w:r>
        <w:rPr>
          <w:rFonts w:ascii="Arial" w:hAnsi="Arial" w:cs="Arial"/>
          <w:bCs/>
          <w:noProof/>
          <w:color w:val="000000" w:themeColor="text1"/>
        </w:rPr>
        <w:drawing>
          <wp:inline distT="0" distB="0" distL="0" distR="0" wp14:anchorId="76D82D7A" wp14:editId="4152FEFF">
            <wp:extent cx="5727700" cy="3096260"/>
            <wp:effectExtent l="0" t="0" r="0" b="254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shot 2020-04-11 at 13.42.21.png"/>
                    <pic:cNvPicPr/>
                  </pic:nvPicPr>
                  <pic:blipFill>
                    <a:blip r:embed="rId7">
                      <a:extLst>
                        <a:ext uri="{28A0092B-C50C-407E-A947-70E740481C1C}">
                          <a14:useLocalDpi xmlns:a14="http://schemas.microsoft.com/office/drawing/2010/main" val="0"/>
                        </a:ext>
                      </a:extLst>
                    </a:blip>
                    <a:stretch>
                      <a:fillRect/>
                    </a:stretch>
                  </pic:blipFill>
                  <pic:spPr>
                    <a:xfrm>
                      <a:off x="0" y="0"/>
                      <a:ext cx="5727700" cy="3096260"/>
                    </a:xfrm>
                    <a:prstGeom prst="rect">
                      <a:avLst/>
                    </a:prstGeom>
                  </pic:spPr>
                </pic:pic>
              </a:graphicData>
            </a:graphic>
          </wp:inline>
        </w:drawing>
      </w:r>
    </w:p>
    <w:sectPr w:rsidR="00F551DA" w:rsidRPr="00F551DA" w:rsidSect="00347B4E">
      <w:headerReference w:type="default" r:id="rId8"/>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110C185" w14:textId="77777777" w:rsidR="0076687E" w:rsidRDefault="0076687E" w:rsidP="00842C66">
      <w:r>
        <w:separator/>
      </w:r>
    </w:p>
  </w:endnote>
  <w:endnote w:type="continuationSeparator" w:id="0">
    <w:p w14:paraId="6797DDF8" w14:textId="77777777" w:rsidR="0076687E" w:rsidRDefault="0076687E" w:rsidP="00842C6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ArialMT">
    <w:altName w:val="Arial"/>
    <w:panose1 w:val="020B0604020202020204"/>
    <w:charset w:val="00"/>
    <w:family w:val="roman"/>
    <w:notTrueType/>
    <w:pitch w:val="default"/>
  </w:font>
  <w:font w:name="Helvetica Neue">
    <w:panose1 w:val="02000503000000020004"/>
    <w:charset w:val="00"/>
    <w:family w:val="auto"/>
    <w:pitch w:val="variable"/>
    <w:sig w:usb0="E50002FF" w:usb1="500079DB" w:usb2="0000001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CB2936" w14:textId="77777777" w:rsidR="0076687E" w:rsidRDefault="0076687E" w:rsidP="00842C66">
      <w:r>
        <w:separator/>
      </w:r>
    </w:p>
  </w:footnote>
  <w:footnote w:type="continuationSeparator" w:id="0">
    <w:p w14:paraId="6E948430" w14:textId="77777777" w:rsidR="0076687E" w:rsidRDefault="0076687E" w:rsidP="00842C6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842C66" w:rsidRPr="00E611D9" w14:paraId="3A244076" w14:textId="77777777" w:rsidTr="00771C2F">
      <w:tc>
        <w:tcPr>
          <w:tcW w:w="4508" w:type="dxa"/>
        </w:tcPr>
        <w:p w14:paraId="5FF5D0EF" w14:textId="5152EE14" w:rsidR="00842C66" w:rsidRPr="00E611D9" w:rsidRDefault="00842C66" w:rsidP="00842C66">
          <w:pPr>
            <w:pStyle w:val="Header"/>
            <w:rPr>
              <w:rFonts w:ascii="Arial" w:hAnsi="Arial" w:cs="Arial"/>
            </w:rPr>
          </w:pPr>
          <w:r w:rsidRPr="00E611D9">
            <w:rPr>
              <w:rFonts w:ascii="Arial" w:hAnsi="Arial" w:cs="Arial"/>
            </w:rPr>
            <w:t>E</w:t>
          </w:r>
          <w:r>
            <w:rPr>
              <w:rFonts w:ascii="Arial" w:hAnsi="Arial" w:cs="Arial"/>
            </w:rPr>
            <w:t>CAD</w:t>
          </w:r>
          <w:r>
            <w:rPr>
              <w:rFonts w:ascii="Arial" w:hAnsi="Arial" w:cs="Arial"/>
            </w:rPr>
            <w:t>7003</w:t>
          </w:r>
        </w:p>
      </w:tc>
      <w:tc>
        <w:tcPr>
          <w:tcW w:w="4508" w:type="dxa"/>
        </w:tcPr>
        <w:p w14:paraId="745D4B72" w14:textId="1E0277DC" w:rsidR="00842C66" w:rsidRPr="00E611D9" w:rsidRDefault="00842C66" w:rsidP="00842C66">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w:t>
          </w:r>
          <w:r>
            <w:rPr>
              <w:rFonts w:ascii="Arial" w:hAnsi="Arial" w:cs="Arial"/>
            </w:rPr>
            <w:t xml:space="preserve"> 1903194</w:t>
          </w:r>
          <w:r>
            <w:rPr>
              <w:rFonts w:ascii="Arial" w:hAnsi="Arial" w:cs="Arial"/>
            </w:rPr>
            <w:t xml:space="preserve"> </w:t>
          </w:r>
        </w:p>
      </w:tc>
    </w:tr>
  </w:tbl>
  <w:p w14:paraId="6C31FE9D" w14:textId="77777777" w:rsidR="00842C66" w:rsidRDefault="00842C6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0CA"/>
    <w:rsid w:val="00165CC9"/>
    <w:rsid w:val="00176548"/>
    <w:rsid w:val="00190D5D"/>
    <w:rsid w:val="001B7192"/>
    <w:rsid w:val="001C5328"/>
    <w:rsid w:val="001F2C66"/>
    <w:rsid w:val="00205071"/>
    <w:rsid w:val="00207A4E"/>
    <w:rsid w:val="002C38A3"/>
    <w:rsid w:val="0031302F"/>
    <w:rsid w:val="00347B4E"/>
    <w:rsid w:val="003802D9"/>
    <w:rsid w:val="003A6B21"/>
    <w:rsid w:val="003D5E31"/>
    <w:rsid w:val="0040338A"/>
    <w:rsid w:val="0051223E"/>
    <w:rsid w:val="0054396A"/>
    <w:rsid w:val="006720CA"/>
    <w:rsid w:val="00685163"/>
    <w:rsid w:val="00710776"/>
    <w:rsid w:val="0076687E"/>
    <w:rsid w:val="00820AB4"/>
    <w:rsid w:val="00842C66"/>
    <w:rsid w:val="008623BF"/>
    <w:rsid w:val="00863487"/>
    <w:rsid w:val="00886170"/>
    <w:rsid w:val="00887773"/>
    <w:rsid w:val="008E415C"/>
    <w:rsid w:val="008F1E98"/>
    <w:rsid w:val="00946943"/>
    <w:rsid w:val="009E3652"/>
    <w:rsid w:val="00A34849"/>
    <w:rsid w:val="00A51206"/>
    <w:rsid w:val="00AC58F8"/>
    <w:rsid w:val="00AC7BA3"/>
    <w:rsid w:val="00AF2817"/>
    <w:rsid w:val="00C83320"/>
    <w:rsid w:val="00CE6BCF"/>
    <w:rsid w:val="00D72018"/>
    <w:rsid w:val="00D7379F"/>
    <w:rsid w:val="00DE74B0"/>
    <w:rsid w:val="00EA2998"/>
    <w:rsid w:val="00ED5236"/>
    <w:rsid w:val="00EE77EC"/>
    <w:rsid w:val="00F551D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A535B"/>
  <w14:defaultImageDpi w14:val="32767"/>
  <w15:chartTrackingRefBased/>
  <w15:docId w15:val="{0E21807A-46A9-3D45-9D12-6038A1C3D5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8F1E98"/>
    <w:rPr>
      <w:lang w:val="en-GB"/>
    </w:rPr>
  </w:style>
  <w:style w:type="paragraph" w:styleId="Heading1">
    <w:name w:val="heading 1"/>
    <w:basedOn w:val="Normal"/>
    <w:next w:val="Normal"/>
    <w:link w:val="Heading1Char"/>
    <w:uiPriority w:val="9"/>
    <w:qFormat/>
    <w:rsid w:val="00347B4E"/>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47B4E"/>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347B4E"/>
    <w:rPr>
      <w:rFonts w:asciiTheme="majorHAnsi" w:eastAsiaTheme="majorEastAsia" w:hAnsiTheme="majorHAnsi" w:cstheme="majorBidi"/>
      <w:b/>
      <w:bCs/>
      <w:color w:val="2F5496" w:themeColor="accent1" w:themeShade="BF"/>
      <w:sz w:val="28"/>
      <w:szCs w:val="28"/>
      <w:lang w:bidi="en-US"/>
    </w:rPr>
  </w:style>
  <w:style w:type="paragraph" w:styleId="Bibliography">
    <w:name w:val="Bibliography"/>
    <w:basedOn w:val="Normal"/>
    <w:next w:val="Normal"/>
    <w:uiPriority w:val="37"/>
    <w:unhideWhenUsed/>
    <w:rsid w:val="00347B4E"/>
  </w:style>
  <w:style w:type="paragraph" w:styleId="Header">
    <w:name w:val="header"/>
    <w:basedOn w:val="Normal"/>
    <w:link w:val="HeaderChar"/>
    <w:uiPriority w:val="99"/>
    <w:unhideWhenUsed/>
    <w:rsid w:val="00842C66"/>
    <w:pPr>
      <w:tabs>
        <w:tab w:val="center" w:pos="4513"/>
        <w:tab w:val="right" w:pos="9026"/>
      </w:tabs>
    </w:pPr>
  </w:style>
  <w:style w:type="character" w:customStyle="1" w:styleId="HeaderChar">
    <w:name w:val="Header Char"/>
    <w:basedOn w:val="DefaultParagraphFont"/>
    <w:link w:val="Header"/>
    <w:uiPriority w:val="99"/>
    <w:rsid w:val="00842C66"/>
    <w:rPr>
      <w:lang w:val="en-GB"/>
    </w:rPr>
  </w:style>
  <w:style w:type="paragraph" w:styleId="Footer">
    <w:name w:val="footer"/>
    <w:basedOn w:val="Normal"/>
    <w:link w:val="FooterChar"/>
    <w:uiPriority w:val="99"/>
    <w:unhideWhenUsed/>
    <w:rsid w:val="00842C66"/>
    <w:pPr>
      <w:tabs>
        <w:tab w:val="center" w:pos="4513"/>
        <w:tab w:val="right" w:pos="9026"/>
      </w:tabs>
    </w:pPr>
  </w:style>
  <w:style w:type="character" w:customStyle="1" w:styleId="FooterChar">
    <w:name w:val="Footer Char"/>
    <w:basedOn w:val="DefaultParagraphFont"/>
    <w:link w:val="Footer"/>
    <w:uiPriority w:val="99"/>
    <w:rsid w:val="00842C66"/>
    <w:rPr>
      <w:lang w:val="en-GB"/>
    </w:rPr>
  </w:style>
  <w:style w:type="table" w:styleId="TableGrid">
    <w:name w:val="Table Grid"/>
    <w:basedOn w:val="TableNormal"/>
    <w:uiPriority w:val="39"/>
    <w:rsid w:val="00842C66"/>
    <w:rPr>
      <w:sz w:val="22"/>
      <w:szCs w:val="22"/>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AssignBody">
    <w:name w:val="AssignBody"/>
    <w:basedOn w:val="Normal"/>
    <w:link w:val="AssignBodyChar"/>
    <w:qFormat/>
    <w:rsid w:val="00946943"/>
    <w:pPr>
      <w:spacing w:line="360" w:lineRule="auto"/>
    </w:pPr>
    <w:rPr>
      <w:rFonts w:ascii="Arial" w:hAnsi="Arial"/>
      <w:sz w:val="22"/>
      <w:szCs w:val="22"/>
    </w:rPr>
  </w:style>
  <w:style w:type="character" w:customStyle="1" w:styleId="AssignBodyChar">
    <w:name w:val="AssignBody Char"/>
    <w:basedOn w:val="DefaultParagraphFont"/>
    <w:link w:val="AssignBody"/>
    <w:rsid w:val="00946943"/>
    <w:rPr>
      <w:rFonts w:ascii="Arial" w:hAnsi="Arial"/>
      <w:sz w:val="22"/>
      <w:szCs w:val="22"/>
      <w:lang w:val="en-GB"/>
    </w:rPr>
  </w:style>
  <w:style w:type="character" w:customStyle="1" w:styleId="apple-converted-space">
    <w:name w:val="apple-converted-space"/>
    <w:basedOn w:val="DefaultParagraphFont"/>
    <w:rsid w:val="0094694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8763325">
      <w:bodyDiv w:val="1"/>
      <w:marLeft w:val="0"/>
      <w:marRight w:val="0"/>
      <w:marTop w:val="0"/>
      <w:marBottom w:val="0"/>
      <w:divBdr>
        <w:top w:val="none" w:sz="0" w:space="0" w:color="auto"/>
        <w:left w:val="none" w:sz="0" w:space="0" w:color="auto"/>
        <w:bottom w:val="none" w:sz="0" w:space="0" w:color="auto"/>
        <w:right w:val="none" w:sz="0" w:space="0" w:color="auto"/>
      </w:divBdr>
    </w:div>
    <w:div w:id="366417281">
      <w:bodyDiv w:val="1"/>
      <w:marLeft w:val="0"/>
      <w:marRight w:val="0"/>
      <w:marTop w:val="0"/>
      <w:marBottom w:val="0"/>
      <w:divBdr>
        <w:top w:val="none" w:sz="0" w:space="0" w:color="auto"/>
        <w:left w:val="none" w:sz="0" w:space="0" w:color="auto"/>
        <w:bottom w:val="none" w:sz="0" w:space="0" w:color="auto"/>
        <w:right w:val="none" w:sz="0" w:space="0" w:color="auto"/>
      </w:divBdr>
    </w:div>
    <w:div w:id="414059914">
      <w:bodyDiv w:val="1"/>
      <w:marLeft w:val="0"/>
      <w:marRight w:val="0"/>
      <w:marTop w:val="0"/>
      <w:marBottom w:val="0"/>
      <w:divBdr>
        <w:top w:val="none" w:sz="0" w:space="0" w:color="auto"/>
        <w:left w:val="none" w:sz="0" w:space="0" w:color="auto"/>
        <w:bottom w:val="none" w:sz="0" w:space="0" w:color="auto"/>
        <w:right w:val="none" w:sz="0" w:space="0" w:color="auto"/>
      </w:divBdr>
    </w:div>
    <w:div w:id="469831643">
      <w:bodyDiv w:val="1"/>
      <w:marLeft w:val="0"/>
      <w:marRight w:val="0"/>
      <w:marTop w:val="0"/>
      <w:marBottom w:val="0"/>
      <w:divBdr>
        <w:top w:val="none" w:sz="0" w:space="0" w:color="auto"/>
        <w:left w:val="none" w:sz="0" w:space="0" w:color="auto"/>
        <w:bottom w:val="none" w:sz="0" w:space="0" w:color="auto"/>
        <w:right w:val="none" w:sz="0" w:space="0" w:color="auto"/>
      </w:divBdr>
    </w:div>
    <w:div w:id="612131875">
      <w:bodyDiv w:val="1"/>
      <w:marLeft w:val="0"/>
      <w:marRight w:val="0"/>
      <w:marTop w:val="0"/>
      <w:marBottom w:val="0"/>
      <w:divBdr>
        <w:top w:val="none" w:sz="0" w:space="0" w:color="auto"/>
        <w:left w:val="none" w:sz="0" w:space="0" w:color="auto"/>
        <w:bottom w:val="none" w:sz="0" w:space="0" w:color="auto"/>
        <w:right w:val="none" w:sz="0" w:space="0" w:color="auto"/>
      </w:divBdr>
    </w:div>
    <w:div w:id="756444428">
      <w:bodyDiv w:val="1"/>
      <w:marLeft w:val="0"/>
      <w:marRight w:val="0"/>
      <w:marTop w:val="0"/>
      <w:marBottom w:val="0"/>
      <w:divBdr>
        <w:top w:val="none" w:sz="0" w:space="0" w:color="auto"/>
        <w:left w:val="none" w:sz="0" w:space="0" w:color="auto"/>
        <w:bottom w:val="none" w:sz="0" w:space="0" w:color="auto"/>
        <w:right w:val="none" w:sz="0" w:space="0" w:color="auto"/>
      </w:divBdr>
    </w:div>
    <w:div w:id="902594225">
      <w:bodyDiv w:val="1"/>
      <w:marLeft w:val="0"/>
      <w:marRight w:val="0"/>
      <w:marTop w:val="0"/>
      <w:marBottom w:val="0"/>
      <w:divBdr>
        <w:top w:val="none" w:sz="0" w:space="0" w:color="auto"/>
        <w:left w:val="none" w:sz="0" w:space="0" w:color="auto"/>
        <w:bottom w:val="none" w:sz="0" w:space="0" w:color="auto"/>
        <w:right w:val="none" w:sz="0" w:space="0" w:color="auto"/>
      </w:divBdr>
    </w:div>
    <w:div w:id="915479734">
      <w:bodyDiv w:val="1"/>
      <w:marLeft w:val="0"/>
      <w:marRight w:val="0"/>
      <w:marTop w:val="0"/>
      <w:marBottom w:val="0"/>
      <w:divBdr>
        <w:top w:val="none" w:sz="0" w:space="0" w:color="auto"/>
        <w:left w:val="none" w:sz="0" w:space="0" w:color="auto"/>
        <w:bottom w:val="none" w:sz="0" w:space="0" w:color="auto"/>
        <w:right w:val="none" w:sz="0" w:space="0" w:color="auto"/>
      </w:divBdr>
    </w:div>
    <w:div w:id="947464066">
      <w:bodyDiv w:val="1"/>
      <w:marLeft w:val="0"/>
      <w:marRight w:val="0"/>
      <w:marTop w:val="0"/>
      <w:marBottom w:val="0"/>
      <w:divBdr>
        <w:top w:val="none" w:sz="0" w:space="0" w:color="auto"/>
        <w:left w:val="none" w:sz="0" w:space="0" w:color="auto"/>
        <w:bottom w:val="none" w:sz="0" w:space="0" w:color="auto"/>
        <w:right w:val="none" w:sz="0" w:space="0" w:color="auto"/>
      </w:divBdr>
    </w:div>
    <w:div w:id="1017922263">
      <w:bodyDiv w:val="1"/>
      <w:marLeft w:val="0"/>
      <w:marRight w:val="0"/>
      <w:marTop w:val="0"/>
      <w:marBottom w:val="0"/>
      <w:divBdr>
        <w:top w:val="none" w:sz="0" w:space="0" w:color="auto"/>
        <w:left w:val="none" w:sz="0" w:space="0" w:color="auto"/>
        <w:bottom w:val="none" w:sz="0" w:space="0" w:color="auto"/>
        <w:right w:val="none" w:sz="0" w:space="0" w:color="auto"/>
      </w:divBdr>
    </w:div>
    <w:div w:id="1041511566">
      <w:bodyDiv w:val="1"/>
      <w:marLeft w:val="0"/>
      <w:marRight w:val="0"/>
      <w:marTop w:val="0"/>
      <w:marBottom w:val="0"/>
      <w:divBdr>
        <w:top w:val="none" w:sz="0" w:space="0" w:color="auto"/>
        <w:left w:val="none" w:sz="0" w:space="0" w:color="auto"/>
        <w:bottom w:val="none" w:sz="0" w:space="0" w:color="auto"/>
        <w:right w:val="none" w:sz="0" w:space="0" w:color="auto"/>
      </w:divBdr>
    </w:div>
    <w:div w:id="1141729932">
      <w:bodyDiv w:val="1"/>
      <w:marLeft w:val="0"/>
      <w:marRight w:val="0"/>
      <w:marTop w:val="0"/>
      <w:marBottom w:val="0"/>
      <w:divBdr>
        <w:top w:val="none" w:sz="0" w:space="0" w:color="auto"/>
        <w:left w:val="none" w:sz="0" w:space="0" w:color="auto"/>
        <w:bottom w:val="none" w:sz="0" w:space="0" w:color="auto"/>
        <w:right w:val="none" w:sz="0" w:space="0" w:color="auto"/>
      </w:divBdr>
    </w:div>
    <w:div w:id="1231305100">
      <w:bodyDiv w:val="1"/>
      <w:marLeft w:val="0"/>
      <w:marRight w:val="0"/>
      <w:marTop w:val="0"/>
      <w:marBottom w:val="0"/>
      <w:divBdr>
        <w:top w:val="none" w:sz="0" w:space="0" w:color="auto"/>
        <w:left w:val="none" w:sz="0" w:space="0" w:color="auto"/>
        <w:bottom w:val="none" w:sz="0" w:space="0" w:color="auto"/>
        <w:right w:val="none" w:sz="0" w:space="0" w:color="auto"/>
      </w:divBdr>
    </w:div>
    <w:div w:id="1332947690">
      <w:bodyDiv w:val="1"/>
      <w:marLeft w:val="0"/>
      <w:marRight w:val="0"/>
      <w:marTop w:val="0"/>
      <w:marBottom w:val="0"/>
      <w:divBdr>
        <w:top w:val="none" w:sz="0" w:space="0" w:color="auto"/>
        <w:left w:val="none" w:sz="0" w:space="0" w:color="auto"/>
        <w:bottom w:val="none" w:sz="0" w:space="0" w:color="auto"/>
        <w:right w:val="none" w:sz="0" w:space="0" w:color="auto"/>
      </w:divBdr>
    </w:div>
    <w:div w:id="1558659674">
      <w:bodyDiv w:val="1"/>
      <w:marLeft w:val="0"/>
      <w:marRight w:val="0"/>
      <w:marTop w:val="0"/>
      <w:marBottom w:val="0"/>
      <w:divBdr>
        <w:top w:val="none" w:sz="0" w:space="0" w:color="auto"/>
        <w:left w:val="none" w:sz="0" w:space="0" w:color="auto"/>
        <w:bottom w:val="none" w:sz="0" w:space="0" w:color="auto"/>
        <w:right w:val="none" w:sz="0" w:space="0" w:color="auto"/>
      </w:divBdr>
    </w:div>
    <w:div w:id="1814983233">
      <w:bodyDiv w:val="1"/>
      <w:marLeft w:val="0"/>
      <w:marRight w:val="0"/>
      <w:marTop w:val="0"/>
      <w:marBottom w:val="0"/>
      <w:divBdr>
        <w:top w:val="none" w:sz="0" w:space="0" w:color="auto"/>
        <w:left w:val="none" w:sz="0" w:space="0" w:color="auto"/>
        <w:bottom w:val="none" w:sz="0" w:space="0" w:color="auto"/>
        <w:right w:val="none" w:sz="0" w:space="0" w:color="auto"/>
      </w:divBdr>
    </w:div>
    <w:div w:id="1995837388">
      <w:bodyDiv w:val="1"/>
      <w:marLeft w:val="0"/>
      <w:marRight w:val="0"/>
      <w:marTop w:val="0"/>
      <w:marBottom w:val="0"/>
      <w:divBdr>
        <w:top w:val="none" w:sz="0" w:space="0" w:color="auto"/>
        <w:left w:val="none" w:sz="0" w:space="0" w:color="auto"/>
        <w:bottom w:val="none" w:sz="0" w:space="0" w:color="auto"/>
        <w:right w:val="none" w:sz="0" w:space="0" w:color="auto"/>
      </w:divBdr>
      <w:divsChild>
        <w:div w:id="771390289">
          <w:marLeft w:val="0"/>
          <w:marRight w:val="0"/>
          <w:marTop w:val="0"/>
          <w:marBottom w:val="0"/>
          <w:divBdr>
            <w:top w:val="none" w:sz="0" w:space="0" w:color="auto"/>
            <w:left w:val="none" w:sz="0" w:space="0" w:color="auto"/>
            <w:bottom w:val="none" w:sz="0" w:space="0" w:color="auto"/>
            <w:right w:val="none" w:sz="0" w:space="0" w:color="auto"/>
          </w:divBdr>
          <w:divsChild>
            <w:div w:id="1664816754">
              <w:marLeft w:val="0"/>
              <w:marRight w:val="0"/>
              <w:marTop w:val="0"/>
              <w:marBottom w:val="0"/>
              <w:divBdr>
                <w:top w:val="none" w:sz="0" w:space="0" w:color="auto"/>
                <w:left w:val="none" w:sz="0" w:space="0" w:color="auto"/>
                <w:bottom w:val="none" w:sz="0" w:space="0" w:color="auto"/>
                <w:right w:val="none" w:sz="0" w:space="0" w:color="auto"/>
              </w:divBdr>
              <w:divsChild>
                <w:div w:id="208497354">
                  <w:marLeft w:val="0"/>
                  <w:marRight w:val="0"/>
                  <w:marTop w:val="0"/>
                  <w:marBottom w:val="0"/>
                  <w:divBdr>
                    <w:top w:val="none" w:sz="0" w:space="0" w:color="auto"/>
                    <w:left w:val="none" w:sz="0" w:space="0" w:color="auto"/>
                    <w:bottom w:val="none" w:sz="0" w:space="0" w:color="auto"/>
                    <w:right w:val="none" w:sz="0" w:space="0" w:color="auto"/>
                  </w:divBdr>
                  <w:divsChild>
                    <w:div w:id="114840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2471553">
      <w:bodyDiv w:val="1"/>
      <w:marLeft w:val="0"/>
      <w:marRight w:val="0"/>
      <w:marTop w:val="0"/>
      <w:marBottom w:val="0"/>
      <w:divBdr>
        <w:top w:val="none" w:sz="0" w:space="0" w:color="auto"/>
        <w:left w:val="none" w:sz="0" w:space="0" w:color="auto"/>
        <w:bottom w:val="none" w:sz="0" w:space="0" w:color="auto"/>
        <w:right w:val="none" w:sz="0" w:space="0" w:color="auto"/>
      </w:divBdr>
    </w:div>
    <w:div w:id="21254944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Wel192</b:Tag>
    <b:SourceType>InternetSite</b:SourceType>
    <b:Guid>{139C5E01-B97B-6741-A6FE-901AD45D45D8}</b:Guid>
    <b:Title>StatsWales</b:Title>
    <b:Year>2019</b:Year>
    <b:Author>
      <b:Author>
        <b:Corporate>Welsh Government</b:Corporate>
      </b:Author>
    </b:Author>
    <b:URL>https://statswales.gov.wales/Catalogue/Community-Safety-and-Social-Inclusion/Welsh-Index-of-Multiple-Deprivation/WIMD-2019/localauthorityanalysis</b:URL>
    <b:YearAccessed>2020</b:YearAccessed>
    <b:MonthAccessed>April</b:MonthAccessed>
    <b:DayAccessed>5</b:DayAccessed>
    <b:RefOrder>1</b:RefOrder>
  </b:Source>
  <b:Source>
    <b:Tag>Wel14</b:Tag>
    <b:SourceType>InternetSite</b:SourceType>
    <b:Guid>{3906F4A2-67C7-9045-98D9-D740EEA2D741}</b:Guid>
    <b:Author>
      <b:Author>
        <b:Corporate>Welsh Government</b:Corporate>
      </b:Author>
    </b:Author>
    <b:Title>School development plans </b:Title>
    <b:URL>https://gov.wales/sites/default/files/publications/2018-03/school-development-plans.pdf</b:URL>
    <b:Year>2014</b:Year>
    <b:YearAccessed>2020</b:YearAccessed>
    <b:MonthAccessed>April</b:MonthAccessed>
    <b:DayAccessed>7</b:DayAccessed>
    <b:RefOrder>2</b:RefOrder>
  </b:Source>
  <b:Source>
    <b:Tag>Sch19</b:Tag>
    <b:SourceType>JournalArticle</b:SourceType>
    <b:Guid>{49A79691-360A-8B4B-9F5F-CCE8BA8485B5}</b:Guid>
    <b:Title>Data-based decision-making for school improvement: Research insights and gaps</b:Title>
    <b:Year>2019</b:Year>
    <b:Author>
      <b:Author>
        <b:NameList>
          <b:Person>
            <b:Last>Schildkamp</b:Last>
            <b:First>K</b:First>
          </b:Person>
        </b:NameList>
      </b:Author>
    </b:Author>
    <b:JournalName>Educational Research</b:JournalName>
    <b:Volume>61</b:Volume>
    <b:Issue>3</b:Issue>
    <b:Pages>257-273</b:Pages>
    <b:RefOrder>3</b:RefOrder>
  </b:Source>
  <b:Source>
    <b:Tag>Han14</b:Tag>
    <b:SourceType>DocumentFromInternetSite</b:SourceType>
    <b:Guid>{7996AE36-130B-EB46-8513-B35A4B527381}</b:Guid>
    <b:Author>
      <b:Author>
        <b:Corporate>Hanover Research</b:Corporate>
      </b:Author>
    </b:Author>
    <b:Title>Best practices for school improvement planning</b:Title>
    <b:URL>https://www.hanoverresearch.com/media/Best-Practices-for-School-Improvement-Planning1.pdf</b:URL>
    <b:Year>2014</b:Year>
    <b:YearAccessed>2020</b:YearAccessed>
    <b:MonthAccessed>April</b:MonthAccessed>
    <b:DayAccessed>7</b:DayAccessed>
    <b:RefOrder>4</b:RefOrder>
  </b:Source>
  <b:Source>
    <b:Tag>Sin16</b:Tag>
    <b:SourceType>Report</b:SourceType>
    <b:Guid>{BBE25C93-980D-5A4A-B3ED-81C76AC2264E}</b:Guid>
    <b:Title>Research series on school effectiveness and school improvement: Goal setting</b:Title>
    <b:Year>2016</b:Year>
    <b:Author>
      <b:Author>
        <b:NameList>
          <b:Person>
            <b:Last>Sinay</b:Last>
            <b:First>E</b:First>
          </b:Person>
          <b:Person>
            <b:Last>Ryan</b:Last>
            <b:First>G</b:First>
          </b:Person>
          <b:Person>
            <b:Last>Walter</b:Last>
            <b:First>S</b:First>
          </b:Person>
        </b:NameList>
      </b:Author>
    </b:Author>
    <b:Publisher>Toronto School Board District</b:Publisher>
    <b:City>Toronto </b:City>
    <b:RefOrder>5</b:RefOrder>
  </b:Source>
  <b:Source>
    <b:Tag>Van09</b:Tag>
    <b:SourceType>JournalArticle</b:SourceType>
    <b:Guid>{175DF954-881C-2F42-A689-32FCCB3583F6}</b:Guid>
    <b:Author>
      <b:Author>
        <b:NameList>
          <b:Person>
            <b:Last>Vanhoof</b:Last>
            <b:First>J</b:First>
          </b:Person>
          <b:Person>
            <b:Last>Van Petegem</b:Last>
            <b:First>P</b:First>
          </b:Person>
          <b:Person>
            <b:Last>De Maeyer</b:Last>
            <b:First>S</b:First>
          </b:Person>
        </b:NameList>
      </b:Author>
    </b:Author>
    <b:Title>Attitudes towards school self-evaluation</b:Title>
    <b:JournalName>Studies in Educational Evaluation </b:JournalName>
    <b:Year>2009</b:Year>
    <b:Volume>35</b:Volume>
    <b:Pages>21-28</b:Pages>
    <b:RefOrder>6</b:RefOrder>
  </b:Source>
  <b:Source>
    <b:Tag>Che11</b:Tag>
    <b:SourceType>JournalArticle</b:SourceType>
    <b:Guid>{B53809BA-C07D-A94B-946F-0989433032A1}</b:Guid>
    <b:Author>
      <b:Author>
        <b:NameList>
          <b:Person>
            <b:Last>Cheng</b:Last>
            <b:First>E</b:First>
          </b:Person>
        </b:NameList>
      </b:Author>
    </b:Author>
    <b:Title>An examination of the predictive relationships of self-evaluation capacity and staff competency on strategic planning in Hong Kong aided secondary schools </b:Title>
    <b:JournalName>Educational Research for Policy and Practice</b:JournalName>
    <b:Year>2011</b:Year>
    <b:Volume>10</b:Volume>
    <b:Pages>211-223</b:Pages>
    <b:RefOrder>7</b:RefOrder>
  </b:Source>
  <b:Source>
    <b:Tag>Scr91</b:Tag>
    <b:SourceType>Book</b:SourceType>
    <b:Guid>{E739F8CF-C35D-E946-8260-BF774FBDA66F}</b:Guid>
    <b:Title>Evaluation thesaurus</b:Title>
    <b:Year>1991</b:Year>
    <b:Author>
      <b:Author>
        <b:NameList>
          <b:Person>
            <b:Last>Scriven</b:Last>
            <b:First>M</b:First>
          </b:Person>
        </b:NameList>
      </b:Author>
    </b:Author>
    <b:City>Newbury Park</b:City>
    <b:Publisher>Sage</b:Publisher>
    <b:Edition>4th Edition</b:Edition>
    <b:RefOrder>8</b:RefOrder>
  </b:Source>
  <b:Source>
    <b:Tag>Mad83</b:Tag>
    <b:SourceType>Book</b:SourceType>
    <b:Guid>{0F5D6D5B-C199-414E-B775-7A2888C7D640}</b:Guid>
    <b:Author>
      <b:Author>
        <b:NameList>
          <b:Person>
            <b:Last>Madeus</b:Last>
            <b:First>G</b:First>
          </b:Person>
          <b:Person>
            <b:Last>Scriven</b:Last>
            <b:First>M</b:First>
          </b:Person>
          <b:Person>
            <b:Last>Stuffledeam</b:Last>
            <b:First>D</b:First>
          </b:Person>
        </b:NameList>
      </b:Author>
    </b:Author>
    <b:Title>Evaluation models </b:Title>
    <b:City>Lancaster</b:City>
    <b:Publisher>Kluwer-Nijhoff</b:Publisher>
    <b:Year>1983</b:Year>
    <b:RefOrder>9</b:RefOrder>
  </b:Source>
  <b:Source>
    <b:Tag>Kyr04</b:Tag>
    <b:SourceType>JournalArticle</b:SourceType>
    <b:Guid>{E372E035-00CE-4C4C-8DDD-36888F654836}</b:Guid>
    <b:Author>
      <b:Author>
        <b:NameList>
          <b:Person>
            <b:Last>Kyriakides</b:Last>
            <b:First>L</b:First>
          </b:Person>
          <b:Person>
            <b:Last>Campbell</b:Last>
            <b:First>R</b:First>
          </b:Person>
        </b:NameList>
      </b:Author>
    </b:Author>
    <b:Title>School self-evaluation and school improvement: a critique of values and procedures</b:Title>
    <b:JournalName>Studies in Educational Evaluation</b:JournalName>
    <b:Year>2004</b:Year>
    <b:Volume>30</b:Volume>
    <b:Pages>23-36</b:Pages>
    <b:RefOrder>10</b:RefOrder>
  </b:Source>
  <b:Source>
    <b:Tag>New12</b:Tag>
    <b:SourceType>JournalArticle</b:SourceType>
    <b:Guid>{742AD596-08F6-5948-938E-DDD854291A4D}</b:Guid>
    <b:Title>Goal setting to achieve results </b:Title>
    <b:Year>2012</b:Year>
    <b:Author>
      <b:Author>
        <b:NameList>
          <b:Person>
            <b:Last>Newman</b:Last>
            <b:First>R</b:First>
          </b:Person>
        </b:NameList>
      </b:Author>
    </b:Author>
    <b:JournalName>Leadership</b:JournalName>
    <b:Volume>41</b:Volume>
    <b:Issue>3</b:Issue>
    <b:Pages>12-38</b:Pages>
    <b:RefOrder>23</b:RefOrder>
  </b:Source>
  <b:Source>
    <b:Tag>Ter94</b:Tag>
    <b:SourceType>JournalArticle</b:SourceType>
    <b:Guid>{409916E5-C166-2645-9251-59703C978E63}</b:Guid>
    <b:Author>
      <b:Author>
        <b:NameList>
          <b:Person>
            <b:Last>Terpstra</b:Last>
            <b:First>D</b:First>
          </b:Person>
          <b:Person>
            <b:Last>Rozell</b:Last>
            <b:First>E</b:First>
          </b:Person>
        </b:NameList>
      </b:Author>
    </b:Author>
    <b:Title>The relationship of goal setting to organizational profitability.</b:Title>
    <b:JournalName>Group &amp; Organization Management</b:JournalName>
    <b:Year>1994</b:Year>
    <b:Volume>19</b:Volume>
    <b:Issue>3</b:Issue>
    <b:Pages>285-295</b:Pages>
    <b:RefOrder>24</b:RefOrder>
  </b:Source>
  <b:Source>
    <b:Tag>Rob07</b:Tag>
    <b:SourceType>JournalArticle</b:SourceType>
    <b:Guid>{EF6B71F0-91A1-2744-9BA8-18EC0919A222}</b:Guid>
    <b:Author>
      <b:Author>
        <b:NameList>
          <b:Person>
            <b:Last>Robinson</b:Last>
            <b:First>V</b:First>
          </b:Person>
          <b:Person>
            <b:Last>Timperley</b:Last>
            <b:First>H</b:First>
          </b:Person>
        </b:NameList>
      </b:Author>
    </b:Author>
    <b:Title>The leadership of the improvement of teaching and learning: Lessons from initiatives with positive outcomes for students</b:Title>
    <b:JournalName>Australian Journal of Education</b:JournalName>
    <b:Year>2007</b:Year>
    <b:Volume>51</b:Volume>
    <b:Issue>3</b:Issue>
    <b:Pages>247-262</b:Pages>
    <b:RefOrder>25</b:RefOrder>
  </b:Source>
  <b:Source>
    <b:Tag>Oye16</b:Tag>
    <b:SourceType>JournalArticle</b:SourceType>
    <b:Guid>{D3BC70E6-7B8F-A347-89ED-5F21005E9551}</b:Guid>
    <b:Author>
      <b:Author>
        <b:NameList>
          <b:Person>
            <b:Last>Oyedele</b:Last>
            <b:First>V</b:First>
          </b:Person>
          <b:Person>
            <b:Last>Chikwature</b:Last>
            <b:First>W</b:First>
          </b:Person>
        </b:NameList>
      </b:Author>
    </b:Author>
    <b:Title>Teachers’ Perception of the Role of Strategic Planning in Educational Development at Three Mission Secondary Boarding Schools in Manicaland Province</b:Title>
    <b:JournalName>International Journal of Humanities Social Sciences and Education</b:JournalName>
    <b:Year>2016</b:Year>
    <b:Volume>3</b:Volume>
    <b:Issue>5</b:Issue>
    <b:Pages>57-66</b:Pages>
    <b:RefOrder>26</b:RefOrder>
  </b:Source>
  <b:Source>
    <b:Tag>Pan03</b:Tag>
    <b:SourceType>JournalArticle</b:SourceType>
    <b:Guid>{CA9F3ED0-A260-1348-BEC8-95C249A6A627}</b:Guid>
    <b:Title>Initiating organizational change through school self evaluation</b:Title>
    <b:Year>2003</b:Year>
    <b:Author>
      <b:Author>
        <b:NameList>
          <b:Person>
            <b:Last>Pang</b:Last>
            <b:First>N</b:First>
          </b:Person>
        </b:NameList>
      </b:Author>
    </b:Author>
    <b:JournalName>The International Journal of Knowledge, Culture and Change Management</b:JournalName>
    <b:Volume>3</b:Volume>
    <b:Pages>245-256</b:Pages>
    <b:RefOrder>27</b:RefOrder>
  </b:Source>
  <b:Source>
    <b:Tag>Ren07</b:Tag>
    <b:SourceType>Book</b:SourceType>
    <b:Guid>{310E9D30-BBB1-204F-B8AD-5B5C52237EC6}</b:Guid>
    <b:Title>Researches and practices on school-based training</b:Title>
    <b:Year>2007</b:Year>
    <b:Author>
      <b:Author>
        <b:NameList>
          <b:Person>
            <b:Last>Ren</b:Last>
            <b:First>D</b:First>
          </b:Person>
        </b:NameList>
      </b:Author>
    </b:Author>
    <b:City>Chongqing</b:City>
    <b:Publisher>Normal University Press</b:Publisher>
    <b:RefOrder>28</b:RefOrder>
  </b:Source>
  <b:Source>
    <b:Tag>Wan08</b:Tag>
    <b:SourceType>JournalArticle</b:SourceType>
    <b:Guid>{97CB1099-4BA7-4141-BFB0-193D0D2AA3DD}</b:Guid>
    <b:Title>School-based practical and strategic analysis on improving teacher professional competency</b:Title>
    <b:Year>2008</b:Year>
    <b:Author>
      <b:Author>
        <b:NameList>
          <b:Person>
            <b:Last>Wang</b:Last>
            <b:First>G</b:First>
          </b:Person>
          <b:Person>
            <b:Last>Hua</b:Last>
            <b:First>Z</b:First>
          </b:Person>
        </b:NameList>
      </b:Author>
    </b:Author>
    <b:JournalName>Journal of Lianyungang Teachers College</b:JournalName>
    <b:Volume>1</b:Volume>
    <b:Pages>61-62</b:Pages>
    <b:RefOrder>29</b:RefOrder>
  </b:Source>
  <b:Source>
    <b:Tag>Dys10</b:Tag>
    <b:SourceType>Report</b:SourceType>
    <b:Guid>{E9D9C865-A596-A746-A88D-A04DDA7EC44B}</b:Guid>
    <b:Title>Insight 2: Social inequality: Can schools narrow the gap? </b:Title>
    <b:Year>2010</b:Year>
    <b:Author>
      <b:Author>
        <b:NameList>
          <b:Person>
            <b:Last>Dyson</b:Last>
            <b:First>A</b:First>
          </b:Person>
          <b:Person>
            <b:Last>Ainscow</b:Last>
            <b:First>M</b:First>
          </b:Person>
          <b:Person>
            <b:Last>Chapman</b:Last>
            <b:First>C</b:First>
          </b:Person>
          <b:Person>
            <b:Last>Gunter</b:Last>
            <b:First>H</b:First>
          </b:Person>
          <b:Person>
            <b:Last>Hall</b:Last>
            <b:First>D</b:First>
          </b:Person>
          <b:Person>
            <b:Last>Kerr</b:Last>
            <b:First>K</b:First>
          </b:Person>
        </b:NameList>
      </b:Author>
    </b:Author>
    <b:Publisher>British Education Research Association (BERA)</b:Publisher>
    <b:City> Macclesfield</b:City>
    <b:RefOrder>30</b:RefOrder>
  </b:Source>
  <b:Source>
    <b:Tag>McB99</b:Tag>
    <b:SourceType>Book</b:SourceType>
    <b:Guid>{26B0C7C2-26C3-0B4D-BE27-F03B47575B3D}</b:Guid>
    <b:Author>
      <b:Author>
        <b:NameList>
          <b:Person>
            <b:Last>McBeath</b:Last>
            <b:First>J</b:First>
          </b:Person>
        </b:NameList>
      </b:Author>
    </b:Author>
    <b:Title>Schools must speak for themselves</b:Title>
    <b:City>London</b:City>
    <b:Publisher>Routledge</b:Publisher>
    <b:Year>1999</b:Year>
    <b:RefOrder>11</b:RefOrder>
  </b:Source>
  <b:Source>
    <b:Tag>Sch07</b:Tag>
    <b:SourceType>Book</b:SourceType>
    <b:Guid>{23154118-B199-E543-AF46-EA928051B30A}</b:Guid>
    <b:Title>The utilisation of a self-evaluation instrument for primary educa- tion</b:Title>
    <b:City>Enschede</b:City>
    <b:Publisher>PrintPartners Ipskamp</b:Publisher>
    <b:Year>2007</b:Year>
    <b:Author>
      <b:Author>
        <b:NameList>
          <b:Person>
            <b:Last>Schildkamp</b:Last>
            <b:First>K</b:First>
          </b:Person>
        </b:NameList>
      </b:Author>
    </b:Author>
    <b:RefOrder>12</b:RefOrder>
  </b:Source>
  <b:Source>
    <b:Tag>Van16</b:Tag>
    <b:SourceType>JournalArticle</b:SourceType>
    <b:Guid>{3DC9CD0D-C0B5-9A40-B2F4-BBF35C4AF28F}</b:Guid>
    <b:Title>Assessing the Effects of a School-Wide Data-Based Decision-Making Intervention on Student Achievement Growth in Primary Schools</b:Title>
    <b:Year>2016</b:Year>
    <b:Author>
      <b:Author>
        <b:NameList>
          <b:Person>
            <b:Last>Van Geel</b:Last>
            <b:First>M</b:First>
          </b:Person>
          <b:Person>
            <b:Last>Keuning</b:Last>
            <b:First>T</b:First>
          </b:Person>
          <b:Person>
            <b:Last>Visscher</b:Last>
            <b:First>A</b:First>
          </b:Person>
          <b:Person>
            <b:Last>Fox</b:Last>
            <b:First>J</b:First>
          </b:Person>
        </b:NameList>
      </b:Author>
    </b:Author>
    <b:JournalName>American Educational Research Journal </b:JournalName>
    <b:Volume>53</b:Volume>
    <b:Issue>2</b:Issue>
    <b:Pages>360-394</b:Pages>
    <b:RefOrder>13</b:RefOrder>
  </b:Source>
  <b:Source>
    <b:Tag>Mar12</b:Tag>
    <b:SourceType>JournalArticle</b:SourceType>
    <b:Guid>{2D37C943-137E-7242-A9F5-88CA2B31ECF5}</b:Guid>
    <b:Author>
      <b:Author>
        <b:NameList>
          <b:Person>
            <b:Last>Marsh</b:Last>
            <b:First>J</b:First>
          </b:Person>
        </b:NameList>
      </b:Author>
    </b:Author>
    <b:Title>Interventions Promoting Educators’ Use of Data: Research Insights and Gaps</b:Title>
    <b:JournalName>Teachers College Record</b:JournalName>
    <b:Year>2012</b:Year>
    <b:Volume>114</b:Volume>
    <b:Issue>1</b:Issue>
    <b:Pages>1-48</b:Pages>
    <b:RefOrder>14</b:RefOrder>
  </b:Source>
  <b:Source>
    <b:Tag>Van17</b:Tag>
    <b:SourceType>JournalArticle</b:SourceType>
    <b:Guid>{8DB56480-B741-C742-9586-4F10D47AFDC5}</b:Guid>
    <b:Author>
      <b:Author>
        <b:NameList>
          <b:Person>
            <b:Last>Vanlommel</b:Last>
            <b:First>K</b:First>
          </b:Person>
          <b:Person>
            <b:Last>Van Gasse</b:Last>
            <b:First>R</b:First>
          </b:Person>
          <b:Person>
            <b:Last>Vanhoof</b:Last>
            <b:First>J</b:First>
          </b:Person>
          <b:Person>
            <b:Last>Van Petegem</b:Last>
            <b:First>P</b:First>
          </b:Person>
        </b:NameList>
      </b:Author>
    </b:Author>
    <b:Title>Teachers’ Decision-Making: Data Based or Intuition Driven?</b:Title>
    <b:JournalName>International Journal of Educational Research</b:JournalName>
    <b:Year>2017</b:Year>
    <b:Volume>83</b:Volume>
    <b:Pages>75-83</b:Pages>
    <b:RefOrder>15</b:RefOrder>
  </b:Source>
  <b:Source>
    <b:Tag>Bro17</b:Tag>
    <b:SourceType>JournalArticle</b:SourceType>
    <b:Guid>{D01A3CC3-26EE-964B-B50C-2F53A88ED4DE}</b:Guid>
    <b:Author>
      <b:Author>
        <b:NameList>
          <b:Person>
            <b:Last>Brown</b:Last>
            <b:First>C</b:First>
          </b:Person>
          <b:Person>
            <b:Last>Schildkamp</b:Last>
            <b:First>K</b:First>
          </b:Person>
          <b:Person>
            <b:Last>Hubers</b:Last>
            <b:First>M</b:First>
          </b:Person>
        </b:NameList>
      </b:Author>
    </b:Author>
    <b:Title>Combining the Best of Two Worlds: A Conceptual Proposal for Evidence-Informed School Improvement</b:Title>
    <b:JournalName>Educational Research </b:JournalName>
    <b:Year>2017</b:Year>
    <b:Volume>59</b:Volume>
    <b:Issue>2</b:Issue>
    <b:Pages>154-172</b:Pages>
    <b:RefOrder>16</b:RefOrder>
  </b:Source>
  <b:Source>
    <b:Tag>Dat17</b:Tag>
    <b:SourceType>JournalArticle</b:SourceType>
    <b:Guid>{772E6A0F-7E5B-A549-A2A1-E955199EEA8B}</b:Guid>
    <b:Title>Data Use for Equity: Implications for Teaching, Leadership, and Policy</b:Title>
    <b:Year>2017</b:Year>
    <b:Author>
      <b:Author>
        <b:NameList>
          <b:Person>
            <b:Last>Datnow</b:Last>
            <b:First>A</b:First>
          </b:Person>
          <b:Person>
            <b:Last>Greene</b:Last>
            <b:First>J</b:First>
          </b:Person>
          <b:Person>
            <b:Last>Gannon-Slater</b:Last>
            <b:First>N</b:First>
          </b:Person>
        </b:NameList>
      </b:Author>
    </b:Author>
    <b:JournalName>Journal of Educational Administration</b:JournalName>
    <b:Volume>55</b:Volume>
    <b:Issue>4</b:Issue>
    <b:Pages>354-360</b:Pages>
    <b:RefOrder>17</b:RefOrder>
  </b:Source>
  <b:Source>
    <b:Tag>Poo14</b:Tag>
    <b:SourceType>JournalArticle</b:SourceType>
    <b:Guid>{D5D3971A-2AC4-C744-995F-282C387964E2}</b:Guid>
    <b:Author>
      <b:Author>
        <b:NameList>
          <b:Person>
            <b:Last>Poortman</b:Last>
            <b:First>C</b:First>
          </b:Person>
          <b:Person>
            <b:Last>Schildkamp</b:Last>
            <b:First>K</b:First>
          </b:Person>
        </b:NameList>
      </b:Author>
    </b:Author>
    <b:Title>Solving Student Achievement Focused Problems with a Data Use Intervention for Teachers</b:Title>
    <b:JournalName>Teaching and Teacher Education</b:JournalName>
    <b:Year>2014</b:Year>
    <b:Volume>60</b:Volume>
    <b:Pages>425-433</b:Pages>
    <b:RefOrder>18</b:RefOrder>
  </b:Source>
  <b:Source>
    <b:Tag>Cam08</b:Tag>
    <b:SourceType>JournalArticle</b:SourceType>
    <b:Guid>{390D3C86-DCF4-5342-B626-4368E8F60562}</b:Guid>
    <b:Author>
      <b:Author>
        <b:NameList>
          <b:Person>
            <b:Last>Campbell</b:Last>
            <b:First>C</b:First>
          </b:Person>
          <b:Person>
            <b:Last>Levin</b:Last>
            <b:First>B</b:First>
          </b:Person>
        </b:NameList>
      </b:Author>
    </b:Author>
    <b:Title>Using data to support educational improvement</b:Title>
    <b:JournalName>Educational Assessment, Evaluation and Accountability</b:JournalName>
    <b:Year>2008</b:Year>
    <b:Volume>21</b:Volume>
    <b:Issue>1</b:Issue>
    <b:Pages>47-65</b:Pages>
    <b:RefOrder>19</b:RefOrder>
  </b:Source>
  <b:Source>
    <b:Tag>Boo05</b:Tag>
    <b:SourceType>JournalArticle</b:SourceType>
    <b:Guid>{0B62519F-83E2-BC4C-9061-39418A38E4FC}</b:Guid>
    <b:Author>
      <b:Author>
        <b:NameList>
          <b:Person>
            <b:Last>Booher-Jennings</b:Last>
            <b:First>J</b:First>
          </b:Person>
        </b:NameList>
      </b:Author>
    </b:Author>
    <b:Title>elow the Bubble: “Educational Triage” and the Texas Accountability System</b:Title>
    <b:JournalName>American Educational Research Journal</b:JournalName>
    <b:Year>2005</b:Year>
    <b:Volume>42</b:Volume>
    <b:Issue>2</b:Issue>
    <b:Pages>231–268</b:Pages>
    <b:RefOrder>20</b:RefOrder>
  </b:Source>
  <b:Source>
    <b:Tag>Dat18</b:Tag>
    <b:SourceType>JournalArticle</b:SourceType>
    <b:Guid>{BCE2E701-347A-1646-B034-209A6E96C5BB}</b:Guid>
    <b:Author>
      <b:Author>
        <b:NameList>
          <b:Person>
            <b:Last>Datnow</b:Last>
            <b:First>A</b:First>
          </b:Person>
          <b:Person>
            <b:Last>Park</b:Last>
            <b:First>V</b:First>
          </b:Person>
        </b:NameList>
      </b:Author>
    </b:Author>
    <b:Title>Opening or Closing Doors for Students? Equity and Data Use in Schools</b:Title>
    <b:JournalName>Journal of Educational Change </b:JournalName>
    <b:Year>2018</b:Year>
    <b:Volume>19</b:Volume>
    <b:Issue>2</b:Issue>
    <b:Pages>131–152</b:Pages>
    <b:RefOrder>21</b:RefOrder>
  </b:Source>
  <b:Source>
    <b:Tag>Far18</b:Tag>
    <b:SourceType>JournalArticle</b:SourceType>
    <b:Guid>{DD0D1656-C680-C346-AB5B-3705EBB50902}</b:Guid>
    <b:Author>
      <b:Author>
        <b:NameList>
          <b:Person>
            <b:Last>Farley-Ripple</b:Last>
            <b:First>E</b:First>
          </b:Person>
          <b:Person>
            <b:Last>May</b:Last>
            <b:First>H</b:First>
          </b:Person>
          <b:Person>
            <b:Last>Karpyn</b:Last>
            <b:First>A</b:First>
          </b:Person>
          <b:Person>
            <b:Last>Tilley</b:Last>
            <b:First>K</b:First>
          </b:Person>
          <b:Person>
            <b:Last>McDonough</b:Last>
            <b:First>K</b:First>
          </b:Person>
        </b:NameList>
      </b:Author>
    </b:Author>
    <b:Title>Rethinking Connections between Research and Practice in Education: A Conceptual Framework</b:Title>
    <b:JournalName>Educational Researcher</b:JournalName>
    <b:Year>2018</b:Year>
    <b:Volume>47</b:Volume>
    <b:Issue>4</b:Issue>
    <b:Pages>235-245</b:Pages>
    <b:RefOrder>22</b:RefOrder>
  </b:Source>
  <b:Source>
    <b:Tag>Nat19</b:Tag>
    <b:SourceType>ElectronicSource</b:SourceType>
    <b:Guid>{19C5DF54-0F4A-1C49-B3C2-A7A679E43A94}</b:Guid>
    <b:Title>First Release National reading and numeracy test results </b:Title>
    <b:Year>2019</b:Year>
    <b:Author>
      <b:Author>
        <b:Corporate>National Pupil Database</b:Corporate>
      </b:Author>
    </b:Author>
    <b:City>Cardiff</b:City>
    <b:Publisher>Welsh Government</b:Publisher>
    <b:RefOrder>34</b:RefOrder>
  </b:Source>
  <b:Source>
    <b:Tag>Loc02</b:Tag>
    <b:SourceType>JournalArticle</b:SourceType>
    <b:Guid>{8367395A-7CAC-5141-A110-6C66813DB088}</b:Guid>
    <b:Author>
      <b:Author>
        <b:NameList>
          <b:Person>
            <b:Last>Locke</b:Last>
            <b:First>E</b:First>
          </b:Person>
          <b:Person>
            <b:Last>Latham</b:Last>
            <b:First>G</b:First>
          </b:Person>
        </b:NameList>
      </b:Author>
    </b:Author>
    <b:Title>Building a practically useful theory of goal setting and task motivation: A 35-year odyssey</b:Title>
    <b:JournalName>American Psychologist</b:JournalName>
    <b:Year>2002</b:Year>
    <b:Volume>57</b:Volume>
    <b:Issue>9</b:Issue>
    <b:Pages>705-717</b:Pages>
    <b:RefOrder>36</b:RefOrder>
  </b:Source>
  <b:Source>
    <b:Tag>Kle12</b:Tag>
    <b:SourceType>JournalArticle</b:SourceType>
    <b:Guid>{7918E7CC-A77F-9240-9F55-88CE5707424E}</b:Guid>
    <b:Author>
      <b:Author>
        <b:NameList>
          <b:Person>
            <b:Last>Klenowski</b:Last>
            <b:First>V</b:First>
          </b:Person>
          <b:Person>
            <b:Last>Wyatt-Smith</b:Last>
            <b:First>C</b:First>
          </b:Person>
        </b:NameList>
      </b:Author>
    </b:Author>
    <b:Title>The impact of high stakes testing: the Australian story</b:Title>
    <b:JournalName>Assessment in Education: Principles, Policy and Practice</b:JournalName>
    <b:Year>2012</b:Year>
    <b:Volume>19</b:Volume>
    <b:Issue>1</b:Issue>
    <b:Pages>65-79</b:Pages>
    <b:RefOrder>35</b:RefOrder>
  </b:Source>
  <b:Source>
    <b:Tag>Zha07</b:Tag>
    <b:SourceType>JournalArticle</b:SourceType>
    <b:Guid>{B15DE1F5-8811-3046-A7F8-F34E3D90B8CE}</b:Guid>
    <b:Author>
      <b:Author>
        <b:NameList>
          <b:Person>
            <b:Last>Zhang</b:Last>
            <b:First>M</b:First>
          </b:Person>
        </b:NameList>
      </b:Author>
    </b:Author>
    <b:Title>Analysis on factors that affect the implementation of school development planning</b:Title>
    <b:JournalName>Journal of Jiangsu Education</b:JournalName>
    <b:Year>2007</b:Year>
    <b:Volume>12</b:Volume>
    <b:Pages>26-27</b:Pages>
    <b:RefOrder>37</b:RefOrder>
  </b:Source>
  <b:Source>
    <b:Tag>Chu07</b:Tag>
    <b:SourceType>JournalArticle</b:SourceType>
    <b:Guid>{25288199-521E-8941-B9DA-0AFDC1FA1507}</b:Guid>
    <b:Author>
      <b:Author>
        <b:NameList>
          <b:Person>
            <b:Last>Chu</b:Last>
            <b:First>J</b:First>
          </b:Person>
        </b:NameList>
      </b:Author>
    </b:Author>
    <b:Title>Changes in primary and secondary school development planning</b:Title>
    <b:JournalName>Journal of Research in Education Sciences</b:JournalName>
    <b:Year>2007</b:Year>
    <b:Volume>9</b:Volume>
    <b:Pages>9-13</b:Pages>
    <b:RefOrder>38</b:RefOrder>
  </b:Source>
  <b:Source>
    <b:Tag>Bel02</b:Tag>
    <b:SourceType>JournalArticle</b:SourceType>
    <b:Guid>{EED70056-288E-354E-A212-A146D2D9A9E0}</b:Guid>
    <b:Author>
      <b:Author>
        <b:NameList>
          <b:Person>
            <b:Last>Bell</b:Last>
            <b:First>L</b:First>
          </b:Person>
        </b:NameList>
      </b:Author>
    </b:Author>
    <b:Title>Strategic planning and school management: full of sound and fury, signifying nothing?</b:Title>
    <b:JournalName>Journal of Ediucational Administration</b:JournalName>
    <b:Year>2002</b:Year>
    <b:Volume>40</b:Volume>
    <b:Issue>5</b:Issue>
    <b:Pages>407-424</b:Pages>
    <b:RefOrder>39</b:RefOrder>
  </b:Source>
  <b:Source>
    <b:Tag>Cro09</b:Tag>
    <b:SourceType>JournalArticle</b:SourceType>
    <b:Guid>{B7D4CAEE-E883-3B4F-A508-ED8BAF22D48F}</b:Guid>
    <b:Author>
      <b:Author>
        <b:NameList>
          <b:Person>
            <b:Last>Croxford</b:Last>
            <b:First>L</b:First>
          </b:Person>
          <b:Person>
            <b:Last>Grek</b:Last>
            <b:First>S</b:First>
          </b:Person>
          <b:Person>
            <b:Last>Shaik</b:Last>
            <b:First>F</b:First>
          </b:Person>
        </b:NameList>
      </b:Author>
    </b:Author>
    <b:Title>Quality assurance and evaluation (QAE) in Scotland: Promoting self-evaluation within and beyond the country</b:Title>
    <b:JournalName>Special Issue of Journal of Education Policy</b:JournalName>
    <b:Year>2009</b:Year>
    <b:Volume>24</b:Volume>
    <b:Issue>2</b:Issue>
    <b:Pages>179-193</b:Pages>
    <b:RefOrder>33</b:RefOrder>
  </b:Source>
  <b:Source>
    <b:Tag>Che08</b:Tag>
    <b:SourceType>JournalArticle</b:SourceType>
    <b:Guid>{76B8FD2B-3E72-E944-92BC-707DB6A50623}</b:Guid>
    <b:Author>
      <b:Author>
        <b:NameList>
          <b:Person>
            <b:Last>Cheng</b:Last>
            <b:First>C</b:First>
          </b:Person>
        </b:NameList>
      </b:Author>
    </b:Author>
    <b:Title>Management practices for promoting shared decision-making in school organization</b:Title>
    <b:JournalName>KEDI Journal of Educational Policy</b:JournalName>
    <b:Year>2008</b:Year>
    <b:Volume>5</b:Volume>
    <b:Issue>2</b:Issue>
    <b:Pages>63-88</b:Pages>
    <b:RefOrder>40</b:RefOrder>
  </b:Source>
  <b:Source>
    <b:Tag>Dat15</b:Tag>
    <b:SourceType>JournalArticle</b:SourceType>
    <b:Guid>{27878A48-1FD0-2540-B090-CEBAF80D3ED3}</b:Guid>
    <b:Author>
      <b:Author>
        <b:NameList>
          <b:Person>
            <b:Last>Datnow</b:Last>
            <b:First>A</b:First>
          </b:Person>
          <b:Person>
            <b:Last>Hubbard</b:Last>
            <b:First>L</b:First>
          </b:Person>
        </b:NameList>
      </b:Author>
    </b:Author>
    <b:Title>Teachers’ Use of Assessment Data to Inform Instruction: Lessons from the past and Prospects for the Future</b:Title>
    <b:JournalName>Teachers College Record</b:JournalName>
    <b:Year>2015</b:Year>
    <b:Volume>117</b:Volume>
    <b:Issue>4</b:Issue>
    <b:RefOrder>41</b:RefOrder>
  </b:Source>
  <b:Source>
    <b:Tag>Par13</b:Tag>
    <b:SourceType>JournalArticle</b:SourceType>
    <b:Guid>{79CB7B04-50F9-7547-A092-C65AB491B72E}</b:Guid>
    <b:Author>
      <b:Author>
        <b:NameList>
          <b:Person>
            <b:Last>Park</b:Last>
            <b:First>V</b:First>
          </b:Person>
          <b:Person>
            <b:Last>Daly</b:Last>
            <b:First>A</b:First>
          </b:Person>
          <b:Person>
            <b:Last>Guerra</b:Last>
            <b:First>A</b:First>
          </b:Person>
        </b:NameList>
      </b:Author>
    </b:Author>
    <b:Title>Strategic Framing: How Leaders Craft the Meaning of Data Use for Equity and Learning</b:Title>
    <b:JournalName>Educational Policy</b:JournalName>
    <b:Year>2013</b:Year>
    <b:Volume>27</b:Volume>
    <b:Issue>4</b:Issue>
    <b:Pages>645-675</b:Pages>
    <b:RefOrder>42</b:RefOrder>
  </b:Source>
  <b:Source>
    <b:Tag>Wel16</b:Tag>
    <b:SourceType>DocumentFromInternetSite</b:SourceType>
    <b:Guid>{39A7EF53-7686-B846-BFC4-595BC327E994}</b:Guid>
    <b:Title>National Literacy and Numeracy Programme - a strategic action plan</b:Title>
    <b:Year>2016</b:Year>
    <b:Author>
      <b:Author>
        <b:Corporate>Welsh Government</b:Corporate>
      </b:Author>
    </b:Author>
    <b:URL>https://gov.wales/sites/default/files/publications/2018-11/national-literacy-and-numeracy-programme-a-strategic-action-plan.pdf</b:URL>
    <b:YearAccessed>2020</b:YearAccessed>
    <b:MonthAccessed>April</b:MonthAccessed>
    <b:DayAccessed>9</b:DayAccessed>
    <b:RefOrder>31</b:RefOrder>
  </b:Source>
  <b:Source>
    <b:Tag>Doi01</b:Tag>
    <b:SourceType>DocumentFromInternetSite</b:SourceType>
    <b:Guid>{13AB9BD2-2363-1147-83CA-9996A06B385F}</b:Guid>
    <b:Author>
      <b:Author>
        <b:NameList>
          <b:Person>
            <b:Last>Doig</b:Last>
            <b:First>B</b:First>
          </b:Person>
        </b:NameList>
      </b:Author>
    </b:Author>
    <b:Title>Summing Up : Australian Numeracy Performances, Practices, Programs And Possibilities</b:Title>
    <b:Year>2001</b:Year>
    <b:URL>https://research.acer.edu.au/cgi/viewcontent.cgi?article=1000&amp;context=literacy_numeracy_reviews</b:URL>
    <b:YearAccessed>2020</b:YearAccessed>
    <b:MonthAccessed>April</b:MonthAccessed>
    <b:DayAccessed>10</b:DayAccessed>
    <b:RefOrder>32</b:RefOrder>
  </b:Source>
</b:Sources>
</file>

<file path=customXml/itemProps1.xml><?xml version="1.0" encoding="utf-8"?>
<ds:datastoreItem xmlns:ds="http://schemas.openxmlformats.org/officeDocument/2006/customXml" ds:itemID="{9848ABBD-B762-9D44-A987-8944BC3D39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3927</Words>
  <Characters>22075</Characters>
  <Application>Microsoft Office Word</Application>
  <DocSecurity>0</DocSecurity>
  <Lines>344</Lines>
  <Paragraphs>41</Paragraphs>
  <ScaleCrop>false</ScaleCrop>
  <Company/>
  <LinksUpToDate>false</LinksUpToDate>
  <CharactersWithSpaces>25961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2020-04-11T13:25:00Z</dcterms:created>
  <dcterms:modified xsi:type="dcterms:W3CDTF">2020-04-11T13:25:00Z</dcterms:modified>
</cp:coreProperties>
</file>