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6FD58" w14:textId="18E1063A" w:rsidR="002B2F36" w:rsidRPr="00802A72" w:rsidRDefault="002B2F36" w:rsidP="00A751C0">
      <w:pPr>
        <w:pStyle w:val="NormalWeb"/>
        <w:spacing w:line="360" w:lineRule="auto"/>
        <w:jc w:val="center"/>
        <w:rPr>
          <w:rFonts w:ascii="Arial" w:hAnsi="Arial" w:cs="Arial"/>
          <w:color w:val="000000"/>
          <w:sz w:val="32"/>
          <w:szCs w:val="32"/>
        </w:rPr>
      </w:pPr>
      <w:r w:rsidRPr="00802A72">
        <w:rPr>
          <w:rFonts w:ascii="Arial" w:hAnsi="Arial" w:cs="Arial"/>
          <w:color w:val="000000"/>
          <w:sz w:val="32"/>
          <w:szCs w:val="32"/>
        </w:rPr>
        <w:t>NAME: ELIZABETH MCMAHON 2322757</w:t>
      </w:r>
    </w:p>
    <w:p w14:paraId="2B6212E1" w14:textId="12EE73BC" w:rsidR="002B2F36" w:rsidRPr="00802A72" w:rsidRDefault="002B2F36" w:rsidP="00A751C0">
      <w:pPr>
        <w:pStyle w:val="NormalWeb"/>
        <w:spacing w:line="360" w:lineRule="auto"/>
        <w:jc w:val="center"/>
        <w:rPr>
          <w:rFonts w:ascii="Arial" w:hAnsi="Arial" w:cs="Arial"/>
          <w:color w:val="000000"/>
          <w:sz w:val="32"/>
          <w:szCs w:val="32"/>
        </w:rPr>
      </w:pPr>
      <w:r w:rsidRPr="00802A72">
        <w:rPr>
          <w:rFonts w:ascii="Arial" w:hAnsi="Arial" w:cs="Arial"/>
          <w:color w:val="000000"/>
          <w:sz w:val="32"/>
          <w:szCs w:val="32"/>
        </w:rPr>
        <w:t>BMHP5021 COMPONENT 1</w:t>
      </w:r>
    </w:p>
    <w:p w14:paraId="13829231" w14:textId="63CF8BD7" w:rsidR="002B2F36" w:rsidRPr="00802A72" w:rsidRDefault="002B2F36" w:rsidP="00A751C0">
      <w:pPr>
        <w:pStyle w:val="NormalWeb"/>
        <w:spacing w:line="360" w:lineRule="auto"/>
        <w:jc w:val="center"/>
        <w:rPr>
          <w:rFonts w:ascii="Arial" w:hAnsi="Arial" w:cs="Arial"/>
          <w:color w:val="000000"/>
          <w:sz w:val="32"/>
          <w:szCs w:val="32"/>
        </w:rPr>
      </w:pPr>
      <w:r w:rsidRPr="00802A72">
        <w:rPr>
          <w:rFonts w:ascii="Arial" w:hAnsi="Arial" w:cs="Arial"/>
          <w:color w:val="000000"/>
          <w:sz w:val="32"/>
          <w:szCs w:val="32"/>
        </w:rPr>
        <w:t>INDIVIDUAL REFERENCE LIST:</w:t>
      </w:r>
    </w:p>
    <w:p w14:paraId="131B8052" w14:textId="1F470CBD" w:rsidR="00802A72" w:rsidRPr="00AD441E" w:rsidRDefault="00802A72" w:rsidP="00AD441E">
      <w:pPr>
        <w:pStyle w:val="NormalWeb"/>
        <w:spacing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802A72">
        <w:rPr>
          <w:rFonts w:ascii="Arial" w:hAnsi="Arial" w:cs="Arial"/>
          <w:color w:val="000000"/>
          <w:sz w:val="32"/>
          <w:szCs w:val="32"/>
        </w:rPr>
        <w:t>Tutor Precious Igbinigie</w:t>
      </w:r>
    </w:p>
    <w:p w14:paraId="4C2CCC5D" w14:textId="5AEF2BCB" w:rsidR="00A751C0" w:rsidRDefault="00A751C0" w:rsidP="00A751C0">
      <w:pPr>
        <w:pStyle w:val="NormalWeb"/>
        <w:spacing w:line="36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GROUP 1 POLICE OFFICER</w:t>
      </w:r>
    </w:p>
    <w:p w14:paraId="7605649D" w14:textId="2B230A59" w:rsidR="00A751C0" w:rsidRPr="00802A72" w:rsidRDefault="00A751C0" w:rsidP="00A751C0">
      <w:pPr>
        <w:pStyle w:val="NormalWeb"/>
        <w:spacing w:line="36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THEO CASE STUDY</w:t>
      </w:r>
    </w:p>
    <w:p w14:paraId="0B2CD4AA" w14:textId="77777777" w:rsidR="00B64D09" w:rsidRPr="00802A72" w:rsidRDefault="00B64D09" w:rsidP="008C1716">
      <w:pPr>
        <w:pStyle w:val="NormalWeb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C7B0998" w14:textId="77777777" w:rsidR="002B2F36" w:rsidRPr="00AD441E" w:rsidRDefault="002B2F36" w:rsidP="00AD441E">
      <w:pPr>
        <w:pStyle w:val="NormalWeb"/>
        <w:spacing w:line="360" w:lineRule="auto"/>
        <w:ind w:left="72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AD441E">
        <w:rPr>
          <w:rFonts w:ascii="Arial" w:hAnsi="Arial" w:cs="Arial"/>
          <w:b/>
          <w:bCs/>
          <w:color w:val="000000"/>
          <w:sz w:val="22"/>
          <w:szCs w:val="22"/>
        </w:rPr>
        <w:t>References</w:t>
      </w:r>
    </w:p>
    <w:p w14:paraId="003A7B1A" w14:textId="6868E629" w:rsidR="003C7F38" w:rsidRPr="00AD441E" w:rsidRDefault="003C7F38" w:rsidP="00AD441E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AD441E">
        <w:rPr>
          <w:rFonts w:ascii="Arial" w:hAnsi="Arial" w:cs="Arial"/>
          <w:sz w:val="22"/>
          <w:szCs w:val="22"/>
        </w:rPr>
        <w:t xml:space="preserve">UK Legislation. “Legislation.gov.uk.” </w:t>
      </w:r>
      <w:r w:rsidRPr="00AD441E">
        <w:rPr>
          <w:rFonts w:ascii="Arial" w:hAnsi="Arial" w:cs="Arial"/>
          <w:i/>
          <w:iCs/>
          <w:sz w:val="22"/>
          <w:szCs w:val="22"/>
        </w:rPr>
        <w:t>Legislation.gov.uk</w:t>
      </w:r>
      <w:r w:rsidRPr="00AD441E">
        <w:rPr>
          <w:rFonts w:ascii="Arial" w:hAnsi="Arial" w:cs="Arial"/>
          <w:sz w:val="22"/>
          <w:szCs w:val="22"/>
        </w:rPr>
        <w:t xml:space="preserve">, </w:t>
      </w:r>
      <w:hyperlink r:id="rId5" w:history="1">
        <w:r w:rsidRPr="00AD441E">
          <w:rPr>
            <w:rStyle w:val="Hyperlink"/>
            <w:rFonts w:ascii="Arial" w:hAnsi="Arial" w:cs="Arial"/>
            <w:sz w:val="22"/>
            <w:szCs w:val="22"/>
          </w:rPr>
          <w:t>www.legislation.gov.uk/.(accessed</w:t>
        </w:r>
      </w:hyperlink>
      <w:r w:rsidRPr="00AD441E">
        <w:rPr>
          <w:rFonts w:ascii="Arial" w:hAnsi="Arial" w:cs="Arial"/>
          <w:sz w:val="22"/>
          <w:szCs w:val="22"/>
        </w:rPr>
        <w:t xml:space="preserve"> </w:t>
      </w:r>
      <w:r w:rsidR="00C36D4C" w:rsidRPr="00AD441E">
        <w:rPr>
          <w:rFonts w:ascii="Arial" w:hAnsi="Arial" w:cs="Arial"/>
          <w:sz w:val="22"/>
          <w:szCs w:val="22"/>
        </w:rPr>
        <w:t>-3-6-26)</w:t>
      </w:r>
    </w:p>
    <w:p w14:paraId="147F574D" w14:textId="78684CBC" w:rsidR="002B2F36" w:rsidRPr="00AD441E" w:rsidRDefault="002B2F36" w:rsidP="00AD441E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D441E">
        <w:rPr>
          <w:rFonts w:ascii="Arial" w:hAnsi="Arial" w:cs="Arial"/>
          <w:color w:val="000000"/>
          <w:sz w:val="22"/>
          <w:szCs w:val="22"/>
        </w:rPr>
        <w:t xml:space="preserve">Children Act 2004. London: The Stationery </w:t>
      </w:r>
      <w:proofErr w:type="gramStart"/>
      <w:r w:rsidRPr="00AD441E">
        <w:rPr>
          <w:rFonts w:ascii="Arial" w:hAnsi="Arial" w:cs="Arial"/>
          <w:color w:val="000000"/>
          <w:sz w:val="22"/>
          <w:szCs w:val="22"/>
        </w:rPr>
        <w:t>Office</w:t>
      </w:r>
      <w:r w:rsidR="00213A8F" w:rsidRPr="00AD441E">
        <w:rPr>
          <w:rFonts w:ascii="Arial" w:hAnsi="Arial" w:cs="Arial"/>
          <w:color w:val="000000"/>
          <w:sz w:val="22"/>
          <w:szCs w:val="22"/>
        </w:rPr>
        <w:t xml:space="preserve"> </w:t>
      </w:r>
      <w:r w:rsidRPr="00AD441E">
        <w:rPr>
          <w:rFonts w:ascii="Arial" w:hAnsi="Arial" w:cs="Arial"/>
          <w:color w:val="000000"/>
          <w:sz w:val="22"/>
          <w:szCs w:val="22"/>
        </w:rPr>
        <w:t>.</w:t>
      </w:r>
      <w:r w:rsidR="00426B92" w:rsidRPr="00AD441E">
        <w:rPr>
          <w:rFonts w:ascii="Arial" w:hAnsi="Arial" w:cs="Arial"/>
          <w:color w:val="222222"/>
          <w:sz w:val="22"/>
          <w:szCs w:val="22"/>
          <w:shd w:val="clear" w:color="auto" w:fill="FFFFFF"/>
        </w:rPr>
        <w:t>Pentaris</w:t>
      </w:r>
      <w:proofErr w:type="gramEnd"/>
      <w:r w:rsidR="00426B92" w:rsidRPr="00AD441E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P. and </w:t>
      </w:r>
      <w:proofErr w:type="spellStart"/>
      <w:r w:rsidR="00426B92" w:rsidRPr="00AD441E">
        <w:rPr>
          <w:rFonts w:ascii="Arial" w:hAnsi="Arial" w:cs="Arial"/>
          <w:color w:val="222222"/>
          <w:sz w:val="22"/>
          <w:szCs w:val="22"/>
          <w:shd w:val="clear" w:color="auto" w:fill="FFFFFF"/>
        </w:rPr>
        <w:t>Oresanya</w:t>
      </w:r>
      <w:proofErr w:type="spellEnd"/>
      <w:r w:rsidR="00426B92" w:rsidRPr="00AD441E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A., 2021. Child protection vocabulary in the Children Act 1989: power, ambiguity and </w:t>
      </w:r>
      <w:proofErr w:type="spellStart"/>
      <w:r w:rsidR="00426B92" w:rsidRPr="00AD441E">
        <w:rPr>
          <w:rFonts w:ascii="Arial" w:hAnsi="Arial" w:cs="Arial"/>
          <w:color w:val="222222"/>
          <w:sz w:val="22"/>
          <w:szCs w:val="22"/>
          <w:shd w:val="clear" w:color="auto" w:fill="FFFFFF"/>
        </w:rPr>
        <w:t>heerogeneity</w:t>
      </w:r>
      <w:proofErr w:type="spellEnd"/>
      <w:r w:rsidR="00426B92" w:rsidRPr="00AD441E">
        <w:rPr>
          <w:rFonts w:ascii="Arial" w:hAnsi="Arial" w:cs="Arial"/>
          <w:color w:val="222222"/>
          <w:sz w:val="22"/>
          <w:szCs w:val="22"/>
          <w:shd w:val="clear" w:color="auto" w:fill="FFFFFF"/>
        </w:rPr>
        <w:t>. </w:t>
      </w:r>
      <w:r w:rsidR="00426B92" w:rsidRPr="00AD441E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Greenwich Social Work Review</w:t>
      </w:r>
      <w:r w:rsidR="00426B92" w:rsidRPr="00AD441E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="00426B92" w:rsidRPr="00AD441E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</w:t>
      </w:r>
      <w:r w:rsidR="00426B92" w:rsidRPr="00AD441E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pp.181-191.</w:t>
      </w:r>
    </w:p>
    <w:p w14:paraId="206B79FC" w14:textId="7F977A21" w:rsidR="002B2F36" w:rsidRPr="00AD441E" w:rsidRDefault="002B2F36" w:rsidP="00AD441E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D441E">
        <w:rPr>
          <w:rFonts w:ascii="Arial" w:hAnsi="Arial" w:cs="Arial"/>
          <w:color w:val="000000"/>
          <w:sz w:val="22"/>
          <w:szCs w:val="22"/>
        </w:rPr>
        <w:t xml:space="preserve">Domestic Abuse Act 2021. London: The Stationery </w:t>
      </w:r>
      <w:r w:rsidR="00213A8F" w:rsidRPr="00AD441E">
        <w:rPr>
          <w:rFonts w:ascii="Arial" w:hAnsi="Arial" w:cs="Arial"/>
          <w:color w:val="000000"/>
          <w:sz w:val="22"/>
          <w:szCs w:val="22"/>
        </w:rPr>
        <w:t>Office.</w:t>
      </w:r>
      <w:r w:rsidR="00213A8F" w:rsidRPr="00AD441E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Barrow-Grint, K., Sebire, J., Turton, J. and Weir, R., 2022. </w:t>
      </w:r>
      <w:r w:rsidR="00213A8F" w:rsidRPr="00AD441E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Policing domestic abuse: Risk, policy, and practice</w:t>
      </w:r>
      <w:r w:rsidR="00213A8F" w:rsidRPr="00AD441E">
        <w:rPr>
          <w:rFonts w:ascii="Arial" w:hAnsi="Arial" w:cs="Arial"/>
          <w:color w:val="222222"/>
          <w:sz w:val="22"/>
          <w:szCs w:val="22"/>
          <w:shd w:val="clear" w:color="auto" w:fill="FFFFFF"/>
        </w:rPr>
        <w:t>. Routledge.</w:t>
      </w:r>
    </w:p>
    <w:p w14:paraId="10B2321A" w14:textId="71355379" w:rsidR="002B2F36" w:rsidRPr="00AD441E" w:rsidRDefault="002B2F36" w:rsidP="00AD441E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D441E">
        <w:rPr>
          <w:rFonts w:ascii="Arial" w:hAnsi="Arial" w:cs="Arial"/>
          <w:color w:val="000000"/>
          <w:sz w:val="22"/>
          <w:szCs w:val="22"/>
        </w:rPr>
        <w:t>NSPCC, 2023. Parents with substance misuse problems: learning from case reviews. London: NSPCC.</w:t>
      </w:r>
      <w:r w:rsidR="00213A8F" w:rsidRPr="00AD441E">
        <w:rPr>
          <w:rFonts w:ascii="Arial" w:hAnsi="Arial" w:cs="Arial"/>
          <w:color w:val="000000"/>
          <w:sz w:val="22"/>
          <w:szCs w:val="22"/>
        </w:rPr>
        <w:t xml:space="preserve"> </w:t>
      </w:r>
      <w:r w:rsidR="00213A8F" w:rsidRPr="00AD441E">
        <w:rPr>
          <w:rFonts w:ascii="Arial" w:hAnsi="Arial" w:cs="Arial"/>
          <w:color w:val="222222"/>
          <w:sz w:val="22"/>
          <w:szCs w:val="22"/>
          <w:shd w:val="clear" w:color="auto" w:fill="FFFFFF"/>
        </w:rPr>
        <w:t>Hall, A., 2026. The impact of substance abuse on infant and family mental health and wellbeing. In </w:t>
      </w:r>
      <w:r w:rsidR="00213A8F" w:rsidRPr="00AD441E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Promoting Infant and Family Mental Health and Wellbeing</w:t>
      </w:r>
      <w:r w:rsidR="00213A8F" w:rsidRPr="00AD441E">
        <w:rPr>
          <w:rFonts w:ascii="Arial" w:hAnsi="Arial" w:cs="Arial"/>
          <w:color w:val="222222"/>
          <w:sz w:val="22"/>
          <w:szCs w:val="22"/>
          <w:shd w:val="clear" w:color="auto" w:fill="FFFFFF"/>
        </w:rPr>
        <w:t> (pp. 195-212). Routledge.</w:t>
      </w:r>
    </w:p>
    <w:p w14:paraId="30A19524" w14:textId="25D0432B" w:rsidR="002B2F36" w:rsidRPr="00AD441E" w:rsidRDefault="002B2F36" w:rsidP="00AD441E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D441E">
        <w:rPr>
          <w:rFonts w:ascii="Arial" w:hAnsi="Arial" w:cs="Arial"/>
          <w:color w:val="000000"/>
          <w:sz w:val="22"/>
          <w:szCs w:val="22"/>
        </w:rPr>
        <w:t xml:space="preserve">Ofsted, 2022. Children’s social care 2022: recovering from the COVID-19 pandemic. London: </w:t>
      </w:r>
      <w:r w:rsidR="00213A8F" w:rsidRPr="00AD441E">
        <w:rPr>
          <w:rFonts w:ascii="Arial" w:hAnsi="Arial" w:cs="Arial"/>
          <w:color w:val="000000"/>
          <w:sz w:val="22"/>
          <w:szCs w:val="22"/>
        </w:rPr>
        <w:t>Ofsted.</w:t>
      </w:r>
      <w:r w:rsidR="00213A8F" w:rsidRPr="00AD441E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Glasper, E.A., 2022. The Covid-19 Pandemic’s Forgotten Children. </w:t>
      </w:r>
      <w:r w:rsidR="00213A8F" w:rsidRPr="00AD441E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Comprehensive Child and Adolescent Nursing</w:t>
      </w:r>
      <w:r w:rsidR="00213A8F" w:rsidRPr="00AD441E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="00213A8F" w:rsidRPr="00AD441E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45</w:t>
      </w:r>
      <w:r w:rsidR="00213A8F" w:rsidRPr="00AD441E">
        <w:rPr>
          <w:rFonts w:ascii="Arial" w:hAnsi="Arial" w:cs="Arial"/>
          <w:color w:val="222222"/>
          <w:sz w:val="22"/>
          <w:szCs w:val="22"/>
          <w:shd w:val="clear" w:color="auto" w:fill="FFFFFF"/>
        </w:rPr>
        <w:t>(3), pp.227-229.</w:t>
      </w:r>
    </w:p>
    <w:p w14:paraId="41E35D25" w14:textId="41AD85FD" w:rsidR="002B2F36" w:rsidRPr="00AD441E" w:rsidRDefault="002B2F36" w:rsidP="00AD441E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D441E">
        <w:rPr>
          <w:rFonts w:ascii="Arial" w:hAnsi="Arial" w:cs="Arial"/>
          <w:color w:val="000000"/>
          <w:sz w:val="22"/>
          <w:szCs w:val="22"/>
        </w:rPr>
        <w:t>The Child Safeguarding Practice Review Panel, 2022. Multi-agency safeguarding and domestic abuse: Panel Briefing 2. London: CSPRP.</w:t>
      </w:r>
      <w:r w:rsidR="00213A8F" w:rsidRPr="00AD441E">
        <w:rPr>
          <w:rFonts w:ascii="Arial" w:hAnsi="Arial" w:cs="Arial"/>
          <w:color w:val="000000"/>
          <w:sz w:val="22"/>
          <w:szCs w:val="22"/>
        </w:rPr>
        <w:t xml:space="preserve"> </w:t>
      </w:r>
      <w:r w:rsidR="00213A8F" w:rsidRPr="00AD441E">
        <w:rPr>
          <w:rFonts w:ascii="Arial" w:hAnsi="Arial" w:cs="Arial"/>
          <w:color w:val="222222"/>
          <w:sz w:val="22"/>
          <w:szCs w:val="22"/>
          <w:shd w:val="clear" w:color="auto" w:fill="FFFFFF"/>
        </w:rPr>
        <w:t>Sharley, V. and Rees, A., 2023. </w:t>
      </w:r>
      <w:r w:rsidR="00213A8F" w:rsidRPr="00AD441E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Working with children who have experienced neglect</w:t>
      </w:r>
      <w:r w:rsidR="00213A8F" w:rsidRPr="00AD441E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. </w:t>
      </w:r>
      <w:proofErr w:type="spellStart"/>
      <w:r w:rsidR="00213A8F" w:rsidRPr="00AD441E">
        <w:rPr>
          <w:rFonts w:ascii="Arial" w:hAnsi="Arial" w:cs="Arial"/>
          <w:color w:val="222222"/>
          <w:sz w:val="22"/>
          <w:szCs w:val="22"/>
          <w:shd w:val="clear" w:color="auto" w:fill="FFFFFF"/>
        </w:rPr>
        <w:t>CoramBAAF</w:t>
      </w:r>
      <w:proofErr w:type="spellEnd"/>
      <w:r w:rsidR="00213A8F" w:rsidRPr="00AD441E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</w:p>
    <w:p w14:paraId="25079677" w14:textId="3BC3A8FB" w:rsidR="000043A4" w:rsidRPr="00AD441E" w:rsidRDefault="00371A24" w:rsidP="00AD441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AD441E">
        <w:rPr>
          <w:rFonts w:ascii="Arial" w:hAnsi="Arial" w:cs="Arial"/>
          <w:color w:val="222222"/>
          <w:shd w:val="clear" w:color="auto" w:fill="FFFFFF"/>
        </w:rPr>
        <w:t>Freeman, M., 2009. Children’s rights as human rights: Reading the UNCRC. In </w:t>
      </w:r>
      <w:r w:rsidRPr="00AD441E">
        <w:rPr>
          <w:rFonts w:ascii="Arial" w:hAnsi="Arial" w:cs="Arial"/>
          <w:i/>
          <w:iCs/>
          <w:color w:val="222222"/>
          <w:shd w:val="clear" w:color="auto" w:fill="FFFFFF"/>
        </w:rPr>
        <w:t>The Palgrave handbook of childhood studies</w:t>
      </w:r>
      <w:r w:rsidRPr="00AD441E">
        <w:rPr>
          <w:rFonts w:ascii="Arial" w:hAnsi="Arial" w:cs="Arial"/>
          <w:color w:val="222222"/>
          <w:shd w:val="clear" w:color="auto" w:fill="FFFFFF"/>
        </w:rPr>
        <w:t> (pp. 377-393). London: Palgrave Macmillan UK.</w:t>
      </w:r>
    </w:p>
    <w:p w14:paraId="5531FBCD" w14:textId="350EE545" w:rsidR="00802A72" w:rsidRPr="00AD441E" w:rsidRDefault="00802A72" w:rsidP="00AD441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AD441E">
        <w:rPr>
          <w:rFonts w:ascii="Arial" w:hAnsi="Arial" w:cs="Arial"/>
          <w:color w:val="222222"/>
          <w:shd w:val="clear" w:color="auto" w:fill="FFFFFF"/>
        </w:rPr>
        <w:t xml:space="preserve">Broadhurst, K., Mason, C. and Grover, C., 2007. </w:t>
      </w:r>
      <w:proofErr w:type="gramStart"/>
      <w:r w:rsidRPr="00AD441E">
        <w:rPr>
          <w:rFonts w:ascii="Arial" w:hAnsi="Arial" w:cs="Arial"/>
          <w:color w:val="222222"/>
          <w:shd w:val="clear" w:color="auto" w:fill="FFFFFF"/>
        </w:rPr>
        <w:t>Sure</w:t>
      </w:r>
      <w:proofErr w:type="gramEnd"/>
      <w:r w:rsidRPr="00AD441E">
        <w:rPr>
          <w:rFonts w:ascii="Arial" w:hAnsi="Arial" w:cs="Arial"/>
          <w:color w:val="222222"/>
          <w:shd w:val="clear" w:color="auto" w:fill="FFFFFF"/>
        </w:rPr>
        <w:t xml:space="preserve"> Start and there-</w:t>
      </w:r>
      <w:proofErr w:type="spellStart"/>
      <w:r w:rsidRPr="00AD441E">
        <w:rPr>
          <w:rFonts w:ascii="Arial" w:hAnsi="Arial" w:cs="Arial"/>
          <w:color w:val="222222"/>
          <w:shd w:val="clear" w:color="auto" w:fill="FFFFFF"/>
        </w:rPr>
        <w:t>authorization'of</w:t>
      </w:r>
      <w:proofErr w:type="spellEnd"/>
      <w:r w:rsidRPr="00AD441E">
        <w:rPr>
          <w:rFonts w:ascii="Arial" w:hAnsi="Arial" w:cs="Arial"/>
          <w:color w:val="222222"/>
          <w:shd w:val="clear" w:color="auto" w:fill="FFFFFF"/>
        </w:rPr>
        <w:t xml:space="preserve"> Section 47 child protection practices. </w:t>
      </w:r>
      <w:r w:rsidRPr="00AD441E">
        <w:rPr>
          <w:rFonts w:ascii="Arial" w:hAnsi="Arial" w:cs="Arial"/>
          <w:i/>
          <w:iCs/>
          <w:color w:val="222222"/>
          <w:shd w:val="clear" w:color="auto" w:fill="FFFFFF"/>
        </w:rPr>
        <w:t>Critical Social Policy</w:t>
      </w:r>
      <w:r w:rsidRPr="00AD441E">
        <w:rPr>
          <w:rFonts w:ascii="Arial" w:hAnsi="Arial" w:cs="Arial"/>
          <w:color w:val="222222"/>
          <w:shd w:val="clear" w:color="auto" w:fill="FFFFFF"/>
        </w:rPr>
        <w:t>, </w:t>
      </w:r>
      <w:r w:rsidRPr="00AD441E">
        <w:rPr>
          <w:rFonts w:ascii="Arial" w:hAnsi="Arial" w:cs="Arial"/>
          <w:i/>
          <w:iCs/>
          <w:color w:val="222222"/>
          <w:shd w:val="clear" w:color="auto" w:fill="FFFFFF"/>
        </w:rPr>
        <w:t>27</w:t>
      </w:r>
      <w:r w:rsidRPr="00AD441E">
        <w:rPr>
          <w:rFonts w:ascii="Arial" w:hAnsi="Arial" w:cs="Arial"/>
          <w:color w:val="222222"/>
          <w:shd w:val="clear" w:color="auto" w:fill="FFFFFF"/>
        </w:rPr>
        <w:t>(4), pp.443-461.</w:t>
      </w:r>
    </w:p>
    <w:sectPr w:rsidR="00802A72" w:rsidRPr="00AD44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15952"/>
    <w:multiLevelType w:val="hybridMultilevel"/>
    <w:tmpl w:val="BA1657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8D26A3"/>
    <w:multiLevelType w:val="hybridMultilevel"/>
    <w:tmpl w:val="E38AE626"/>
    <w:lvl w:ilvl="0" w:tplc="C1543260"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9559696">
    <w:abstractNumId w:val="0"/>
  </w:num>
  <w:num w:numId="2" w16cid:durableId="1156995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F36"/>
    <w:rsid w:val="000043A4"/>
    <w:rsid w:val="00213A8F"/>
    <w:rsid w:val="002B2F36"/>
    <w:rsid w:val="00371A24"/>
    <w:rsid w:val="003C7F38"/>
    <w:rsid w:val="00426B92"/>
    <w:rsid w:val="004B17DF"/>
    <w:rsid w:val="006223AC"/>
    <w:rsid w:val="006E09B9"/>
    <w:rsid w:val="00802A72"/>
    <w:rsid w:val="00892BDB"/>
    <w:rsid w:val="008C1716"/>
    <w:rsid w:val="008C6BF0"/>
    <w:rsid w:val="008F2333"/>
    <w:rsid w:val="009662E3"/>
    <w:rsid w:val="00A7121A"/>
    <w:rsid w:val="00A751C0"/>
    <w:rsid w:val="00AD441E"/>
    <w:rsid w:val="00B270BA"/>
    <w:rsid w:val="00B64D09"/>
    <w:rsid w:val="00C36D4C"/>
    <w:rsid w:val="00CB62E0"/>
    <w:rsid w:val="00DA1CB3"/>
    <w:rsid w:val="00E01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3F28E"/>
  <w15:chartTrackingRefBased/>
  <w15:docId w15:val="{A5E5C4A0-FF04-4ED6-AAFE-EB00ECE97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2F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2F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2F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2F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2F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2F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2F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2F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2F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2F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2F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2F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2F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2F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2F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2F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2F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2F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2F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2F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2F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2F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2F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2F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2F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2F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2F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2F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2F3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B2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3C7F3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7F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egislation.gov.uk/.(accesse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McMahon (2322757)</dc:creator>
  <cp:keywords/>
  <dc:description/>
  <cp:lastModifiedBy>Elizabeth McMahon (2322757)</cp:lastModifiedBy>
  <cp:revision>11</cp:revision>
  <dcterms:created xsi:type="dcterms:W3CDTF">2026-06-10T07:01:00Z</dcterms:created>
  <dcterms:modified xsi:type="dcterms:W3CDTF">2026-06-17T08:46:00Z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2a6580c1-9bf9-4541-a85f-b7e9f06571ac</vt:lpwstr>
  </property>
</Properties>
</file>