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12D4033">
      <w:pPr>
        <w:pStyle w:val="15"/>
        <w:jc w:val="both"/>
      </w:pPr>
    </w:p>
    <w:p w14:paraId="5004D5BE">
      <w:pPr>
        <w:pStyle w:val="15"/>
        <w:jc w:val="both"/>
      </w:pPr>
      <w:r>
        <w:t xml:space="preserve"> </w:t>
      </w:r>
    </w:p>
    <w:p w14:paraId="6488C578">
      <w:pPr>
        <w:pStyle w:val="15"/>
        <w:jc w:val="center"/>
      </w:pPr>
      <w:r>
        <w:t xml:space="preserve"> </w:t>
      </w:r>
    </w:p>
    <w:p w14:paraId="6E0C7890">
      <w:pPr>
        <w:pStyle w:val="15"/>
        <w:jc w:val="center"/>
      </w:pPr>
      <w:r>
        <w:t xml:space="preserve"> </w:t>
      </w:r>
    </w:p>
    <w:p w14:paraId="6F7A22B2">
      <w:pPr>
        <w:pStyle w:val="15"/>
        <w:jc w:val="center"/>
      </w:pPr>
      <w:r>
        <w:t xml:space="preserve"> </w:t>
      </w:r>
    </w:p>
    <w:p w14:paraId="3B920691">
      <w:pPr>
        <w:pStyle w:val="15"/>
        <w:jc w:val="center"/>
      </w:pPr>
      <w:r>
        <w:t xml:space="preserve"> </w:t>
      </w:r>
    </w:p>
    <w:p w14:paraId="6C12C4E9">
      <w:pPr>
        <w:pStyle w:val="15"/>
        <w:jc w:val="center"/>
      </w:pPr>
      <w:r>
        <w:t xml:space="preserve"> </w:t>
      </w:r>
    </w:p>
    <w:p w14:paraId="27190F7D">
      <w:pPr>
        <w:pStyle w:val="15"/>
        <w:jc w:val="center"/>
        <w:rPr>
          <w:rFonts w:ascii="Calibri" w:hAnsi="Calibri" w:eastAsia="Calibri" w:cs="Calibri"/>
          <w:sz w:val="44"/>
          <w:szCs w:val="44"/>
        </w:rPr>
      </w:pPr>
      <w:r>
        <w:rPr>
          <w:rFonts w:ascii="Calibri" w:hAnsi="Calibri"/>
          <w:sz w:val="44"/>
          <w:szCs w:val="44"/>
          <w:lang w:val="en-US"/>
        </w:rPr>
        <w:t>Andrea Matthews</w:t>
      </w:r>
    </w:p>
    <w:p w14:paraId="0773F72B">
      <w:pPr>
        <w:pStyle w:val="15"/>
        <w:jc w:val="center"/>
        <w:rPr>
          <w:rFonts w:ascii="Calibri" w:hAnsi="Calibri" w:eastAsia="Calibri" w:cs="Calibri"/>
          <w:sz w:val="44"/>
          <w:szCs w:val="44"/>
        </w:rPr>
      </w:pPr>
      <w:r>
        <w:rPr>
          <w:rFonts w:ascii="Calibri" w:hAnsi="Calibri"/>
          <w:sz w:val="44"/>
          <w:szCs w:val="44"/>
          <w:lang w:val="en-US"/>
        </w:rPr>
        <w:t>Student Number: 0850916</w:t>
      </w:r>
    </w:p>
    <w:p w14:paraId="06DDEE69">
      <w:pPr>
        <w:pStyle w:val="15"/>
        <w:jc w:val="center"/>
        <w:rPr>
          <w:rFonts w:ascii="Calibri" w:hAnsi="Calibri" w:eastAsia="Calibri" w:cs="Calibri"/>
          <w:sz w:val="44"/>
          <w:szCs w:val="44"/>
        </w:rPr>
      </w:pPr>
      <w:r>
        <w:rPr>
          <w:rFonts w:ascii="Calibri" w:hAnsi="Calibri"/>
          <w:sz w:val="44"/>
          <w:szCs w:val="44"/>
        </w:rPr>
        <w:t xml:space="preserve"> </w:t>
      </w:r>
    </w:p>
    <w:p w14:paraId="0B0FF80E">
      <w:pPr>
        <w:pStyle w:val="15"/>
        <w:jc w:val="center"/>
        <w:rPr>
          <w:rFonts w:ascii="Calibri" w:hAnsi="Calibri" w:eastAsia="Calibri" w:cs="Calibri"/>
          <w:sz w:val="44"/>
          <w:szCs w:val="44"/>
        </w:rPr>
      </w:pPr>
      <w:r>
        <w:rPr>
          <w:rFonts w:ascii="Calibri" w:hAnsi="Calibri"/>
          <w:sz w:val="44"/>
          <w:szCs w:val="44"/>
          <w:lang w:val="en-US"/>
        </w:rPr>
        <w:t>Level 5 Associate Diploma in People Management</w:t>
      </w:r>
    </w:p>
    <w:p w14:paraId="7EABF69E">
      <w:pPr>
        <w:pStyle w:val="15"/>
        <w:jc w:val="center"/>
        <w:rPr>
          <w:rFonts w:ascii="Calibri" w:hAnsi="Calibri" w:eastAsia="Calibri" w:cs="Calibri"/>
          <w:sz w:val="44"/>
          <w:szCs w:val="44"/>
        </w:rPr>
      </w:pPr>
      <w:r>
        <w:rPr>
          <w:rFonts w:ascii="Calibri" w:hAnsi="Calibri"/>
          <w:sz w:val="44"/>
          <w:szCs w:val="44"/>
        </w:rPr>
        <w:t xml:space="preserve"> </w:t>
      </w:r>
    </w:p>
    <w:p w14:paraId="2620FAD2">
      <w:pPr>
        <w:pStyle w:val="15"/>
        <w:jc w:val="center"/>
        <w:rPr>
          <w:rFonts w:ascii="Calibri" w:hAnsi="Calibri" w:eastAsia="Calibri" w:cs="Calibri"/>
          <w:sz w:val="44"/>
          <w:szCs w:val="44"/>
        </w:rPr>
      </w:pPr>
      <w:r>
        <w:rPr>
          <w:rFonts w:ascii="Calibri" w:hAnsi="Calibri" w:eastAsia="Calibri" w:cs="Calibri"/>
          <w:sz w:val="44"/>
          <w:szCs w:val="44"/>
        </w:rPr>
        <w:t>Talent Management and Workforce Planning</w:t>
      </w:r>
    </w:p>
    <w:p w14:paraId="5A4301A9">
      <w:pPr>
        <w:pStyle w:val="15"/>
        <w:jc w:val="center"/>
        <w:rPr>
          <w:rFonts w:ascii="Calibri" w:hAnsi="Calibri" w:eastAsia="Calibri" w:cs="Calibri"/>
          <w:sz w:val="28"/>
          <w:szCs w:val="28"/>
        </w:rPr>
      </w:pPr>
      <w:r>
        <w:rPr>
          <w:rFonts w:ascii="Calibri" w:hAnsi="Calibri"/>
          <w:sz w:val="28"/>
          <w:szCs w:val="28"/>
        </w:rPr>
        <w:t xml:space="preserve"> </w:t>
      </w:r>
    </w:p>
    <w:p w14:paraId="57A39326">
      <w:pPr>
        <w:pStyle w:val="15"/>
        <w:jc w:val="center"/>
        <w:rPr>
          <w:rFonts w:ascii="Calibri" w:hAnsi="Calibri" w:eastAsia="Calibri" w:cs="Calibri"/>
          <w:kern w:val="0"/>
          <w:sz w:val="44"/>
          <w:szCs w:val="44"/>
        </w:rPr>
      </w:pPr>
      <w:r>
        <w:rPr>
          <w:rFonts w:ascii="Calibri" w:hAnsi="Calibri"/>
          <w:sz w:val="44"/>
          <w:szCs w:val="44"/>
        </w:rPr>
        <w:t>(</w:t>
      </w:r>
      <w:r>
        <w:rPr>
          <w:rFonts w:ascii="Calibri" w:hAnsi="Calibri"/>
          <w:kern w:val="0"/>
          <w:sz w:val="44"/>
          <w:szCs w:val="44"/>
        </w:rPr>
        <w:t>5HR02)</w:t>
      </w:r>
    </w:p>
    <w:p w14:paraId="39510214">
      <w:pPr>
        <w:pStyle w:val="15"/>
        <w:jc w:val="center"/>
        <w:rPr>
          <w:rFonts w:ascii="Calibri" w:hAnsi="Calibri" w:eastAsia="Calibri" w:cs="Calibri"/>
          <w:kern w:val="0"/>
          <w:sz w:val="44"/>
          <w:szCs w:val="44"/>
        </w:rPr>
      </w:pPr>
      <w:r>
        <w:rPr>
          <w:rFonts w:ascii="Calibri" w:hAnsi="Calibri"/>
          <w:kern w:val="0"/>
          <w:sz w:val="44"/>
          <w:szCs w:val="44"/>
        </w:rPr>
        <w:t xml:space="preserve"> </w:t>
      </w:r>
    </w:p>
    <w:p w14:paraId="73C99AF8">
      <w:pPr>
        <w:pStyle w:val="15"/>
        <w:jc w:val="center"/>
        <w:rPr>
          <w:rFonts w:hint="default" w:ascii="Calibri" w:hAnsi="Calibri"/>
          <w:kern w:val="0"/>
          <w:sz w:val="44"/>
          <w:szCs w:val="44"/>
          <w:lang w:val="en-GB"/>
        </w:rPr>
      </w:pPr>
      <w:r>
        <w:rPr>
          <w:rFonts w:ascii="Calibri" w:hAnsi="Calibri"/>
          <w:kern w:val="0"/>
          <w:sz w:val="44"/>
          <w:szCs w:val="44"/>
          <w:lang w:val="en-US"/>
        </w:rPr>
        <w:t>Total word count</w:t>
      </w:r>
      <w:r>
        <w:rPr>
          <w:rFonts w:hint="default" w:ascii="Calibri" w:hAnsi="Calibri"/>
          <w:kern w:val="0"/>
          <w:sz w:val="44"/>
          <w:szCs w:val="44"/>
          <w:lang w:val="en-GB"/>
        </w:rPr>
        <w:t>:4282</w:t>
      </w:r>
    </w:p>
    <w:p w14:paraId="184B16E7">
      <w:pPr>
        <w:pStyle w:val="15"/>
        <w:jc w:val="both"/>
        <w:rPr>
          <w:rFonts w:ascii="Calibri" w:hAnsi="Calibri"/>
          <w:kern w:val="0"/>
          <w:sz w:val="44"/>
          <w:szCs w:val="44"/>
        </w:rPr>
      </w:pPr>
    </w:p>
    <w:p w14:paraId="13BA6AAC">
      <w:pPr>
        <w:pStyle w:val="15"/>
        <w:jc w:val="center"/>
        <w:rPr>
          <w:rFonts w:ascii="Calibri" w:hAnsi="Calibri" w:eastAsia="Calibri" w:cs="Calibri"/>
          <w:sz w:val="44"/>
          <w:szCs w:val="44"/>
        </w:rPr>
      </w:pPr>
      <w:r>
        <w:rPr>
          <w:rFonts w:ascii="Calibri" w:hAnsi="Calibri"/>
          <w:sz w:val="44"/>
          <w:szCs w:val="44"/>
        </w:rPr>
        <w:t xml:space="preserve"> </w:t>
      </w:r>
    </w:p>
    <w:p w14:paraId="719AF849">
      <w:pPr>
        <w:pStyle w:val="15"/>
        <w:rPr>
          <w:rFonts w:ascii="Calibri" w:hAnsi="Calibri" w:eastAsia="Calibri" w:cs="Calibri"/>
          <w:b/>
          <w:bCs/>
        </w:rPr>
      </w:pPr>
      <w:r>
        <w:rPr>
          <w:rFonts w:ascii="Calibri" w:hAnsi="Calibri"/>
          <w:b/>
          <w:bCs/>
        </w:rPr>
        <w:t xml:space="preserve"> </w:t>
      </w:r>
    </w:p>
    <w:p w14:paraId="61340460">
      <w:pPr>
        <w:pStyle w:val="15"/>
        <w:rPr>
          <w:rFonts w:ascii="Calibri" w:hAnsi="Calibri" w:eastAsia="Calibri" w:cs="Calibri"/>
          <w:kern w:val="0"/>
        </w:rPr>
      </w:pPr>
      <w:r>
        <w:rPr>
          <w:rFonts w:ascii="Calibri" w:hAnsi="Calibri"/>
          <w:kern w:val="0"/>
        </w:rPr>
        <w:t xml:space="preserve"> </w:t>
      </w:r>
    </w:p>
    <w:p w14:paraId="2398BA75">
      <w:pPr>
        <w:pStyle w:val="15"/>
        <w:rPr>
          <w:rFonts w:ascii="Calibri" w:hAnsi="Calibri" w:eastAsia="Calibri" w:cs="Calibri"/>
          <w:kern w:val="0"/>
        </w:rPr>
      </w:pPr>
      <w:r>
        <w:rPr>
          <w:rFonts w:ascii="Calibri" w:hAnsi="Calibri"/>
          <w:kern w:val="0"/>
        </w:rPr>
        <w:t xml:space="preserve"> </w:t>
      </w:r>
    </w:p>
    <w:p w14:paraId="3535DD57">
      <w:pPr>
        <w:pStyle w:val="15"/>
        <w:rPr>
          <w:rFonts w:ascii="Calibri" w:hAnsi="Calibri" w:eastAsia="Calibri" w:cs="Calibri"/>
          <w:kern w:val="0"/>
        </w:rPr>
      </w:pPr>
      <w:r>
        <w:rPr>
          <w:rFonts w:ascii="Calibri" w:hAnsi="Calibri"/>
          <w:kern w:val="0"/>
        </w:rPr>
        <w:t xml:space="preserve"> </w:t>
      </w:r>
    </w:p>
    <w:p w14:paraId="6E792D57">
      <w:pPr>
        <w:pStyle w:val="15"/>
        <w:rPr>
          <w:rFonts w:ascii="Calibri" w:hAnsi="Calibri" w:eastAsia="Calibri" w:cs="Calibri"/>
          <w:kern w:val="0"/>
        </w:rPr>
      </w:pPr>
      <w:r>
        <w:rPr>
          <w:rFonts w:ascii="Calibri" w:hAnsi="Calibri"/>
          <w:kern w:val="0"/>
        </w:rPr>
        <w:t xml:space="preserve"> </w:t>
      </w:r>
    </w:p>
    <w:p w14:paraId="39CD6189">
      <w:pPr>
        <w:pStyle w:val="15"/>
        <w:rPr>
          <w:rFonts w:ascii="Trebuchet MS" w:hAnsi="Trebuchet MS" w:eastAsia="Trebuchet MS" w:cs="Trebuchet MS"/>
          <w:b/>
          <w:bCs/>
        </w:rPr>
      </w:pPr>
      <w:r>
        <w:rPr>
          <w:rFonts w:ascii="Calibri" w:hAnsi="Calibri"/>
          <w:kern w:val="0"/>
        </w:rPr>
        <w:t xml:space="preserve"> </w:t>
      </w:r>
    </w:p>
    <w:p w14:paraId="17239339">
      <w:pPr>
        <w:pStyle w:val="16"/>
        <w:rPr>
          <w:rFonts w:ascii="Trebuchet MS" w:hAnsi="Trebuchet MS" w:eastAsia="Trebuchet MS" w:cs="Trebuchet MS"/>
          <w:b/>
          <w:bCs/>
        </w:rPr>
      </w:pPr>
    </w:p>
    <w:p w14:paraId="4AD3AC00">
      <w:pPr>
        <w:pStyle w:val="16"/>
        <w:rPr>
          <w:rFonts w:ascii="Trebuchet MS" w:hAnsi="Trebuchet MS" w:eastAsia="Trebuchet MS" w:cs="Trebuchet MS"/>
          <w:b/>
          <w:bCs/>
        </w:rPr>
      </w:pPr>
    </w:p>
    <w:p w14:paraId="357A61FA">
      <w:pPr>
        <w:pStyle w:val="16"/>
        <w:rPr>
          <w:rFonts w:ascii="Trebuchet MS" w:hAnsi="Trebuchet MS" w:eastAsia="Trebuchet MS" w:cs="Trebuchet MS"/>
          <w:b/>
          <w:bCs/>
        </w:rPr>
      </w:pPr>
    </w:p>
    <w:p w14:paraId="330D95D4">
      <w:pPr>
        <w:pStyle w:val="16"/>
        <w:rPr>
          <w:rFonts w:ascii="Trebuchet MS" w:hAnsi="Trebuchet MS" w:eastAsia="Trebuchet MS" w:cs="Trebuchet MS"/>
          <w:b/>
          <w:bCs/>
        </w:rPr>
      </w:pPr>
    </w:p>
    <w:p w14:paraId="2B39AFF9">
      <w:pPr>
        <w:pStyle w:val="16"/>
        <w:rPr>
          <w:rFonts w:ascii="Trebuchet MS" w:hAnsi="Trebuchet MS" w:eastAsia="Trebuchet MS" w:cs="Trebuchet MS"/>
          <w:b/>
          <w:bCs/>
        </w:rPr>
      </w:pPr>
    </w:p>
    <w:p w14:paraId="5F20A1A5">
      <w:pPr>
        <w:pStyle w:val="16"/>
        <w:rPr>
          <w:rFonts w:ascii="Trebuchet MS" w:hAnsi="Trebuchet MS" w:eastAsia="Trebuchet MS" w:cs="Trebuchet MS"/>
          <w:b/>
          <w:bCs/>
        </w:rPr>
      </w:pPr>
    </w:p>
    <w:p w14:paraId="01E62E02">
      <w:pPr>
        <w:pStyle w:val="16"/>
        <w:rPr>
          <w:rFonts w:ascii="Trebuchet MS" w:hAnsi="Trebuchet MS" w:eastAsia="Trebuchet MS" w:cs="Trebuchet MS"/>
          <w:b/>
          <w:bCs/>
        </w:rPr>
      </w:pPr>
    </w:p>
    <w:p w14:paraId="767FA7E3">
      <w:pPr>
        <w:pStyle w:val="16"/>
        <w:rPr>
          <w:rFonts w:ascii="Trebuchet MS" w:hAnsi="Trebuchet MS" w:eastAsia="Trebuchet MS" w:cs="Trebuchet MS"/>
          <w:b/>
          <w:bCs/>
        </w:rPr>
      </w:pPr>
    </w:p>
    <w:p w14:paraId="1A58B345">
      <w:pPr>
        <w:pStyle w:val="16"/>
        <w:rPr>
          <w:rFonts w:ascii="Trebuchet MS" w:hAnsi="Trebuchet MS" w:eastAsia="Trebuchet MS" w:cs="Trebuchet MS"/>
          <w:b/>
          <w:bCs/>
        </w:rPr>
      </w:pPr>
    </w:p>
    <w:p w14:paraId="57E21596">
      <w:pPr>
        <w:pStyle w:val="16"/>
        <w:rPr>
          <w:rFonts w:ascii="Calibri" w:hAnsi="Calibri"/>
          <w:b/>
          <w:bCs/>
          <w:color w:val="004147"/>
          <w:sz w:val="24"/>
          <w:szCs w:val="24"/>
          <w:u w:color="004147"/>
        </w:rPr>
      </w:pPr>
    </w:p>
    <w:p w14:paraId="17630C30">
      <w:pPr>
        <w:pStyle w:val="16"/>
        <w:rPr>
          <w:rFonts w:ascii="Calibri" w:hAnsi="Calibri"/>
          <w:b/>
          <w:bCs/>
          <w:color w:val="auto"/>
          <w:sz w:val="24"/>
          <w:szCs w:val="24"/>
          <w:u w:color="004147"/>
        </w:rPr>
      </w:pPr>
      <w:r>
        <w:rPr>
          <w:rFonts w:ascii="Calibri" w:hAnsi="Calibri"/>
          <w:b/>
          <w:bCs/>
          <w:color w:val="auto"/>
          <w:sz w:val="24"/>
          <w:szCs w:val="24"/>
          <w:u w:color="004147"/>
        </w:rPr>
        <w:t>AC 1.1</w:t>
      </w:r>
    </w:p>
    <w:p w14:paraId="4DD7481B">
      <w:pPr>
        <w:pStyle w:val="16"/>
        <w:rPr>
          <w:rFonts w:ascii="Calibri" w:hAnsi="Calibri" w:cs="Calibri"/>
          <w:b/>
          <w:bCs/>
          <w:color w:val="auto"/>
          <w:sz w:val="24"/>
          <w:szCs w:val="24"/>
          <w:u w:color="004147"/>
        </w:rPr>
      </w:pPr>
      <w:r>
        <w:rPr>
          <w:rFonts w:ascii="Calibri" w:hAnsi="Calibri" w:cs="Calibri"/>
          <w:b/>
          <w:bCs/>
          <w:color w:val="auto"/>
          <w:sz w:val="24"/>
          <w:szCs w:val="24"/>
          <w:u w:color="004147"/>
        </w:rPr>
        <w:t>Explain how organisations strategically position themselves in competitive labour markets.</w:t>
      </w:r>
    </w:p>
    <w:p w14:paraId="56F61643">
      <w:pPr>
        <w:pStyle w:val="16"/>
        <w:rPr>
          <w:rFonts w:ascii="Calibri" w:hAnsi="Calibri" w:cs="Calibri"/>
          <w:color w:val="auto"/>
          <w:u w:color="004147"/>
        </w:rPr>
      </w:pPr>
    </w:p>
    <w:p w14:paraId="46BF3729">
      <w:pPr>
        <w:pStyle w:val="16"/>
        <w:rPr>
          <w:rFonts w:ascii="Calibri" w:hAnsi="Calibri" w:cs="Calibri"/>
          <w:color w:val="auto"/>
          <w:sz w:val="24"/>
          <w:szCs w:val="24"/>
          <w:u w:color="004147"/>
          <w:lang w:val="en-GB"/>
        </w:rPr>
      </w:pPr>
      <w:r>
        <w:rPr>
          <w:rFonts w:hint="default" w:ascii="Calibri" w:hAnsi="Calibri" w:cs="Calibri"/>
          <w:color w:val="auto"/>
          <w:sz w:val="24"/>
          <w:szCs w:val="24"/>
          <w:u w:color="004147"/>
          <w:lang w:val="en-GB"/>
        </w:rPr>
        <w:t xml:space="preserve">Current changes in the labour market have had an impact on ParcelCare’s ability to attract and retain employees to compete in the current labour market. </w:t>
      </w:r>
      <w:r>
        <w:rPr>
          <w:rFonts w:ascii="Calibri" w:hAnsi="Calibri" w:cs="Calibri"/>
          <w:color w:val="auto"/>
          <w:sz w:val="24"/>
          <w:szCs w:val="24"/>
          <w:u w:color="004147"/>
          <w:lang w:val="en-GB"/>
        </w:rPr>
        <w:t xml:space="preserve">According to  Taylor and Woodhams  (2022, p.71)  the economy has started to grow and unemployment is relatively low  compared to pre-pandemic </w:t>
      </w:r>
      <w:r>
        <w:rPr>
          <w:rFonts w:hint="default" w:ascii="Calibri" w:hAnsi="Calibri" w:cs="Calibri"/>
          <w:color w:val="auto"/>
          <w:sz w:val="24"/>
          <w:szCs w:val="24"/>
          <w:u w:color="004147"/>
          <w:lang w:val="en-GB"/>
        </w:rPr>
        <w:t>levels</w:t>
      </w:r>
      <w:r>
        <w:rPr>
          <w:rFonts w:ascii="Calibri" w:hAnsi="Calibri" w:cs="Calibri"/>
          <w:color w:val="auto"/>
          <w:sz w:val="24"/>
          <w:szCs w:val="24"/>
          <w:u w:color="004147"/>
          <w:lang w:val="en-GB"/>
        </w:rPr>
        <w:t>. Shortages of skills are often seen when an economy is performing well which can tighten the labour market where this provides workers with a good choice of</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 xml:space="preserve">opportunities. In recent years , there has been an increasing trend of reporting of hard to fill vacancies. 37% of employers surveyed reported this with 36% in the Transport and Storage industries (CIPD Labour Market Outlook 2024).  </w:t>
      </w:r>
    </w:p>
    <w:p w14:paraId="30B3FCA8">
      <w:pPr>
        <w:pStyle w:val="16"/>
        <w:rPr>
          <w:rFonts w:ascii="Calibri" w:hAnsi="Calibri" w:cs="Calibri"/>
          <w:color w:val="auto"/>
          <w:u w:color="004147"/>
          <w:lang w:val="en-GB"/>
        </w:rPr>
      </w:pPr>
    </w:p>
    <w:p w14:paraId="03F08DEE">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There are a number of suggested approaches that can be taken to strengthen ParcelCare’s position. According to the CIPD, </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2024</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xml:space="preserve">, employers have responded to these challenges in a number of ways. 52% of employers have looked at opportunities to up skill and develop existing staff with 41% increasing wages.   In order to attract top talent,  People Management (2022), also suggest considering strategies such as  building a strong brand, dropping the 9-5 work routine and investing in training. </w:t>
      </w:r>
    </w:p>
    <w:p w14:paraId="3E818F38">
      <w:pPr>
        <w:pStyle w:val="16"/>
        <w:rPr>
          <w:rFonts w:ascii="Calibri" w:hAnsi="Calibri" w:cs="Calibri"/>
          <w:color w:val="auto"/>
          <w:sz w:val="24"/>
          <w:szCs w:val="24"/>
          <w:u w:color="004147"/>
          <w:lang w:val="en-GB"/>
        </w:rPr>
      </w:pPr>
    </w:p>
    <w:p w14:paraId="0B60342F">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It is also important to analyse data on staff turnover to inform retention methods. According to Taylor and Woodhams (2022, p.49) there are a number of useful calculations that can be used including crude turnover rate (% of workforce to leave within the year), stability rate (how long people stay) and cohort analysis (tracking a group over a period of time). Following these calculations, a bench marking exercise can be conducted to compare both internal and external trends of retention. </w:t>
      </w:r>
    </w:p>
    <w:p w14:paraId="04BEA494">
      <w:pPr>
        <w:pStyle w:val="16"/>
        <w:rPr>
          <w:rFonts w:ascii="Calibri" w:hAnsi="Calibri" w:cs="Calibri"/>
          <w:color w:val="auto"/>
          <w:sz w:val="24"/>
          <w:szCs w:val="24"/>
          <w:u w:color="004147"/>
          <w:lang w:val="en-GB"/>
        </w:rPr>
      </w:pPr>
    </w:p>
    <w:p w14:paraId="20BC6968">
      <w:pPr>
        <w:pStyle w:val="16"/>
        <w:rPr>
          <w:rStyle w:val="4"/>
          <w:rFonts w:ascii="Times New Roman" w:hAnsi="Times New Roman" w:cs="Times New Roman"/>
          <w:color w:val="auto"/>
          <w:lang w:eastAsia="en-US"/>
        </w:rPr>
      </w:pPr>
      <w:r>
        <w:rPr>
          <w:rFonts w:ascii="Calibri" w:hAnsi="Calibri" w:cs="Calibri"/>
          <w:color w:val="auto"/>
          <w:sz w:val="24"/>
          <w:szCs w:val="24"/>
          <w:u w:color="004147"/>
          <w:lang w:val="en-GB"/>
        </w:rPr>
        <w:t xml:space="preserve">A particular example of this is Network Rail who used strategies to overcome challenges when attracting and recruiting signallers. The average time it took to recruit and train would be 1 year and managers were facing significant costs including costs for overtime, reduction in wellbeing and drop in performance. They used an evidence-based approach where they were able to look at the root cause  and implement strategies including career conversations, creating an internal talent pool and implementing a more strategic approach to external recruitment rather than ad hoc. Greater employee engagement and potential savings of £1.3 million over 3 years are some of the positive outcomes of this approach (CIPD, 2022) </w:t>
      </w:r>
    </w:p>
    <w:p w14:paraId="1B7397D4">
      <w:pPr>
        <w:pStyle w:val="16"/>
        <w:rPr>
          <w:rStyle w:val="4"/>
          <w:rFonts w:ascii="Times New Roman" w:hAnsi="Times New Roman" w:cs="Times New Roman"/>
          <w:color w:val="auto"/>
          <w:lang w:eastAsia="en-US"/>
        </w:rPr>
      </w:pPr>
    </w:p>
    <w:p w14:paraId="6EB43FB1">
      <w:pPr>
        <w:pStyle w:val="16"/>
        <w:rPr>
          <w:rStyle w:val="4"/>
          <w:rFonts w:hint="default" w:ascii="Calibri" w:hAnsi="Calibri" w:cs="Calibri"/>
          <w:color w:val="auto"/>
          <w:sz w:val="24"/>
          <w:szCs w:val="24"/>
          <w:lang w:val="en-GB" w:eastAsia="en-US"/>
        </w:rPr>
      </w:pPr>
      <w:r>
        <w:rPr>
          <w:rStyle w:val="4"/>
          <w:rFonts w:hint="default" w:ascii="Calibri" w:hAnsi="Calibri" w:cs="Calibri"/>
          <w:color w:val="auto"/>
          <w:sz w:val="24"/>
          <w:szCs w:val="24"/>
          <w:lang w:val="en-GB" w:eastAsia="en-US"/>
        </w:rPr>
        <w:t xml:space="preserve">In order to compete in this challenging labour market, my  recommendation would be to look at ways that could analyse the close competitors within the industry in order to raise ParcelCare’s branding, making it the first employer of choice. </w:t>
      </w:r>
    </w:p>
    <w:p w14:paraId="772471A0">
      <w:pPr>
        <w:pStyle w:val="16"/>
        <w:rPr>
          <w:rFonts w:hint="default" w:ascii="Calibri" w:hAnsi="Calibri" w:cs="Calibri"/>
          <w:color w:val="auto"/>
          <w:sz w:val="24"/>
          <w:szCs w:val="24"/>
          <w:u w:color="004147"/>
          <w:lang w:val="en-GB"/>
        </w:rPr>
      </w:pPr>
    </w:p>
    <w:p w14:paraId="4C2805D4">
      <w:pPr>
        <w:pStyle w:val="16"/>
        <w:rPr>
          <w:rFonts w:hint="default" w:ascii="Calibri" w:hAnsi="Calibri" w:cs="Calibri"/>
          <w:color w:val="auto"/>
          <w:sz w:val="24"/>
          <w:szCs w:val="24"/>
          <w:u w:color="004147"/>
          <w:lang w:val="en-GB"/>
        </w:rPr>
      </w:pPr>
    </w:p>
    <w:p w14:paraId="367475DA">
      <w:pPr>
        <w:pStyle w:val="16"/>
        <w:rPr>
          <w:rFonts w:ascii="Calibri" w:hAnsi="Calibri" w:cs="Calibri"/>
          <w:color w:val="auto"/>
          <w:u w:color="004147"/>
        </w:rPr>
      </w:pPr>
    </w:p>
    <w:p w14:paraId="2CD9EBE3">
      <w:pPr>
        <w:pStyle w:val="16"/>
        <w:rPr>
          <w:rFonts w:ascii="Calibri" w:hAnsi="Calibri" w:cs="Calibri"/>
          <w:color w:val="auto"/>
          <w:u w:color="004147"/>
        </w:rPr>
      </w:pPr>
    </w:p>
    <w:p w14:paraId="3F3B2614">
      <w:pPr>
        <w:pStyle w:val="16"/>
        <w:rPr>
          <w:rFonts w:ascii="Calibri" w:hAnsi="Calibri" w:cs="Calibri"/>
          <w:color w:val="auto"/>
          <w:u w:color="004147"/>
        </w:rPr>
      </w:pPr>
    </w:p>
    <w:p w14:paraId="5B309319">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 xml:space="preserve">AC 1.2 </w:t>
      </w:r>
    </w:p>
    <w:p w14:paraId="71880B02">
      <w:pPr>
        <w:pStyle w:val="16"/>
        <w:rPr>
          <w:rFonts w:ascii="Calibri" w:hAnsi="Calibri" w:cs="Calibri"/>
          <w:b/>
          <w:bCs/>
          <w:color w:val="auto"/>
          <w:sz w:val="24"/>
          <w:szCs w:val="24"/>
          <w:u w:color="004147"/>
        </w:rPr>
      </w:pPr>
      <w:r>
        <w:rPr>
          <w:rFonts w:ascii="Calibri" w:hAnsi="Calibri" w:cs="Calibri"/>
          <w:b/>
          <w:bCs/>
          <w:color w:val="auto"/>
          <w:sz w:val="24"/>
          <w:szCs w:val="24"/>
          <w:u w:color="004147"/>
        </w:rPr>
        <w:t>Explain the impact of changing labour market conditions on resourcing decisions.</w:t>
      </w:r>
    </w:p>
    <w:p w14:paraId="0B1B3F45">
      <w:pPr>
        <w:pStyle w:val="16"/>
        <w:rPr>
          <w:rFonts w:ascii="Calibri" w:hAnsi="Calibri" w:cs="Calibri"/>
          <w:b/>
          <w:bCs/>
          <w:color w:val="auto"/>
          <w:sz w:val="24"/>
          <w:szCs w:val="24"/>
          <w:u w:color="004147"/>
        </w:rPr>
      </w:pPr>
    </w:p>
    <w:p w14:paraId="2F56F124">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According to Armstrong and Taylor (2020, p.59) ‘the labour market is the place where employers seek workers and workers seek employment’. The labour market can provide organisations with insights about supply and demand for labour, trends and specific policies and procedures required to manage the workforce (Taylor and Woodhams, 2022).</w:t>
      </w:r>
    </w:p>
    <w:p w14:paraId="356DB8F6">
      <w:pPr>
        <w:pStyle w:val="16"/>
        <w:rPr>
          <w:rFonts w:hint="default" w:ascii="Calibri" w:hAnsi="Calibri" w:cs="Calibri"/>
          <w:color w:val="auto"/>
          <w:sz w:val="24"/>
          <w:szCs w:val="24"/>
          <w:u w:color="004147"/>
          <w:lang w:val="en-GB"/>
        </w:rPr>
      </w:pPr>
    </w:p>
    <w:p w14:paraId="4D5D88C3">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When determining the demand for labour it is important to consider the number of people in employment, how many hours they work and the number of job vacancies unfilled. Earnings will rise if demand is higher than supply. This is known as a ‘tight’ market where unemployment is low with considerable job vacancies. Workers within these sectors, such as delivery and transportation are in a better position to negotiate better working conditions and pay due to the issues being faced when attracting and retaining good staff (Taylor and Woodhams, 2022, p.11).  In comparison,  a loose labour market is when too many candidates are competing for few job openings (Taylor and Woodham, 2022, p.32).</w:t>
      </w:r>
    </w:p>
    <w:p w14:paraId="1854810D">
      <w:pPr>
        <w:pStyle w:val="16"/>
        <w:rPr>
          <w:rFonts w:hint="default" w:ascii="Calibri" w:hAnsi="Calibri" w:cs="Calibri"/>
          <w:color w:val="auto"/>
          <w:sz w:val="24"/>
          <w:szCs w:val="24"/>
          <w:u w:color="004147"/>
          <w:lang w:val="en-GB"/>
        </w:rPr>
      </w:pPr>
    </w:p>
    <w:p w14:paraId="7CE78BE3">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 xml:space="preserve">There are a number of sources that you obtain the latest changes in  labour market conditions. These include the CIPD labour market outlook ,The Office for National Statistics and GOV.UK.  These changes could  be the economic climate, new legislation, advances in technology and demographic variances. </w:t>
      </w:r>
      <w:r>
        <w:rPr>
          <w:rStyle w:val="4"/>
          <w:rFonts w:hint="default" w:ascii="Calibri" w:hAnsi="Calibri" w:cs="Calibri"/>
          <w:color w:val="auto"/>
          <w:sz w:val="24"/>
          <w:szCs w:val="24"/>
          <w:lang w:val="en-GB" w:eastAsia="en-US"/>
        </w:rPr>
        <w:t>The use of PESTLE analysis would be an option to identify these external factors.</w:t>
      </w:r>
    </w:p>
    <w:p w14:paraId="59EE7E32">
      <w:pPr>
        <w:pStyle w:val="16"/>
        <w:rPr>
          <w:rFonts w:hint="default" w:ascii="Calibri" w:hAnsi="Calibri" w:cs="Calibri"/>
          <w:color w:val="auto"/>
          <w:sz w:val="24"/>
          <w:szCs w:val="24"/>
          <w:u w:color="004147"/>
          <w:lang w:val="en-GB"/>
        </w:rPr>
      </w:pPr>
    </w:p>
    <w:p w14:paraId="2D6C3263">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According to CIPD (2025), recent changes to the economy are having an impact on the labour market. They report that 1 in 4 businesses are looking to make redundancies. This is due to the rise in employer contributions for National Insurance and the National Minimum Wage. Uncertainties in global markets have also caused a drop in confidence due to the introduction of worldwide tariffs. As a business, Parcel Care also need to take into consideration  additional employment costs but could use the opportunity to benefit from the number of potential redundancies by raising its brand and profile to target this specific audience (CIPD, 2020).</w:t>
      </w:r>
    </w:p>
    <w:p w14:paraId="2AD5BADC">
      <w:pPr>
        <w:pStyle w:val="16"/>
        <w:rPr>
          <w:rFonts w:hint="default" w:ascii="Calibri" w:hAnsi="Calibri" w:cs="Calibri"/>
          <w:color w:val="auto"/>
          <w:sz w:val="24"/>
          <w:szCs w:val="24"/>
          <w:u w:color="004147"/>
          <w:lang w:val="en-GB"/>
        </w:rPr>
      </w:pPr>
    </w:p>
    <w:p w14:paraId="646E5AEB">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 xml:space="preserve">According to the Department of Work and Pensions, the UK has seen demographic changes with an ageing workforce and population. In 2024, the average age males exited the labour market was 65.7 and females was 64.5 (increasing from 65.3 and 64.1 retrospectively in 2023) (GOV.UK, 2024). This is an important consideration for Parcel Care to take into account due to nature of the prospective employees they may wish to attract. This will determine how and where job adverts are posted and also considering more flexible working arrangements for those that are planning to or have retired. </w:t>
      </w:r>
    </w:p>
    <w:p w14:paraId="78A2D0C5">
      <w:pPr>
        <w:pStyle w:val="16"/>
        <w:rPr>
          <w:rFonts w:hint="default" w:ascii="Calibri" w:hAnsi="Calibri" w:cs="Calibri"/>
          <w:color w:val="auto"/>
          <w:sz w:val="24"/>
          <w:szCs w:val="24"/>
          <w:u w:color="004147"/>
          <w:lang w:val="en-GB"/>
        </w:rPr>
      </w:pPr>
    </w:p>
    <w:p w14:paraId="193008E2">
      <w:pPr>
        <w:pStyle w:val="16"/>
        <w:rPr>
          <w:rFonts w:hint="default" w:ascii="Calibri" w:hAnsi="Calibri" w:cs="Calibri"/>
          <w:b/>
          <w:bCs/>
          <w:color w:val="auto"/>
          <w:sz w:val="24"/>
          <w:szCs w:val="24"/>
          <w:u w:color="004147"/>
        </w:rPr>
      </w:pPr>
    </w:p>
    <w:p w14:paraId="74AF89ED">
      <w:pPr>
        <w:pStyle w:val="16"/>
        <w:rPr>
          <w:rFonts w:hint="default" w:ascii="Calibri" w:hAnsi="Calibri" w:cs="Calibri"/>
          <w:b/>
          <w:bCs/>
          <w:color w:val="auto"/>
          <w:sz w:val="24"/>
          <w:szCs w:val="24"/>
          <w:u w:color="004147"/>
        </w:rPr>
      </w:pPr>
    </w:p>
    <w:p w14:paraId="7AF3F9FE">
      <w:pPr>
        <w:pStyle w:val="16"/>
        <w:rPr>
          <w:rFonts w:hint="default" w:ascii="Calibri" w:hAnsi="Calibri" w:cs="Calibri"/>
          <w:b/>
          <w:bCs/>
          <w:color w:val="auto"/>
          <w:sz w:val="24"/>
          <w:szCs w:val="24"/>
          <w:u w:color="004147"/>
        </w:rPr>
      </w:pPr>
    </w:p>
    <w:p w14:paraId="62D18E8E">
      <w:pPr>
        <w:pStyle w:val="16"/>
        <w:rPr>
          <w:rFonts w:ascii="Calibri" w:hAnsi="Calibri"/>
          <w:b/>
          <w:bCs/>
          <w:color w:val="auto"/>
          <w:sz w:val="24"/>
          <w:szCs w:val="24"/>
          <w:u w:color="004147"/>
        </w:rPr>
      </w:pPr>
    </w:p>
    <w:p w14:paraId="1C56D03B">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AC 2.1</w:t>
      </w:r>
    </w:p>
    <w:p w14:paraId="497F1776">
      <w:pPr>
        <w:pStyle w:val="16"/>
        <w:rPr>
          <w:rFonts w:ascii="Calibri" w:hAnsi="Calibri" w:cs="Calibri"/>
          <w:b/>
          <w:bCs/>
          <w:color w:val="auto"/>
          <w:sz w:val="24"/>
          <w:szCs w:val="24"/>
          <w:u w:color="004147"/>
        </w:rPr>
      </w:pPr>
      <w:r>
        <w:rPr>
          <w:rFonts w:ascii="Calibri" w:hAnsi="Calibri" w:cs="Calibri"/>
          <w:b/>
          <w:bCs/>
          <w:color w:val="auto"/>
          <w:sz w:val="24"/>
          <w:szCs w:val="24"/>
          <w:u w:color="004147"/>
        </w:rPr>
        <w:t>Analyse the impact of effective workforce planning.</w:t>
      </w:r>
    </w:p>
    <w:p w14:paraId="2BB3F444">
      <w:pPr>
        <w:pStyle w:val="16"/>
        <w:rPr>
          <w:rFonts w:ascii="Calibri" w:hAnsi="Calibri" w:cs="Calibri"/>
          <w:b/>
          <w:bCs/>
          <w:color w:val="auto"/>
          <w:sz w:val="24"/>
          <w:szCs w:val="24"/>
          <w:u w:color="004147"/>
        </w:rPr>
      </w:pPr>
    </w:p>
    <w:p w14:paraId="31AEABD9">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According to Armstrong (2021, p,220) workforce planning is a way in which an organisation can decide on staffing numbers and types of employees according to the predicted future needs of the business aligned with its strategic aims and objectives. It is meant to be a continual process conducted for more short term gains for the next budget year or on a more strategic level, forecasting 3-5 years in advance. </w:t>
      </w:r>
    </w:p>
    <w:p w14:paraId="150360D4">
      <w:pPr>
        <w:pStyle w:val="16"/>
        <w:rPr>
          <w:rFonts w:ascii="Calibri" w:hAnsi="Calibri" w:cs="Calibri"/>
          <w:color w:val="auto"/>
          <w:sz w:val="24"/>
          <w:szCs w:val="24"/>
          <w:u w:color="004147"/>
          <w:lang w:val="en-GB"/>
        </w:rPr>
      </w:pPr>
    </w:p>
    <w:p w14:paraId="3DA652F2">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CIPD list 6 stages of workforce planning which is depicted in the diagram below:</w:t>
      </w:r>
    </w:p>
    <w:p w14:paraId="30C8F504">
      <w:pPr>
        <w:pStyle w:val="16"/>
        <w:rPr>
          <w:rFonts w:ascii="Calibri" w:hAnsi="Calibri" w:cs="Calibri"/>
          <w:color w:val="auto"/>
          <w:sz w:val="24"/>
          <w:szCs w:val="24"/>
          <w:u w:color="004147"/>
          <w:lang w:val="en-GB"/>
        </w:rPr>
      </w:pPr>
    </w:p>
    <w:p w14:paraId="286C71E5">
      <w:pPr>
        <w:pStyle w:val="16"/>
        <w:rPr>
          <w:rFonts w:ascii="Calibri" w:hAnsi="Calibri" w:cs="Calibri"/>
          <w:color w:val="auto"/>
          <w:sz w:val="24"/>
          <w:szCs w:val="24"/>
          <w:u w:color="004147"/>
          <w:lang w:val="en-GB"/>
        </w:rPr>
      </w:pPr>
    </w:p>
    <w:p w14:paraId="635A370E">
      <w:pPr>
        <w:pStyle w:val="16"/>
        <w:rPr>
          <w:rFonts w:ascii="Calibri" w:hAnsi="Calibri" w:cs="Calibri"/>
          <w:color w:val="auto"/>
          <w:sz w:val="24"/>
          <w:szCs w:val="24"/>
          <w:u w:color="004147"/>
          <w:lang w:val="en-GB"/>
        </w:rPr>
      </w:pPr>
    </w:p>
    <w:p w14:paraId="16FEFE43">
      <w:pPr>
        <w:pStyle w:val="16"/>
        <w:rPr>
          <w:rFonts w:ascii="Calibri" w:hAnsi="Calibri" w:cs="Calibri"/>
          <w:color w:val="auto"/>
          <w:sz w:val="24"/>
          <w:szCs w:val="24"/>
          <w:u w:color="004147"/>
          <w:lang w:val="en-GB"/>
        </w:rPr>
      </w:pPr>
      <w:r>
        <w:rPr>
          <w:color w:val="auto"/>
          <w:sz w:val="24"/>
          <w:szCs w:val="24"/>
        </w:rPr>
        <w:drawing>
          <wp:inline distT="0" distB="0" distL="114300" distR="114300">
            <wp:extent cx="5718810" cy="3220085"/>
            <wp:effectExtent l="0" t="0" r="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4"/>
                    <a:stretch>
                      <a:fillRect/>
                    </a:stretch>
                  </pic:blipFill>
                  <pic:spPr>
                    <a:xfrm>
                      <a:off x="0" y="0"/>
                      <a:ext cx="5718810" cy="3220085"/>
                    </a:xfrm>
                    <a:prstGeom prst="rect">
                      <a:avLst/>
                    </a:prstGeom>
                    <a:noFill/>
                    <a:ln>
                      <a:noFill/>
                    </a:ln>
                  </pic:spPr>
                </pic:pic>
              </a:graphicData>
            </a:graphic>
          </wp:inline>
        </w:drawing>
      </w:r>
    </w:p>
    <w:p w14:paraId="4F6D1293">
      <w:pPr>
        <w:pStyle w:val="16"/>
        <w:rPr>
          <w:rFonts w:ascii="Calibri" w:hAnsi="Calibri" w:cs="Calibri"/>
          <w:color w:val="auto"/>
          <w:sz w:val="24"/>
          <w:szCs w:val="24"/>
          <w:u w:color="004147"/>
          <w:lang w:val="en-GB"/>
        </w:rPr>
      </w:pPr>
      <w:r>
        <w:rPr>
          <w:rFonts w:hint="default" w:ascii="Calibri" w:hAnsi="Calibri" w:cs="Calibri"/>
          <w:color w:val="auto"/>
          <w:sz w:val="24"/>
          <w:szCs w:val="24"/>
          <w:u w:color="004147"/>
          <w:lang w:val="en-GB"/>
        </w:rPr>
        <w:t xml:space="preserve">(Figure 1 </w:t>
      </w:r>
      <w:r>
        <w:rPr>
          <w:rFonts w:ascii="Calibri" w:hAnsi="Calibri" w:cs="Calibri"/>
          <w:color w:val="auto"/>
          <w:sz w:val="24"/>
          <w:szCs w:val="24"/>
          <w:u w:color="004147"/>
          <w:lang w:val="en-GB"/>
        </w:rPr>
        <w:t>Image taken from CIPD, 2024).</w:t>
      </w:r>
    </w:p>
    <w:p w14:paraId="266E811F">
      <w:pPr>
        <w:pStyle w:val="16"/>
        <w:rPr>
          <w:rFonts w:ascii="Calibri" w:hAnsi="Calibri" w:cs="Calibri"/>
          <w:color w:val="auto"/>
          <w:sz w:val="24"/>
          <w:szCs w:val="24"/>
          <w:u w:color="004147"/>
          <w:lang w:val="en-GB"/>
        </w:rPr>
      </w:pPr>
    </w:p>
    <w:p w14:paraId="785C556E">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It is useful to conduct an external analysis such as PESTLE and/or an internal analysis like a SWOT to help predict forthcoming changes to trends in the labour market to meet the requirements of associated stakeholder and to identify what skills/roles are needed (CIPD, 2023). Once this has been determined, the current workforce needs to be understood, taking into account turnover rates. Whilst addressing these gaps, it is important to consider existing resources by undertaking specific training to demonstrate the value of employees currently employed. A good activity to consider at this stage is succession planning, although it may be worth considering the benefits of recruiting externally to bring in new ideas. Once these 5 stages have been completed it is really important to review your actions taken ready to learn any key lessons (Taylor and Woodhams, 2022, p.38-40). </w:t>
      </w:r>
    </w:p>
    <w:p w14:paraId="09464EA1">
      <w:pPr>
        <w:pStyle w:val="16"/>
        <w:rPr>
          <w:rFonts w:ascii="Calibri" w:hAnsi="Calibri" w:cs="Calibri"/>
          <w:color w:val="auto"/>
          <w:sz w:val="24"/>
          <w:szCs w:val="24"/>
          <w:u w:color="004147"/>
          <w:lang w:val="en-GB"/>
        </w:rPr>
      </w:pPr>
    </w:p>
    <w:p w14:paraId="69433F17">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There are several benefits associated with workforce planning. These include being more proactive to prepare for future recruitment in order to save costs. It also helps to ensure that you have the correct person in the right role with the appropriate skills which in turn will improve staff retention through enhancing succession planning activities (People Management, 2022). The are some limitations to workforce planning including trying to keep up with fast pace of the labour market. This can deter organisations from deploying long term workforce plans as the end result may not be seen for some time (People Management, 2024).</w:t>
      </w:r>
    </w:p>
    <w:p w14:paraId="53D855EE">
      <w:pPr>
        <w:pStyle w:val="16"/>
        <w:rPr>
          <w:rFonts w:ascii="Calibri" w:hAnsi="Calibri" w:cs="Calibri"/>
          <w:color w:val="auto"/>
          <w:sz w:val="24"/>
          <w:szCs w:val="24"/>
          <w:u w:color="004147"/>
          <w:lang w:val="en-GB"/>
        </w:rPr>
      </w:pPr>
    </w:p>
    <w:p w14:paraId="2D657FFA">
      <w:pPr>
        <w:pStyle w:val="16"/>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 xml:space="preserve"> In relation to ParcelCare, the benefits would be that costs would be saved due to not having to conduct multiple rounds of recruitment which could be planned ahead of competitors.  It would help to boost morale by promoting  internal staff and also help to identify key trends in demand to look at different contracts, for example,seasonal workers with zero hours agreements. A good example of where workforce planning has had a positive impact is Buckinghamshire County Council. Their recruitment and selection strategy looks to promote themselves as being the best employer by developing existing and additional talent whilst always championing diversity (Armstrong, 2021, p.222)</w:t>
      </w:r>
      <w:r>
        <w:rPr>
          <w:rFonts w:hint="default" w:ascii="Calibri" w:hAnsi="Calibri" w:cs="Calibri"/>
          <w:color w:val="auto"/>
          <w:sz w:val="24"/>
          <w:szCs w:val="24"/>
          <w:u w:color="004147"/>
          <w:lang w:val="en-GB"/>
        </w:rPr>
        <w:t>.</w:t>
      </w:r>
    </w:p>
    <w:p w14:paraId="29EB5E9B">
      <w:pPr>
        <w:pStyle w:val="16"/>
        <w:rPr>
          <w:rFonts w:ascii="Calibri" w:hAnsi="Calibri" w:cs="Calibri"/>
          <w:color w:val="auto"/>
          <w:sz w:val="24"/>
          <w:szCs w:val="24"/>
          <w:u w:color="004147"/>
          <w:lang w:val="en-GB"/>
        </w:rPr>
      </w:pPr>
    </w:p>
    <w:p w14:paraId="45993068">
      <w:pPr>
        <w:pStyle w:val="16"/>
        <w:rPr>
          <w:rFonts w:ascii="Calibri" w:hAnsi="Calibri" w:cs="Calibri"/>
          <w:color w:val="auto"/>
          <w:sz w:val="24"/>
          <w:szCs w:val="24"/>
          <w:u w:color="004147"/>
          <w:lang w:val="en-GB"/>
        </w:rPr>
      </w:pPr>
    </w:p>
    <w:p w14:paraId="20E2E64B">
      <w:pPr>
        <w:pStyle w:val="16"/>
        <w:rPr>
          <w:rFonts w:ascii="Calibri" w:hAnsi="Calibri" w:cs="Calibri"/>
          <w:color w:val="auto"/>
          <w:sz w:val="24"/>
          <w:szCs w:val="24"/>
          <w:u w:color="004147"/>
          <w:lang w:val="en-GB"/>
        </w:rPr>
      </w:pPr>
    </w:p>
    <w:p w14:paraId="3BA97CED">
      <w:pPr>
        <w:pStyle w:val="16"/>
        <w:rPr>
          <w:rFonts w:ascii="Calibri" w:hAnsi="Calibri" w:cs="Calibri"/>
          <w:color w:val="auto"/>
          <w:sz w:val="24"/>
          <w:szCs w:val="24"/>
          <w:u w:color="004147"/>
          <w:lang w:val="en-GB"/>
        </w:rPr>
      </w:pPr>
    </w:p>
    <w:p w14:paraId="702A53FB">
      <w:pPr>
        <w:pStyle w:val="16"/>
        <w:rPr>
          <w:rFonts w:ascii="Calibri" w:hAnsi="Calibri" w:cs="Calibri"/>
          <w:color w:val="auto"/>
          <w:sz w:val="24"/>
          <w:szCs w:val="24"/>
          <w:u w:color="004147"/>
          <w:lang w:val="en-GB"/>
        </w:rPr>
      </w:pPr>
    </w:p>
    <w:p w14:paraId="22E4B3C1">
      <w:pPr>
        <w:pStyle w:val="16"/>
        <w:rPr>
          <w:rFonts w:ascii="Calibri" w:hAnsi="Calibri" w:cs="Calibri"/>
          <w:color w:val="auto"/>
          <w:sz w:val="24"/>
          <w:szCs w:val="24"/>
          <w:u w:color="004147"/>
          <w:lang w:val="en-GB"/>
        </w:rPr>
      </w:pPr>
    </w:p>
    <w:p w14:paraId="3AD0B86C">
      <w:pPr>
        <w:pStyle w:val="16"/>
        <w:rPr>
          <w:rFonts w:ascii="Calibri" w:hAnsi="Calibri" w:cs="Calibri"/>
          <w:color w:val="auto"/>
          <w:sz w:val="24"/>
          <w:szCs w:val="24"/>
          <w:u w:color="004147"/>
        </w:rPr>
      </w:pPr>
    </w:p>
    <w:p w14:paraId="743FE1BF">
      <w:pPr>
        <w:pStyle w:val="16"/>
        <w:rPr>
          <w:rFonts w:ascii="Calibri" w:hAnsi="Calibri" w:cs="Calibri"/>
          <w:b/>
          <w:bCs/>
          <w:color w:val="auto"/>
          <w:sz w:val="24"/>
          <w:szCs w:val="24"/>
          <w:u w:color="004147"/>
        </w:rPr>
      </w:pPr>
    </w:p>
    <w:p w14:paraId="51C44669">
      <w:pPr>
        <w:pStyle w:val="16"/>
        <w:rPr>
          <w:rFonts w:ascii="Calibri" w:hAnsi="Calibri" w:cs="Calibri"/>
          <w:b/>
          <w:bCs/>
          <w:color w:val="auto"/>
          <w:sz w:val="24"/>
          <w:szCs w:val="24"/>
          <w:u w:color="004147"/>
        </w:rPr>
      </w:pPr>
    </w:p>
    <w:p w14:paraId="71CE04E1">
      <w:pPr>
        <w:pStyle w:val="16"/>
        <w:rPr>
          <w:rFonts w:ascii="Calibri" w:hAnsi="Calibri" w:cs="Calibri"/>
          <w:b/>
          <w:bCs/>
          <w:color w:val="auto"/>
          <w:sz w:val="24"/>
          <w:szCs w:val="24"/>
          <w:u w:color="004147"/>
        </w:rPr>
      </w:pPr>
    </w:p>
    <w:p w14:paraId="079E2AAC">
      <w:pPr>
        <w:pStyle w:val="16"/>
        <w:rPr>
          <w:rFonts w:ascii="Calibri" w:hAnsi="Calibri" w:cs="Calibri"/>
          <w:b/>
          <w:bCs/>
          <w:color w:val="auto"/>
          <w:sz w:val="24"/>
          <w:szCs w:val="24"/>
          <w:u w:color="004147"/>
        </w:rPr>
      </w:pPr>
    </w:p>
    <w:p w14:paraId="59D7B092">
      <w:pPr>
        <w:pStyle w:val="16"/>
        <w:rPr>
          <w:rFonts w:ascii="Calibri" w:hAnsi="Calibri" w:cs="Calibri"/>
          <w:b/>
          <w:bCs/>
          <w:color w:val="auto"/>
          <w:sz w:val="24"/>
          <w:szCs w:val="24"/>
          <w:u w:color="004147"/>
        </w:rPr>
      </w:pPr>
    </w:p>
    <w:p w14:paraId="429DB1B2">
      <w:pPr>
        <w:pStyle w:val="16"/>
        <w:rPr>
          <w:rFonts w:ascii="Calibri" w:hAnsi="Calibri" w:cs="Calibri"/>
          <w:b/>
          <w:bCs/>
          <w:color w:val="auto"/>
          <w:sz w:val="24"/>
          <w:szCs w:val="24"/>
          <w:u w:color="004147"/>
        </w:rPr>
      </w:pPr>
    </w:p>
    <w:p w14:paraId="36B6DFA4">
      <w:pPr>
        <w:pStyle w:val="16"/>
        <w:rPr>
          <w:rFonts w:ascii="Calibri" w:hAnsi="Calibri" w:cs="Calibri"/>
          <w:b/>
          <w:bCs/>
          <w:color w:val="auto"/>
          <w:sz w:val="24"/>
          <w:szCs w:val="24"/>
          <w:u w:color="004147"/>
        </w:rPr>
      </w:pPr>
    </w:p>
    <w:p w14:paraId="20AE7896">
      <w:pPr>
        <w:pStyle w:val="16"/>
        <w:rPr>
          <w:rFonts w:ascii="Calibri" w:hAnsi="Calibri" w:cs="Calibri"/>
          <w:b/>
          <w:bCs/>
          <w:color w:val="auto"/>
          <w:sz w:val="24"/>
          <w:szCs w:val="24"/>
          <w:u w:color="004147"/>
        </w:rPr>
      </w:pPr>
    </w:p>
    <w:p w14:paraId="6054DC72">
      <w:pPr>
        <w:pStyle w:val="16"/>
        <w:rPr>
          <w:rFonts w:ascii="Calibri" w:hAnsi="Calibri" w:cs="Calibri"/>
          <w:b/>
          <w:bCs/>
          <w:color w:val="auto"/>
          <w:sz w:val="24"/>
          <w:szCs w:val="24"/>
          <w:u w:color="004147"/>
        </w:rPr>
      </w:pPr>
    </w:p>
    <w:p w14:paraId="3299E5F8">
      <w:pPr>
        <w:pStyle w:val="16"/>
        <w:rPr>
          <w:rFonts w:ascii="Calibri" w:hAnsi="Calibri" w:cs="Calibri"/>
          <w:b/>
          <w:bCs/>
          <w:color w:val="auto"/>
          <w:sz w:val="24"/>
          <w:szCs w:val="24"/>
          <w:u w:color="004147"/>
        </w:rPr>
      </w:pPr>
    </w:p>
    <w:p w14:paraId="55182BCA">
      <w:pPr>
        <w:pStyle w:val="16"/>
        <w:rPr>
          <w:rFonts w:ascii="Calibri" w:hAnsi="Calibri" w:cs="Calibri"/>
          <w:b/>
          <w:bCs/>
          <w:color w:val="auto"/>
          <w:sz w:val="24"/>
          <w:szCs w:val="24"/>
          <w:u w:color="004147"/>
        </w:rPr>
      </w:pPr>
    </w:p>
    <w:p w14:paraId="1B54D647">
      <w:pPr>
        <w:pStyle w:val="16"/>
        <w:rPr>
          <w:rFonts w:ascii="Calibri" w:hAnsi="Calibri" w:cs="Calibri"/>
          <w:b/>
          <w:bCs/>
          <w:color w:val="auto"/>
          <w:sz w:val="24"/>
          <w:szCs w:val="24"/>
          <w:u w:color="004147"/>
        </w:rPr>
      </w:pPr>
    </w:p>
    <w:p w14:paraId="20AD18DE">
      <w:pPr>
        <w:pStyle w:val="16"/>
        <w:rPr>
          <w:rFonts w:ascii="Calibri" w:hAnsi="Calibri" w:cs="Calibri"/>
          <w:b/>
          <w:bCs/>
          <w:color w:val="auto"/>
          <w:sz w:val="24"/>
          <w:szCs w:val="24"/>
          <w:u w:color="004147"/>
        </w:rPr>
      </w:pPr>
    </w:p>
    <w:p w14:paraId="2B9FC388">
      <w:pPr>
        <w:pStyle w:val="16"/>
        <w:rPr>
          <w:rFonts w:ascii="Calibri" w:hAnsi="Calibri" w:cs="Calibri"/>
          <w:b/>
          <w:bCs/>
          <w:color w:val="auto"/>
          <w:sz w:val="24"/>
          <w:szCs w:val="24"/>
          <w:u w:color="004147"/>
        </w:rPr>
      </w:pPr>
    </w:p>
    <w:p w14:paraId="2B1D0BCE">
      <w:pPr>
        <w:pStyle w:val="16"/>
        <w:rPr>
          <w:rFonts w:ascii="Calibri" w:hAnsi="Calibri" w:cs="Calibri"/>
          <w:b/>
          <w:bCs/>
          <w:color w:val="auto"/>
          <w:sz w:val="24"/>
          <w:szCs w:val="24"/>
          <w:u w:color="004147"/>
        </w:rPr>
      </w:pPr>
    </w:p>
    <w:p w14:paraId="145A97AF">
      <w:pPr>
        <w:pStyle w:val="16"/>
        <w:rPr>
          <w:rFonts w:ascii="Calibri" w:hAnsi="Calibri" w:cs="Calibri"/>
          <w:b/>
          <w:bCs/>
          <w:color w:val="auto"/>
          <w:sz w:val="24"/>
          <w:szCs w:val="24"/>
          <w:u w:color="004147"/>
        </w:rPr>
      </w:pPr>
    </w:p>
    <w:p w14:paraId="7279D0BD">
      <w:pPr>
        <w:pStyle w:val="16"/>
        <w:rPr>
          <w:rFonts w:ascii="Calibri" w:hAnsi="Calibri" w:cs="Calibri"/>
          <w:b/>
          <w:bCs/>
          <w:color w:val="auto"/>
          <w:sz w:val="24"/>
          <w:szCs w:val="24"/>
          <w:u w:color="004147"/>
        </w:rPr>
      </w:pPr>
    </w:p>
    <w:p w14:paraId="4649DD65">
      <w:pPr>
        <w:pStyle w:val="16"/>
        <w:rPr>
          <w:rFonts w:ascii="Calibri" w:hAnsi="Calibri" w:cs="Calibri"/>
          <w:b/>
          <w:bCs/>
          <w:color w:val="auto"/>
          <w:sz w:val="24"/>
          <w:szCs w:val="24"/>
          <w:u w:color="004147"/>
        </w:rPr>
      </w:pPr>
    </w:p>
    <w:p w14:paraId="1ABF338D">
      <w:pPr>
        <w:pStyle w:val="16"/>
        <w:rPr>
          <w:rFonts w:ascii="Calibri" w:hAnsi="Calibri" w:cs="Calibri"/>
          <w:b/>
          <w:bCs/>
          <w:color w:val="auto"/>
          <w:sz w:val="24"/>
          <w:szCs w:val="24"/>
          <w:u w:color="004147"/>
        </w:rPr>
      </w:pPr>
    </w:p>
    <w:p w14:paraId="3429631E">
      <w:pPr>
        <w:pStyle w:val="16"/>
        <w:rPr>
          <w:rFonts w:ascii="Calibri" w:hAnsi="Calibri" w:cs="Calibri"/>
          <w:b/>
          <w:bCs/>
          <w:color w:val="auto"/>
          <w:sz w:val="24"/>
          <w:szCs w:val="24"/>
          <w:u w:color="004147"/>
        </w:rPr>
      </w:pPr>
    </w:p>
    <w:p w14:paraId="32CC46E6">
      <w:pPr>
        <w:pStyle w:val="16"/>
        <w:rPr>
          <w:rFonts w:ascii="Calibri" w:hAnsi="Calibri" w:cs="Calibri"/>
          <w:b/>
          <w:bCs/>
          <w:color w:val="auto"/>
          <w:sz w:val="24"/>
          <w:szCs w:val="24"/>
          <w:u w:color="004147"/>
        </w:rPr>
      </w:pPr>
    </w:p>
    <w:p w14:paraId="61C8A697">
      <w:pPr>
        <w:pStyle w:val="16"/>
        <w:rPr>
          <w:rFonts w:ascii="Calibri" w:hAnsi="Calibri" w:cs="Calibri"/>
          <w:b/>
          <w:bCs/>
          <w:color w:val="auto"/>
          <w:sz w:val="24"/>
          <w:szCs w:val="24"/>
          <w:u w:color="004147"/>
        </w:rPr>
      </w:pPr>
    </w:p>
    <w:p w14:paraId="02107A5F">
      <w:pPr>
        <w:pStyle w:val="16"/>
        <w:rPr>
          <w:rFonts w:ascii="Calibri" w:hAnsi="Calibri" w:cs="Calibri"/>
          <w:b/>
          <w:bCs/>
          <w:color w:val="auto"/>
          <w:sz w:val="24"/>
          <w:szCs w:val="24"/>
          <w:u w:color="004147"/>
        </w:rPr>
      </w:pPr>
      <w:r>
        <w:rPr>
          <w:rFonts w:ascii="Calibri" w:hAnsi="Calibri" w:cs="Calibri"/>
          <w:b/>
          <w:bCs/>
          <w:color w:val="auto"/>
          <w:sz w:val="24"/>
          <w:szCs w:val="24"/>
          <w:u w:color="004147"/>
          <w:lang w:val="en-GB"/>
        </w:rPr>
        <w:t xml:space="preserve">AC 2.2 </w:t>
      </w:r>
      <w:r>
        <w:rPr>
          <w:rFonts w:ascii="Calibri" w:hAnsi="Calibri" w:cs="Calibri"/>
          <w:b/>
          <w:bCs/>
          <w:color w:val="auto"/>
          <w:sz w:val="24"/>
          <w:szCs w:val="24"/>
          <w:u w:color="004147"/>
        </w:rPr>
        <w:t>Evaluate the techniques used to support the process of workforce planning.</w:t>
      </w:r>
    </w:p>
    <w:p w14:paraId="4D332D75">
      <w:pPr>
        <w:pStyle w:val="16"/>
        <w:rPr>
          <w:rFonts w:ascii="Calibri" w:hAnsi="Calibri" w:cs="Calibri"/>
          <w:b/>
          <w:bCs/>
          <w:color w:val="auto"/>
          <w:sz w:val="24"/>
          <w:szCs w:val="24"/>
          <w:u w:color="004147"/>
        </w:rPr>
      </w:pPr>
    </w:p>
    <w:p w14:paraId="3F63BC05">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According to the CIPD, </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2024</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workforce planning is a principle</w:t>
      </w:r>
      <w:r>
        <w:rPr>
          <w:rFonts w:hint="default" w:ascii="Calibri" w:hAnsi="Calibri" w:cs="Calibri"/>
          <w:color w:val="auto"/>
          <w:sz w:val="24"/>
          <w:szCs w:val="24"/>
          <w:u w:color="004147"/>
          <w:lang w:val="en-GB"/>
        </w:rPr>
        <w:t xml:space="preserve"> used </w:t>
      </w:r>
      <w:r>
        <w:rPr>
          <w:rFonts w:ascii="Calibri" w:hAnsi="Calibri" w:cs="Calibri"/>
          <w:color w:val="auto"/>
          <w:sz w:val="24"/>
          <w:szCs w:val="24"/>
          <w:u w:color="004147"/>
          <w:lang w:val="en-GB"/>
        </w:rPr>
        <w:t xml:space="preserve">to provide insights into the labour market and is a good way of being able to plan your workforce inline with the strategic goals of the organisation. Several techniques can be used to resolve the current issues attracting and retaining staff. </w:t>
      </w:r>
    </w:p>
    <w:p w14:paraId="7030E67A">
      <w:pPr>
        <w:pStyle w:val="16"/>
        <w:rPr>
          <w:rFonts w:ascii="Calibri" w:hAnsi="Calibri" w:cs="Calibri"/>
          <w:color w:val="auto"/>
          <w:sz w:val="24"/>
          <w:szCs w:val="24"/>
          <w:u w:color="004147"/>
          <w:lang w:val="en-GB"/>
        </w:rPr>
      </w:pPr>
    </w:p>
    <w:p w14:paraId="1F06CE48">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SWOT Analysis - According to Armstrong (2020, p.239), a SWOT analysis is an approach that is used for an organisation to look ‘in’ and ‘out’ by analysing their strengths</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weaknesses</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xml:space="preserve"> opportunities and threats. A SWOT can be useful in workforce planning as it is a simple and flexible method to help plan its future workforce needs (CIPD, 2025). Due to its simplistic nature there is a danger that it can fail to address uncertainty and that well researched evidence and data should be used to present a robust argument (Taylor and Woodhams, 2022, p. 46). This is unlike workforce analytics which can provide substantial data to make informed decisions (Armstrong, 2020).</w:t>
      </w:r>
    </w:p>
    <w:p w14:paraId="632472A7">
      <w:pPr>
        <w:pStyle w:val="16"/>
        <w:rPr>
          <w:rFonts w:ascii="Calibri" w:hAnsi="Calibri" w:cs="Calibri"/>
          <w:color w:val="auto"/>
          <w:sz w:val="24"/>
          <w:szCs w:val="24"/>
          <w:u w:color="004147"/>
          <w:lang w:val="en-GB"/>
        </w:rPr>
      </w:pPr>
    </w:p>
    <w:p w14:paraId="084F49FC">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Scenario planning - According to the CIPD</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2024</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scenario planning can help an organisation to identify how the future looks and assists in putting contingency plans in place to ensure that you have the suitable skills and staffing levels based on changes in the labour market. CIPD describe the use of a futures cone to be able to identify possible scenarios:</w:t>
      </w:r>
    </w:p>
    <w:p w14:paraId="64D60FCD">
      <w:pPr>
        <w:pStyle w:val="16"/>
        <w:rPr>
          <w:rFonts w:ascii="Calibri" w:hAnsi="Calibri" w:cs="Calibri"/>
          <w:color w:val="auto"/>
          <w:sz w:val="24"/>
          <w:szCs w:val="24"/>
          <w:u w:color="004147"/>
          <w:lang w:val="en-GB"/>
        </w:rPr>
      </w:pPr>
    </w:p>
    <w:p w14:paraId="032921B7">
      <w:pPr>
        <w:pStyle w:val="16"/>
        <w:rPr>
          <w:rFonts w:ascii="Calibri" w:hAnsi="Calibri" w:cs="Calibri"/>
          <w:color w:val="auto"/>
          <w:sz w:val="24"/>
          <w:szCs w:val="24"/>
          <w:u w:color="004147"/>
          <w:lang w:val="en-GB"/>
        </w:rPr>
      </w:pPr>
      <w:r>
        <w:rPr>
          <w:rFonts w:ascii="SimSun" w:hAnsi="SimSun" w:eastAsia="SimSun" w:cs="SimSun"/>
          <w:color w:val="auto"/>
          <w:sz w:val="24"/>
          <w:szCs w:val="24"/>
        </w:rPr>
        <w:drawing>
          <wp:inline distT="0" distB="0" distL="114300" distR="114300">
            <wp:extent cx="5723890" cy="3221355"/>
            <wp:effectExtent l="0" t="0" r="6350" b="952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5"/>
                    <a:stretch>
                      <a:fillRect/>
                    </a:stretch>
                  </pic:blipFill>
                  <pic:spPr>
                    <a:xfrm>
                      <a:off x="0" y="0"/>
                      <a:ext cx="5723890" cy="3221355"/>
                    </a:xfrm>
                    <a:prstGeom prst="rect">
                      <a:avLst/>
                    </a:prstGeom>
                    <a:noFill/>
                    <a:ln w="9525">
                      <a:noFill/>
                    </a:ln>
                  </pic:spPr>
                </pic:pic>
              </a:graphicData>
            </a:graphic>
          </wp:inline>
        </w:drawing>
      </w:r>
    </w:p>
    <w:p w14:paraId="5BFF0EB8">
      <w:pPr>
        <w:pStyle w:val="16"/>
        <w:rPr>
          <w:rFonts w:ascii="Calibri" w:hAnsi="Calibri" w:cs="Calibri"/>
          <w:color w:val="auto"/>
          <w:sz w:val="24"/>
          <w:szCs w:val="24"/>
          <w:u w:color="004147"/>
          <w:lang w:val="en-GB"/>
        </w:rPr>
      </w:pPr>
      <w:r>
        <w:rPr>
          <w:rFonts w:hint="default" w:ascii="Calibri" w:hAnsi="Calibri" w:cs="Calibri"/>
          <w:color w:val="auto"/>
          <w:sz w:val="24"/>
          <w:szCs w:val="24"/>
          <w:u w:color="004147"/>
          <w:lang w:val="en-GB"/>
        </w:rPr>
        <w:t>Figure 2 I</w:t>
      </w:r>
      <w:r>
        <w:rPr>
          <w:rFonts w:ascii="Calibri" w:hAnsi="Calibri" w:cs="Calibri"/>
          <w:color w:val="auto"/>
          <w:sz w:val="24"/>
          <w:szCs w:val="24"/>
          <w:u w:color="004147"/>
          <w:lang w:val="en-GB"/>
        </w:rPr>
        <w:t>mage taken from CIPD,  Horizon Scanning, 2022)</w:t>
      </w:r>
    </w:p>
    <w:p w14:paraId="62E48D40">
      <w:pPr>
        <w:pStyle w:val="16"/>
        <w:rPr>
          <w:rFonts w:ascii="Calibri" w:hAnsi="Calibri" w:cs="Calibri"/>
          <w:color w:val="auto"/>
          <w:sz w:val="24"/>
          <w:szCs w:val="24"/>
          <w:u w:color="004147"/>
          <w:lang w:val="en-GB"/>
        </w:rPr>
      </w:pPr>
    </w:p>
    <w:p w14:paraId="750BAA03">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This technique could help Parcel</w:t>
      </w:r>
      <w:r>
        <w:rPr>
          <w:rFonts w:hint="default" w:ascii="Calibri" w:hAnsi="Calibri" w:cs="Calibri"/>
          <w:color w:val="auto"/>
          <w:sz w:val="24"/>
          <w:szCs w:val="24"/>
          <w:u w:color="004147"/>
          <w:lang w:val="en-GB"/>
        </w:rPr>
        <w:t>C</w:t>
      </w:r>
      <w:r>
        <w:rPr>
          <w:rFonts w:ascii="Calibri" w:hAnsi="Calibri" w:cs="Calibri"/>
          <w:color w:val="auto"/>
          <w:sz w:val="24"/>
          <w:szCs w:val="24"/>
          <w:u w:color="004147"/>
          <w:lang w:val="en-GB"/>
        </w:rPr>
        <w:t xml:space="preserve">are to resolve some of the existing issues with attraction and retention of staff however it is worth noting that time and investment needs to be provided to facilitate this and its also very challenging to predict the future </w:t>
      </w:r>
      <w:r>
        <w:rPr>
          <w:rFonts w:hint="default" w:ascii="Calibri" w:hAnsi="Calibri" w:cs="Calibri"/>
          <w:color w:val="auto"/>
          <w:sz w:val="24"/>
          <w:szCs w:val="24"/>
          <w:u w:color="004147"/>
          <w:lang w:val="en-GB"/>
        </w:rPr>
        <w:t xml:space="preserve">for example, </w:t>
      </w:r>
      <w:r>
        <w:rPr>
          <w:rFonts w:ascii="Calibri" w:hAnsi="Calibri" w:cs="Calibri"/>
          <w:color w:val="auto"/>
          <w:sz w:val="24"/>
          <w:szCs w:val="24"/>
          <w:u w:color="004147"/>
          <w:lang w:val="en-GB"/>
        </w:rPr>
        <w:t xml:space="preserve"> the Covid Pandemic (CIPD, 2022). </w:t>
      </w:r>
    </w:p>
    <w:p w14:paraId="5B862628">
      <w:pPr>
        <w:pStyle w:val="16"/>
        <w:rPr>
          <w:rFonts w:ascii="Calibri" w:hAnsi="Calibri" w:cs="Calibri"/>
          <w:color w:val="auto"/>
          <w:sz w:val="24"/>
          <w:szCs w:val="24"/>
          <w:u w:color="004147"/>
          <w:lang w:val="en-GB"/>
        </w:rPr>
      </w:pPr>
    </w:p>
    <w:p w14:paraId="4472AA1E">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Workforce analytics - According to Armstrong (2020, p.293) there are 4 types of data  required to analyse the workforce. These include qualitative internal data (people’s skills and performance), quantitative internal data (turnover, absence, demographics), qualitative external data (PESTLE) and quantitative external data (labour market).  This data can then be used to to look at past trends to predict future workforce requirements and help to provide real life data on its existing and predicted workforce as it helps to make better decisions by looking at trends in the labour market (CIPD, 2025). The main downside to using this technique is it can be very time consuming and again, similar to the scenario planning technique, it is very hard to predict the future changes in the labour market.</w:t>
      </w:r>
    </w:p>
    <w:p w14:paraId="7DF515B7">
      <w:pPr>
        <w:pStyle w:val="16"/>
        <w:rPr>
          <w:rFonts w:ascii="Calibri" w:hAnsi="Calibri" w:cs="Calibri"/>
          <w:color w:val="auto"/>
          <w:sz w:val="24"/>
          <w:szCs w:val="24"/>
          <w:u w:color="004147"/>
          <w:lang w:val="en-GB"/>
        </w:rPr>
      </w:pPr>
    </w:p>
    <w:p w14:paraId="3E4EFEFF">
      <w:pPr>
        <w:pStyle w:val="16"/>
        <w:rPr>
          <w:rFonts w:hint="default" w:ascii="Calibri" w:hAnsi="Calibri" w:cs="Calibri"/>
          <w:b/>
          <w:bCs/>
          <w:color w:val="auto"/>
          <w:sz w:val="24"/>
          <w:szCs w:val="24"/>
          <w:u w:color="004147"/>
          <w:lang w:val="en-GB"/>
        </w:rPr>
      </w:pPr>
      <w:r>
        <w:rPr>
          <w:rFonts w:ascii="Calibri" w:hAnsi="Calibri" w:cs="Calibri"/>
          <w:color w:val="auto"/>
          <w:sz w:val="24"/>
          <w:szCs w:val="24"/>
          <w:u w:color="004147"/>
          <w:lang w:val="en-GB"/>
        </w:rPr>
        <w:t>By using the above techniques, it will ensure that ParcelCare have ‘the right people, with the right skills, in the right place at the right time’ (Taylor and Woodhams, 2022, p.38).</w:t>
      </w:r>
    </w:p>
    <w:p w14:paraId="77995DAA">
      <w:pPr>
        <w:pStyle w:val="16"/>
        <w:rPr>
          <w:rFonts w:ascii="Calibri" w:hAnsi="Calibri" w:cs="Calibri"/>
          <w:b/>
          <w:bCs/>
          <w:color w:val="auto"/>
          <w:sz w:val="24"/>
          <w:szCs w:val="24"/>
          <w:u w:color="004147"/>
        </w:rPr>
      </w:pPr>
    </w:p>
    <w:p w14:paraId="51AB4B93">
      <w:pPr>
        <w:pStyle w:val="16"/>
        <w:rPr>
          <w:rFonts w:ascii="Calibri" w:hAnsi="Calibri" w:cs="Calibri"/>
          <w:b/>
          <w:bCs/>
          <w:color w:val="auto"/>
          <w:sz w:val="24"/>
          <w:szCs w:val="24"/>
          <w:u w:color="004147"/>
        </w:rPr>
      </w:pPr>
    </w:p>
    <w:p w14:paraId="337F3A51">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 xml:space="preserve">AC 2.3 </w:t>
      </w:r>
    </w:p>
    <w:p w14:paraId="32ED0F31">
      <w:pPr>
        <w:pStyle w:val="16"/>
        <w:rPr>
          <w:rFonts w:ascii="Calibri" w:hAnsi="Calibri" w:cs="Calibri"/>
          <w:b/>
          <w:bCs/>
          <w:color w:val="auto"/>
          <w:sz w:val="24"/>
          <w:szCs w:val="24"/>
          <w:u w:color="004147"/>
        </w:rPr>
      </w:pPr>
      <w:r>
        <w:rPr>
          <w:rFonts w:ascii="Calibri" w:hAnsi="Calibri" w:cs="Calibri"/>
          <w:b/>
          <w:bCs/>
          <w:color w:val="auto"/>
          <w:sz w:val="24"/>
          <w:szCs w:val="24"/>
          <w:u w:color="004147"/>
        </w:rPr>
        <w:t>Evaluate the strengths and weaknesses of different methods of recruitment and selection to build effective workforces.</w:t>
      </w:r>
    </w:p>
    <w:p w14:paraId="4B6C9581">
      <w:pPr>
        <w:pStyle w:val="16"/>
        <w:rPr>
          <w:rFonts w:ascii="Calibri" w:hAnsi="Calibri" w:cs="Calibri"/>
          <w:b/>
          <w:bCs/>
          <w:color w:val="auto"/>
          <w:sz w:val="24"/>
          <w:szCs w:val="24"/>
          <w:u w:color="004147"/>
        </w:rPr>
      </w:pPr>
    </w:p>
    <w:p w14:paraId="1FB05360">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There are a number of recruitment and selection methods available. Recruitment methods include  referral schemes,  social media and  job websites (BBC, 2025) with 90% of organisations using structured interviews as well assessment centres and skills tests as selection methods. (CIPD, 2025)</w:t>
      </w:r>
    </w:p>
    <w:p w14:paraId="4A7B57BA">
      <w:pPr>
        <w:pStyle w:val="16"/>
        <w:rPr>
          <w:rFonts w:ascii="Calibri" w:hAnsi="Calibri" w:cs="Calibri"/>
          <w:color w:val="auto"/>
          <w:sz w:val="24"/>
          <w:szCs w:val="24"/>
          <w:u w:color="004147"/>
          <w:lang w:val="en-GB"/>
        </w:rPr>
      </w:pPr>
    </w:p>
    <w:p w14:paraId="5AE48EEB">
      <w:pPr>
        <w:pStyle w:val="16"/>
        <w:rPr>
          <w:rFonts w:ascii="Calibri" w:hAnsi="Calibri" w:cs="Calibri"/>
          <w:color w:val="auto"/>
          <w:sz w:val="24"/>
          <w:szCs w:val="24"/>
          <w:u w:color="004147"/>
          <w:lang w:val="en-GB"/>
        </w:rPr>
      </w:pPr>
      <w:r>
        <w:rPr>
          <w:rFonts w:hint="default" w:ascii="Calibri" w:hAnsi="Calibri" w:cs="Calibri"/>
          <w:b/>
          <w:bCs/>
          <w:color w:val="auto"/>
          <w:sz w:val="24"/>
          <w:szCs w:val="24"/>
          <w:u w:color="004147"/>
          <w:lang w:val="en-GB"/>
        </w:rPr>
        <w:t>S</w:t>
      </w:r>
      <w:r>
        <w:rPr>
          <w:rFonts w:ascii="Calibri" w:hAnsi="Calibri" w:cs="Calibri"/>
          <w:b/>
          <w:bCs/>
          <w:color w:val="auto"/>
          <w:sz w:val="24"/>
          <w:szCs w:val="24"/>
          <w:u w:color="004147"/>
          <w:lang w:val="en-GB"/>
        </w:rPr>
        <w:t>ocial media</w:t>
      </w:r>
      <w:r>
        <w:rPr>
          <w:rFonts w:ascii="Calibri" w:hAnsi="Calibri" w:cs="Calibri"/>
          <w:color w:val="auto"/>
          <w:sz w:val="24"/>
          <w:szCs w:val="24"/>
          <w:u w:color="004147"/>
          <w:lang w:val="en-GB"/>
        </w:rPr>
        <w:t xml:space="preserve">. </w:t>
      </w:r>
    </w:p>
    <w:p w14:paraId="78E149D7">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Facebook</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and LinkedIn are popular ways of adver</w:t>
      </w:r>
      <w:r>
        <w:rPr>
          <w:rFonts w:hint="default" w:ascii="Calibri" w:hAnsi="Calibri" w:cs="Calibri"/>
          <w:color w:val="auto"/>
          <w:sz w:val="24"/>
          <w:szCs w:val="24"/>
          <w:u w:color="004147"/>
          <w:lang w:val="en-GB"/>
        </w:rPr>
        <w:t>tising j</w:t>
      </w:r>
      <w:r>
        <w:rPr>
          <w:rFonts w:ascii="Calibri" w:hAnsi="Calibri" w:cs="Calibri"/>
          <w:color w:val="auto"/>
          <w:sz w:val="24"/>
          <w:szCs w:val="24"/>
          <w:u w:color="004147"/>
          <w:lang w:val="en-GB"/>
        </w:rPr>
        <w:t>ob vacancies. LinkedIn allows employers to search for prospective candidates according to specific words</w:t>
      </w:r>
      <w:r>
        <w:rPr>
          <w:rFonts w:hint="default" w:ascii="Calibri" w:hAnsi="Calibri" w:cs="Calibri"/>
          <w:color w:val="auto"/>
          <w:sz w:val="24"/>
          <w:szCs w:val="24"/>
          <w:u w:color="004147"/>
          <w:lang w:val="en-GB"/>
        </w:rPr>
        <w:t xml:space="preserve"> however it may not attract the type of candidate required for ParcelCare. </w:t>
      </w:r>
      <w:r>
        <w:rPr>
          <w:rFonts w:ascii="Calibri" w:hAnsi="Calibri" w:cs="Calibri"/>
          <w:color w:val="auto"/>
          <w:sz w:val="24"/>
          <w:szCs w:val="24"/>
          <w:u w:color="004147"/>
          <w:lang w:val="en-GB"/>
        </w:rPr>
        <w:t>The employer brand can be promoted on social media, allowing you to attract the most suitable candidates to</w:t>
      </w:r>
      <w:r>
        <w:rPr>
          <w:rFonts w:hint="default" w:ascii="Calibri" w:hAnsi="Calibri" w:cs="Calibri"/>
          <w:color w:val="auto"/>
          <w:sz w:val="24"/>
          <w:szCs w:val="24"/>
          <w:u w:color="004147"/>
          <w:lang w:val="en-GB"/>
        </w:rPr>
        <w:t xml:space="preserve"> in a cost effective manner with Facebook being the most suitable (CIPD, 2021). I</w:t>
      </w:r>
      <w:r>
        <w:rPr>
          <w:rFonts w:ascii="Calibri" w:hAnsi="Calibri" w:cs="Calibri"/>
          <w:color w:val="auto"/>
          <w:sz w:val="24"/>
          <w:szCs w:val="24"/>
          <w:u w:color="004147"/>
          <w:lang w:val="en-GB"/>
        </w:rPr>
        <w:t>t is worth noting that this method may generate too many applicants and the employer has to manage this along with its own brand which can be time consuming (Armstrong, 2020, p.309).</w:t>
      </w:r>
    </w:p>
    <w:p w14:paraId="75DAC40C">
      <w:pPr>
        <w:pStyle w:val="16"/>
        <w:rPr>
          <w:rFonts w:ascii="Calibri" w:hAnsi="Calibri" w:cs="Calibri"/>
          <w:color w:val="auto"/>
          <w:sz w:val="24"/>
          <w:szCs w:val="24"/>
          <w:u w:color="004147"/>
          <w:lang w:val="en-GB"/>
        </w:rPr>
      </w:pPr>
    </w:p>
    <w:p w14:paraId="2BE49D97">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Referral Programmes</w:t>
      </w:r>
      <w:r>
        <w:rPr>
          <w:rFonts w:ascii="Calibri" w:hAnsi="Calibri" w:cs="Calibri"/>
          <w:color w:val="auto"/>
          <w:sz w:val="24"/>
          <w:szCs w:val="24"/>
          <w:u w:color="004147"/>
          <w:lang w:val="en-GB"/>
        </w:rPr>
        <w:t xml:space="preserve">. </w:t>
      </w:r>
    </w:p>
    <w:p w14:paraId="64A005CE">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It </w:t>
      </w:r>
      <w:r>
        <w:rPr>
          <w:rFonts w:hint="default" w:ascii="Calibri" w:hAnsi="Calibri" w:cs="Calibri"/>
          <w:color w:val="auto"/>
          <w:sz w:val="24"/>
          <w:szCs w:val="24"/>
          <w:u w:color="004147"/>
          <w:lang w:val="en-GB"/>
        </w:rPr>
        <w:t xml:space="preserve">is worth </w:t>
      </w:r>
      <w:r>
        <w:rPr>
          <w:rFonts w:ascii="Calibri" w:hAnsi="Calibri" w:cs="Calibri"/>
          <w:color w:val="auto"/>
          <w:sz w:val="24"/>
          <w:szCs w:val="24"/>
          <w:u w:color="004147"/>
          <w:lang w:val="en-GB"/>
        </w:rPr>
        <w:t>considering targeting those in underrepresented groups through the word of mouth</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xml:space="preserve"> The main benefits for this is that it is likely if someone refer</w:t>
      </w:r>
      <w:r>
        <w:rPr>
          <w:rFonts w:hint="default" w:ascii="Calibri" w:hAnsi="Calibri" w:cs="Calibri"/>
          <w:color w:val="auto"/>
          <w:sz w:val="24"/>
          <w:szCs w:val="24"/>
          <w:u w:color="004147"/>
          <w:lang w:val="en-GB"/>
        </w:rPr>
        <w:t>s</w:t>
      </w:r>
      <w:r>
        <w:rPr>
          <w:rFonts w:ascii="Calibri" w:hAnsi="Calibri" w:cs="Calibri"/>
          <w:color w:val="auto"/>
          <w:sz w:val="24"/>
          <w:szCs w:val="24"/>
          <w:u w:color="004147"/>
          <w:lang w:val="en-GB"/>
        </w:rPr>
        <w:t xml:space="preserve"> someone they know  it is a good sign that they are happy working for the company.  An example of where this has been used recently is the Ministry of Defence who wanted to attract more women. They challenged managers to share the vacancies with 5 other women </w:t>
      </w:r>
      <w:r>
        <w:rPr>
          <w:rFonts w:hint="default" w:ascii="Calibri" w:hAnsi="Calibri" w:cs="Calibri"/>
          <w:color w:val="auto"/>
          <w:sz w:val="24"/>
          <w:szCs w:val="24"/>
          <w:u w:color="004147"/>
          <w:lang w:val="en-GB"/>
        </w:rPr>
        <w:t>where</w:t>
      </w:r>
      <w:r>
        <w:rPr>
          <w:rFonts w:ascii="Calibri" w:hAnsi="Calibri" w:cs="Calibri"/>
          <w:color w:val="auto"/>
          <w:sz w:val="24"/>
          <w:szCs w:val="24"/>
          <w:u w:color="004147"/>
          <w:lang w:val="en-GB"/>
        </w:rPr>
        <w:t xml:space="preserve"> referrals for women rose from 40% to 54% in male dominated roles.  </w:t>
      </w:r>
      <w:r>
        <w:rPr>
          <w:rFonts w:hint="default" w:ascii="Calibri" w:hAnsi="Calibri" w:cs="Calibri"/>
          <w:color w:val="auto"/>
          <w:sz w:val="24"/>
          <w:szCs w:val="24"/>
          <w:u w:color="004147"/>
          <w:lang w:val="en-GB"/>
        </w:rPr>
        <w:t>Y</w:t>
      </w:r>
      <w:r>
        <w:rPr>
          <w:rFonts w:ascii="Calibri" w:hAnsi="Calibri" w:cs="Calibri"/>
          <w:color w:val="auto"/>
          <w:sz w:val="24"/>
          <w:szCs w:val="24"/>
          <w:u w:color="004147"/>
          <w:lang w:val="en-GB"/>
        </w:rPr>
        <w:t>ou must be mindful of not creating a non-diverse workforce due to the referrals coming from marginalised groups (CIPD, 2022).</w:t>
      </w:r>
    </w:p>
    <w:p w14:paraId="6A0B9D01">
      <w:pPr>
        <w:pStyle w:val="16"/>
        <w:rPr>
          <w:rFonts w:ascii="Calibri" w:hAnsi="Calibri" w:cs="Calibri"/>
          <w:color w:val="auto"/>
          <w:sz w:val="24"/>
          <w:szCs w:val="24"/>
          <w:u w:color="004147"/>
          <w:lang w:val="en-GB"/>
        </w:rPr>
      </w:pPr>
    </w:p>
    <w:p w14:paraId="51AA4431">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Assessment centres.</w:t>
      </w:r>
      <w:r>
        <w:rPr>
          <w:rFonts w:ascii="Calibri" w:hAnsi="Calibri" w:cs="Calibri"/>
          <w:color w:val="auto"/>
          <w:sz w:val="24"/>
          <w:szCs w:val="24"/>
          <w:u w:color="004147"/>
          <w:lang w:val="en-GB"/>
        </w:rPr>
        <w:t xml:space="preserve"> </w:t>
      </w:r>
    </w:p>
    <w:p w14:paraId="5A932227">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Th</w:t>
      </w:r>
      <w:r>
        <w:rPr>
          <w:rFonts w:hint="default" w:ascii="Calibri" w:hAnsi="Calibri" w:cs="Calibri"/>
          <w:color w:val="auto"/>
          <w:sz w:val="24"/>
          <w:szCs w:val="24"/>
          <w:u w:color="004147"/>
          <w:lang w:val="en-GB"/>
        </w:rPr>
        <w:t>ese are</w:t>
      </w:r>
      <w:r>
        <w:rPr>
          <w:rFonts w:ascii="Calibri" w:hAnsi="Calibri" w:cs="Calibri"/>
          <w:color w:val="auto"/>
          <w:sz w:val="24"/>
          <w:szCs w:val="24"/>
          <w:u w:color="004147"/>
          <w:lang w:val="en-GB"/>
        </w:rPr>
        <w:t xml:space="preserve"> useful </w:t>
      </w:r>
      <w:r>
        <w:rPr>
          <w:rFonts w:hint="default" w:ascii="Calibri" w:hAnsi="Calibri" w:cs="Calibri"/>
          <w:color w:val="auto"/>
          <w:sz w:val="24"/>
          <w:szCs w:val="24"/>
          <w:u w:color="004147"/>
          <w:lang w:val="en-GB"/>
        </w:rPr>
        <w:t>to s</w:t>
      </w:r>
      <w:r>
        <w:rPr>
          <w:rFonts w:ascii="Calibri" w:hAnsi="Calibri" w:cs="Calibri"/>
          <w:color w:val="auto"/>
          <w:sz w:val="24"/>
          <w:szCs w:val="24"/>
          <w:u w:color="004147"/>
          <w:lang w:val="en-GB"/>
        </w:rPr>
        <w:t>et specific tasks to assess skills associated with the role. The use of role play, group work, presentations and interviews could be included in the assessment. The main benefit of this approach is that you are able to use a range of evidence to make your final decisi</w:t>
      </w:r>
      <w:r>
        <w:rPr>
          <w:rFonts w:hint="default" w:ascii="Calibri" w:hAnsi="Calibri" w:cs="Calibri"/>
          <w:color w:val="auto"/>
          <w:sz w:val="24"/>
          <w:szCs w:val="24"/>
          <w:u w:color="004147"/>
          <w:lang w:val="en-GB"/>
        </w:rPr>
        <w:t>on</w:t>
      </w:r>
      <w:r>
        <w:rPr>
          <w:rFonts w:ascii="Calibri" w:hAnsi="Calibri" w:cs="Calibri"/>
          <w:color w:val="auto"/>
          <w:sz w:val="24"/>
          <w:szCs w:val="24"/>
          <w:u w:color="004147"/>
          <w:lang w:val="en-GB"/>
        </w:rPr>
        <w:t xml:space="preserve"> (Taylor and Woodhams, 2022, p. 45). The limitation is that there is little evidence of their value compared to the time and costs required to host such events (CIPD, 2022). </w:t>
      </w:r>
    </w:p>
    <w:p w14:paraId="5992167F">
      <w:pPr>
        <w:pStyle w:val="16"/>
        <w:rPr>
          <w:rFonts w:ascii="Calibri" w:hAnsi="Calibri" w:cs="Calibri"/>
          <w:color w:val="auto"/>
          <w:sz w:val="24"/>
          <w:szCs w:val="24"/>
          <w:u w:color="004147"/>
          <w:lang w:val="en-GB"/>
        </w:rPr>
      </w:pPr>
    </w:p>
    <w:p w14:paraId="2F4804A2">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Situational judgement tests.</w:t>
      </w:r>
      <w:r>
        <w:rPr>
          <w:rFonts w:ascii="Calibri" w:hAnsi="Calibri" w:cs="Calibri"/>
          <w:color w:val="auto"/>
          <w:sz w:val="24"/>
          <w:szCs w:val="24"/>
          <w:u w:color="004147"/>
          <w:lang w:val="en-GB"/>
        </w:rPr>
        <w:t xml:space="preserve"> </w:t>
      </w:r>
    </w:p>
    <w:p w14:paraId="5475E84B">
      <w:pPr>
        <w:pStyle w:val="16"/>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This approach can be useful to test occupational competence  and can be linked to tasks required as part of a role. It is important to ensure that criteria is established to measure successful outcomes prior to the tests being conducted (Armstrong, 2020, p.319). There are limitations that need to be considered as research shows that white people perform better than ethnic groups and women usually perform better than men</w:t>
      </w:r>
      <w:r>
        <w:rPr>
          <w:rFonts w:hint="default" w:ascii="Calibri" w:hAnsi="Calibri" w:cs="Calibri"/>
          <w:color w:val="auto"/>
          <w:sz w:val="24"/>
          <w:szCs w:val="24"/>
          <w:u w:color="004147"/>
          <w:lang w:val="en-GB"/>
        </w:rPr>
        <w:t xml:space="preserve"> (CIPD, 2022).</w:t>
      </w:r>
    </w:p>
    <w:p w14:paraId="4A5D5D23">
      <w:pPr>
        <w:pStyle w:val="16"/>
        <w:rPr>
          <w:rFonts w:ascii="Calibri" w:hAnsi="Calibri" w:cs="Calibri"/>
          <w:b/>
          <w:bCs/>
          <w:color w:val="auto"/>
          <w:sz w:val="24"/>
          <w:szCs w:val="24"/>
          <w:u w:color="004147"/>
          <w:lang w:val="en-GB"/>
        </w:rPr>
      </w:pPr>
    </w:p>
    <w:p w14:paraId="7ACAE406">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 xml:space="preserve">The use of a </w:t>
      </w:r>
      <w:r>
        <w:rPr>
          <w:rFonts w:ascii="Calibri" w:hAnsi="Calibri" w:cs="Calibri"/>
          <w:color w:val="auto"/>
          <w:sz w:val="24"/>
          <w:szCs w:val="24"/>
          <w:u w:color="004147"/>
          <w:lang w:val="en-GB"/>
        </w:rPr>
        <w:t>range of both recruitment and selection would help to support ParcelCare i</w:t>
      </w:r>
      <w:r>
        <w:rPr>
          <w:rFonts w:hint="default" w:ascii="Calibri" w:hAnsi="Calibri" w:cs="Calibri"/>
          <w:color w:val="auto"/>
          <w:sz w:val="24"/>
          <w:szCs w:val="24"/>
          <w:u w:color="004147"/>
          <w:lang w:val="en-GB"/>
        </w:rPr>
        <w:t xml:space="preserve">n its </w:t>
      </w:r>
      <w:r>
        <w:rPr>
          <w:rFonts w:ascii="Calibri" w:hAnsi="Calibri" w:cs="Calibri"/>
          <w:color w:val="auto"/>
          <w:sz w:val="24"/>
          <w:szCs w:val="24"/>
          <w:u w:color="004147"/>
          <w:lang w:val="en-GB"/>
        </w:rPr>
        <w:t xml:space="preserve">workforce </w:t>
      </w:r>
      <w:r>
        <w:rPr>
          <w:rFonts w:hint="default" w:ascii="Calibri" w:hAnsi="Calibri" w:cs="Calibri"/>
          <w:color w:val="auto"/>
          <w:sz w:val="24"/>
          <w:szCs w:val="24"/>
          <w:u w:color="004147"/>
          <w:lang w:val="en-GB"/>
        </w:rPr>
        <w:t>planning strategy</w:t>
      </w:r>
      <w:r>
        <w:rPr>
          <w:rFonts w:ascii="Calibri" w:hAnsi="Calibri" w:cs="Calibri"/>
          <w:color w:val="auto"/>
          <w:sz w:val="24"/>
          <w:szCs w:val="24"/>
          <w:u w:color="004147"/>
          <w:lang w:val="en-GB"/>
        </w:rPr>
        <w:t>. The use of a structured interview alongside situational judgement tests would help to make an informed decision. By widening the reach of job advert through the use of social media would help to ensure that a greater audience were reached as part of the recruitment drive</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 xml:space="preserve">(Armstrong, 2020, p.325). </w:t>
      </w:r>
    </w:p>
    <w:p w14:paraId="549AB1FD">
      <w:pPr>
        <w:pStyle w:val="16"/>
        <w:rPr>
          <w:rFonts w:ascii="Calibri" w:hAnsi="Calibri" w:cs="Calibri"/>
          <w:b/>
          <w:bCs/>
          <w:color w:val="auto"/>
          <w:sz w:val="24"/>
          <w:szCs w:val="24"/>
          <w:u w:color="004147"/>
          <w:lang w:val="en-GB"/>
        </w:rPr>
      </w:pPr>
    </w:p>
    <w:p w14:paraId="4DAB21D5">
      <w:pPr>
        <w:pStyle w:val="16"/>
        <w:rPr>
          <w:rFonts w:ascii="Calibri" w:hAnsi="Calibri" w:cs="Calibri"/>
          <w:b/>
          <w:bCs/>
          <w:color w:val="auto"/>
          <w:sz w:val="24"/>
          <w:szCs w:val="24"/>
          <w:u w:color="004147"/>
          <w:lang w:val="en-GB"/>
        </w:rPr>
      </w:pPr>
    </w:p>
    <w:p w14:paraId="393DC9F0">
      <w:pPr>
        <w:pStyle w:val="16"/>
        <w:rPr>
          <w:rFonts w:ascii="Calibri" w:hAnsi="Calibri" w:cs="Calibri"/>
          <w:color w:val="auto"/>
          <w:sz w:val="24"/>
          <w:szCs w:val="24"/>
          <w:u w:color="004147"/>
        </w:rPr>
      </w:pPr>
    </w:p>
    <w:p w14:paraId="1278C2B3">
      <w:pPr>
        <w:pStyle w:val="16"/>
        <w:rPr>
          <w:rFonts w:ascii="Calibri" w:hAnsi="Calibri" w:cs="Calibri"/>
          <w:color w:val="auto"/>
          <w:sz w:val="24"/>
          <w:szCs w:val="24"/>
          <w:u w:color="004147"/>
        </w:rPr>
      </w:pPr>
    </w:p>
    <w:p w14:paraId="3DD1FD95">
      <w:pPr>
        <w:pStyle w:val="16"/>
        <w:rPr>
          <w:rFonts w:ascii="Calibri" w:hAnsi="Calibri" w:cs="Calibri"/>
          <w:color w:val="auto"/>
          <w:sz w:val="24"/>
          <w:szCs w:val="24"/>
          <w:u w:color="004147"/>
        </w:rPr>
      </w:pPr>
    </w:p>
    <w:p w14:paraId="3BFA0B94">
      <w:pPr>
        <w:pStyle w:val="16"/>
        <w:rPr>
          <w:rFonts w:ascii="Calibri" w:hAnsi="Calibri" w:cs="Calibri"/>
          <w:color w:val="auto"/>
          <w:sz w:val="24"/>
          <w:szCs w:val="24"/>
          <w:u w:color="004147"/>
        </w:rPr>
      </w:pPr>
    </w:p>
    <w:p w14:paraId="029B0D6D">
      <w:pPr>
        <w:pStyle w:val="16"/>
        <w:rPr>
          <w:rFonts w:ascii="Calibri" w:hAnsi="Calibri" w:cs="Calibri"/>
          <w:color w:val="auto"/>
          <w:sz w:val="24"/>
          <w:szCs w:val="24"/>
          <w:u w:color="004147"/>
        </w:rPr>
      </w:pPr>
    </w:p>
    <w:p w14:paraId="115ECE37">
      <w:pPr>
        <w:pStyle w:val="16"/>
        <w:rPr>
          <w:rFonts w:ascii="Calibri" w:hAnsi="Calibri" w:cs="Calibri"/>
          <w:color w:val="auto"/>
          <w:sz w:val="24"/>
          <w:szCs w:val="24"/>
          <w:u w:color="004147"/>
        </w:rPr>
      </w:pPr>
    </w:p>
    <w:p w14:paraId="7D19CF9F">
      <w:pPr>
        <w:pStyle w:val="16"/>
        <w:rPr>
          <w:rFonts w:ascii="Calibri" w:hAnsi="Calibri" w:cs="Calibri"/>
          <w:color w:val="auto"/>
          <w:sz w:val="24"/>
          <w:szCs w:val="24"/>
          <w:u w:color="004147"/>
        </w:rPr>
      </w:pPr>
    </w:p>
    <w:p w14:paraId="623F0E15">
      <w:pPr>
        <w:pStyle w:val="16"/>
        <w:rPr>
          <w:rFonts w:ascii="Calibri" w:hAnsi="Calibri" w:cs="Calibri"/>
          <w:color w:val="auto"/>
          <w:sz w:val="24"/>
          <w:szCs w:val="24"/>
          <w:u w:color="004147"/>
        </w:rPr>
      </w:pPr>
    </w:p>
    <w:p w14:paraId="280C1745">
      <w:pPr>
        <w:pStyle w:val="16"/>
        <w:rPr>
          <w:rFonts w:ascii="Calibri" w:hAnsi="Calibri" w:cs="Calibri"/>
          <w:color w:val="auto"/>
          <w:sz w:val="24"/>
          <w:szCs w:val="24"/>
          <w:u w:color="004147"/>
        </w:rPr>
      </w:pPr>
    </w:p>
    <w:p w14:paraId="72E56B29">
      <w:pPr>
        <w:pStyle w:val="16"/>
        <w:rPr>
          <w:rFonts w:ascii="Calibri" w:hAnsi="Calibri" w:cs="Calibri"/>
          <w:color w:val="auto"/>
          <w:sz w:val="24"/>
          <w:szCs w:val="24"/>
          <w:u w:color="004147"/>
        </w:rPr>
      </w:pPr>
    </w:p>
    <w:p w14:paraId="664CED77">
      <w:pPr>
        <w:pStyle w:val="16"/>
        <w:rPr>
          <w:rFonts w:ascii="Calibri" w:hAnsi="Calibri" w:cs="Calibri"/>
          <w:color w:val="auto"/>
          <w:sz w:val="24"/>
          <w:szCs w:val="24"/>
          <w:u w:color="004147"/>
        </w:rPr>
      </w:pPr>
    </w:p>
    <w:p w14:paraId="303EEBE3">
      <w:pPr>
        <w:pStyle w:val="16"/>
        <w:rPr>
          <w:rFonts w:ascii="Calibri" w:hAnsi="Calibri" w:cs="Calibri"/>
          <w:color w:val="auto"/>
          <w:sz w:val="24"/>
          <w:szCs w:val="24"/>
          <w:u w:color="004147"/>
        </w:rPr>
      </w:pPr>
    </w:p>
    <w:p w14:paraId="78EC2E64">
      <w:pPr>
        <w:pStyle w:val="16"/>
        <w:rPr>
          <w:rFonts w:ascii="Calibri" w:hAnsi="Calibri" w:cs="Calibri"/>
          <w:color w:val="auto"/>
          <w:sz w:val="24"/>
          <w:szCs w:val="24"/>
          <w:u w:color="004147"/>
        </w:rPr>
      </w:pPr>
    </w:p>
    <w:p w14:paraId="17BCA4BF">
      <w:pPr>
        <w:pStyle w:val="16"/>
        <w:rPr>
          <w:rFonts w:ascii="Calibri" w:hAnsi="Calibri" w:cs="Calibri"/>
          <w:color w:val="auto"/>
          <w:sz w:val="24"/>
          <w:szCs w:val="24"/>
          <w:u w:color="004147"/>
        </w:rPr>
      </w:pPr>
    </w:p>
    <w:p w14:paraId="3B08F4F3">
      <w:pPr>
        <w:pStyle w:val="16"/>
        <w:rPr>
          <w:rFonts w:ascii="Calibri" w:hAnsi="Calibri" w:cs="Calibri"/>
          <w:color w:val="auto"/>
          <w:sz w:val="24"/>
          <w:szCs w:val="24"/>
          <w:u w:color="004147"/>
        </w:rPr>
      </w:pPr>
    </w:p>
    <w:p w14:paraId="61A9E5A4">
      <w:pPr>
        <w:pStyle w:val="16"/>
        <w:rPr>
          <w:rFonts w:ascii="Calibri" w:hAnsi="Calibri" w:cs="Calibri"/>
          <w:color w:val="auto"/>
          <w:sz w:val="24"/>
          <w:szCs w:val="24"/>
          <w:u w:color="004147"/>
        </w:rPr>
      </w:pPr>
    </w:p>
    <w:p w14:paraId="4DDBBCD6">
      <w:pPr>
        <w:pStyle w:val="16"/>
        <w:rPr>
          <w:rFonts w:ascii="Calibri" w:hAnsi="Calibri" w:cs="Calibri"/>
          <w:color w:val="auto"/>
          <w:sz w:val="24"/>
          <w:szCs w:val="24"/>
          <w:u w:color="004147"/>
        </w:rPr>
      </w:pPr>
    </w:p>
    <w:p w14:paraId="01E84C0A">
      <w:pPr>
        <w:pStyle w:val="16"/>
        <w:rPr>
          <w:rFonts w:ascii="Calibri" w:hAnsi="Calibri" w:cs="Calibri"/>
          <w:color w:val="auto"/>
          <w:sz w:val="24"/>
          <w:szCs w:val="24"/>
          <w:u w:color="004147"/>
        </w:rPr>
      </w:pPr>
    </w:p>
    <w:p w14:paraId="47B9DD7F">
      <w:pPr>
        <w:pStyle w:val="16"/>
        <w:rPr>
          <w:rFonts w:ascii="Calibri" w:hAnsi="Calibri" w:cs="Calibri"/>
          <w:color w:val="auto"/>
          <w:sz w:val="24"/>
          <w:szCs w:val="24"/>
          <w:u w:color="004147"/>
        </w:rPr>
      </w:pPr>
    </w:p>
    <w:p w14:paraId="0F488B6C">
      <w:pPr>
        <w:pStyle w:val="16"/>
        <w:rPr>
          <w:rFonts w:ascii="Calibri" w:hAnsi="Calibri" w:cs="Calibri"/>
          <w:color w:val="auto"/>
          <w:sz w:val="24"/>
          <w:szCs w:val="24"/>
          <w:u w:color="004147"/>
        </w:rPr>
      </w:pPr>
    </w:p>
    <w:p w14:paraId="15E1A736">
      <w:pPr>
        <w:pStyle w:val="16"/>
        <w:rPr>
          <w:rFonts w:ascii="Calibri" w:hAnsi="Calibri" w:cs="Calibri"/>
          <w:color w:val="auto"/>
          <w:sz w:val="24"/>
          <w:szCs w:val="24"/>
          <w:u w:color="004147"/>
        </w:rPr>
      </w:pPr>
    </w:p>
    <w:p w14:paraId="3AA8B516">
      <w:pPr>
        <w:pStyle w:val="16"/>
        <w:rPr>
          <w:rFonts w:ascii="Calibri" w:hAnsi="Calibri" w:cs="Calibri"/>
          <w:color w:val="auto"/>
          <w:sz w:val="24"/>
          <w:szCs w:val="24"/>
          <w:u w:color="004147"/>
        </w:rPr>
      </w:pPr>
    </w:p>
    <w:p w14:paraId="7699210E">
      <w:pPr>
        <w:pStyle w:val="16"/>
        <w:rPr>
          <w:rFonts w:ascii="Calibri" w:hAnsi="Calibri" w:cs="Calibri"/>
          <w:color w:val="auto"/>
          <w:sz w:val="24"/>
          <w:szCs w:val="24"/>
          <w:u w:color="004147"/>
        </w:rPr>
      </w:pPr>
    </w:p>
    <w:p w14:paraId="38886AD4">
      <w:pPr>
        <w:pStyle w:val="16"/>
        <w:rPr>
          <w:rFonts w:ascii="Calibri" w:hAnsi="Calibri" w:cs="Calibri"/>
          <w:color w:val="auto"/>
          <w:sz w:val="24"/>
          <w:szCs w:val="24"/>
          <w:u w:color="004147"/>
        </w:rPr>
      </w:pPr>
    </w:p>
    <w:p w14:paraId="0660A14D">
      <w:pPr>
        <w:pStyle w:val="16"/>
        <w:rPr>
          <w:rFonts w:ascii="Calibri" w:hAnsi="Calibri" w:cs="Calibri"/>
          <w:color w:val="auto"/>
          <w:sz w:val="24"/>
          <w:szCs w:val="24"/>
          <w:u w:color="004147"/>
        </w:rPr>
      </w:pPr>
    </w:p>
    <w:p w14:paraId="40731E04">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AC 3.1</w:t>
      </w:r>
    </w:p>
    <w:p w14:paraId="1B5357DF">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rPr>
        <w:t>Discuss</w:t>
      </w:r>
      <w:r>
        <w:rPr>
          <w:rFonts w:ascii="Calibri" w:hAnsi="Calibri" w:cs="Calibri"/>
          <w:b/>
          <w:bCs/>
          <w:color w:val="auto"/>
          <w:sz w:val="24"/>
          <w:szCs w:val="24"/>
          <w:u w:color="004147"/>
          <w:lang w:val="en-GB"/>
        </w:rPr>
        <w:t xml:space="preserve"> differences between avoidable and unavoidable turnover and differences between push and pull factors.</w:t>
      </w:r>
    </w:p>
    <w:p w14:paraId="675EC660">
      <w:pPr>
        <w:pStyle w:val="16"/>
        <w:rPr>
          <w:rFonts w:ascii="Calibri" w:hAnsi="Calibri" w:cs="Calibri"/>
          <w:b/>
          <w:bCs/>
          <w:color w:val="auto"/>
          <w:sz w:val="24"/>
          <w:szCs w:val="24"/>
          <w:u w:color="004147"/>
          <w:lang w:val="en-GB"/>
        </w:rPr>
      </w:pPr>
    </w:p>
    <w:p w14:paraId="39ED2BD7">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The definition of employee turnover according to CIPD (2025) is ‘the proportion of employees who leave an organisation over a set period (often on a year on year basis) expressed as a percentage of the total workforce’. This is an important figure for ParcelCare to consider due to the current rates being higher than internal targets set to manage retention of staff. By being able to understand the reasons for the high turnover it will enable the organisation to understand the impact these high rates have on the overall achievement of its goals and objectives, in turn reducing  turnover costs which can be a great financial burden on the business (CIPD, 2025).</w:t>
      </w:r>
    </w:p>
    <w:p w14:paraId="5AB79E36">
      <w:pPr>
        <w:pStyle w:val="16"/>
        <w:rPr>
          <w:rFonts w:ascii="Calibri" w:hAnsi="Calibri" w:cs="Calibri"/>
          <w:b/>
          <w:bCs/>
          <w:color w:val="auto"/>
          <w:sz w:val="24"/>
          <w:szCs w:val="24"/>
          <w:u w:color="004147"/>
          <w:lang w:val="en-GB"/>
        </w:rPr>
      </w:pPr>
    </w:p>
    <w:p w14:paraId="513D65EB">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There are two different examples of turnover. Taylor and Woodhams, (2022, p.50-51) describe these as being  avoidable and unavoidable. Avoidable turnover usually occur where employees are dissatisfied with conditions in their existing role and is within the control of the organisation. Examples of this are poor management, pay or poor working conditions. Unavoidable is usually out of managements control with reasons cited as circumstances such as retirement, ill health and relocating homes. </w:t>
      </w:r>
    </w:p>
    <w:p w14:paraId="3B7BBC37">
      <w:pPr>
        <w:pStyle w:val="16"/>
        <w:rPr>
          <w:rFonts w:ascii="Calibri" w:hAnsi="Calibri" w:cs="Calibri"/>
          <w:b/>
          <w:bCs/>
          <w:color w:val="auto"/>
          <w:sz w:val="24"/>
          <w:szCs w:val="24"/>
          <w:u w:color="004147"/>
          <w:lang w:val="en-GB"/>
        </w:rPr>
      </w:pPr>
    </w:p>
    <w:p w14:paraId="14F06DA3">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The reasons that employees cite for leaving an organisation can be catergorised as ‘push’ and ‘pull’ factors. Push factors are usually when an employee is unsatisfied with their current working conditions including organisational change or lack of career opportunities. This can be closely aligned with avoidable  turnover as these conditions are in the control of management and can be addressed to reduce staff turnover. Whereas push factors are usually driven from external means where employees are attracted to better conditions in another organisation and can be closely aligned with unavoidable turnover (CIPD, 2025).</w:t>
      </w:r>
    </w:p>
    <w:p w14:paraId="66AAD004">
      <w:pPr>
        <w:pStyle w:val="16"/>
        <w:rPr>
          <w:rFonts w:ascii="Calibri" w:hAnsi="Calibri" w:cs="Calibri"/>
          <w:color w:val="auto"/>
          <w:sz w:val="24"/>
          <w:szCs w:val="24"/>
          <w:u w:color="004147"/>
          <w:lang w:val="en-GB"/>
        </w:rPr>
      </w:pPr>
    </w:p>
    <w:p w14:paraId="41FB266F">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It is important to understand the national data for staff turnover to identify if there are any issues facing the industry or is it a specific company problem when analysising data for staff turnover. In 2022-23 the ONS reported that the average organisation turnover rate stood at 34%. Below is a graph to demonstrate this across different sectors:</w:t>
      </w:r>
    </w:p>
    <w:p w14:paraId="5AFE4943">
      <w:pPr>
        <w:pStyle w:val="16"/>
        <w:rPr>
          <w:rFonts w:ascii="Calibri" w:hAnsi="Calibri" w:cs="Calibri"/>
          <w:color w:val="auto"/>
          <w:sz w:val="24"/>
          <w:szCs w:val="24"/>
          <w:u w:color="004147"/>
          <w:lang w:val="en-GB"/>
        </w:rPr>
      </w:pPr>
    </w:p>
    <w:p w14:paraId="684D807B">
      <w:pPr>
        <w:pStyle w:val="16"/>
        <w:rPr>
          <w:rFonts w:ascii="Calibri" w:hAnsi="Calibri" w:cs="Calibri"/>
          <w:color w:val="auto"/>
          <w:sz w:val="24"/>
          <w:szCs w:val="24"/>
          <w:u w:color="004147"/>
          <w:lang w:val="en-GB"/>
        </w:rPr>
      </w:pPr>
      <w:r>
        <w:rPr>
          <w:rFonts w:ascii="SimSun" w:hAnsi="SimSun" w:eastAsia="SimSun" w:cs="SimSun"/>
          <w:color w:val="auto"/>
          <w:sz w:val="24"/>
          <w:szCs w:val="24"/>
        </w:rPr>
        <w:drawing>
          <wp:inline distT="0" distB="0" distL="114300" distR="114300">
            <wp:extent cx="5715000" cy="4572000"/>
            <wp:effectExtent l="0" t="0" r="0" b="0"/>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6"/>
                    <a:stretch>
                      <a:fillRect/>
                    </a:stretch>
                  </pic:blipFill>
                  <pic:spPr>
                    <a:xfrm>
                      <a:off x="0" y="0"/>
                      <a:ext cx="5715000" cy="4572000"/>
                    </a:xfrm>
                    <a:prstGeom prst="rect">
                      <a:avLst/>
                    </a:prstGeom>
                    <a:noFill/>
                    <a:ln w="9525">
                      <a:noFill/>
                    </a:ln>
                  </pic:spPr>
                </pic:pic>
              </a:graphicData>
            </a:graphic>
          </wp:inline>
        </w:drawing>
      </w:r>
    </w:p>
    <w:p w14:paraId="0046D32B">
      <w:pPr>
        <w:pStyle w:val="16"/>
        <w:rPr>
          <w:rFonts w:ascii="Calibri" w:hAnsi="Calibri" w:cs="Calibri"/>
          <w:color w:val="auto"/>
          <w:sz w:val="24"/>
          <w:szCs w:val="24"/>
          <w:u w:color="004147"/>
          <w:lang w:val="en-GB"/>
        </w:rPr>
      </w:pPr>
    </w:p>
    <w:p w14:paraId="381FBBFD">
      <w:pPr>
        <w:pStyle w:val="16"/>
        <w:rPr>
          <w:rFonts w:ascii="Calibri" w:hAnsi="Calibri"/>
          <w:color w:val="auto"/>
          <w:sz w:val="24"/>
          <w:szCs w:val="24"/>
          <w:u w:color="004147"/>
          <w:lang w:val="en-GB"/>
        </w:rPr>
      </w:pPr>
      <w:r>
        <w:rPr>
          <w:rFonts w:hint="default" w:ascii="Calibri" w:hAnsi="Calibri" w:cs="Calibri"/>
          <w:color w:val="auto"/>
          <w:sz w:val="24"/>
          <w:szCs w:val="24"/>
          <w:u w:color="004147"/>
          <w:lang w:val="en-GB"/>
        </w:rPr>
        <w:t xml:space="preserve">Figure 3 </w:t>
      </w:r>
      <w:r>
        <w:rPr>
          <w:rFonts w:ascii="Calibri" w:hAnsi="Calibri" w:cs="Calibri"/>
          <w:color w:val="auto"/>
          <w:sz w:val="24"/>
          <w:szCs w:val="24"/>
          <w:u w:color="004147"/>
          <w:lang w:val="en-GB"/>
        </w:rPr>
        <w:t xml:space="preserve">Image taken from CIPD, 2024 </w:t>
      </w:r>
      <w:r>
        <w:rPr>
          <w:color w:val="auto"/>
        </w:rPr>
        <w:fldChar w:fldCharType="begin"/>
      </w:r>
      <w:r>
        <w:rPr>
          <w:color w:val="auto"/>
        </w:rPr>
        <w:instrText xml:space="preserve"> HYPERLINK "https://www.cipd.org/uk/views-and-insights/thought-leadership/cipd-voice/benchmarking-employee-turnover/)" </w:instrText>
      </w:r>
      <w:r>
        <w:rPr>
          <w:color w:val="auto"/>
        </w:rPr>
        <w:fldChar w:fldCharType="separate"/>
      </w:r>
      <w:r>
        <w:rPr>
          <w:rStyle w:val="11"/>
          <w:rFonts w:ascii="Calibri" w:hAnsi="Calibri"/>
          <w:color w:val="auto"/>
          <w:sz w:val="24"/>
          <w:szCs w:val="24"/>
          <w:lang w:val="en-GB"/>
        </w:rPr>
        <w:t>https://www.cipd.org/uk/views-and-insights/thought-leadership/cipd-voice/benchmarking-employee-turnover/)</w:t>
      </w:r>
      <w:r>
        <w:rPr>
          <w:rStyle w:val="11"/>
          <w:rFonts w:ascii="Calibri" w:hAnsi="Calibri"/>
          <w:color w:val="auto"/>
          <w:sz w:val="24"/>
          <w:szCs w:val="24"/>
          <w:lang w:val="en-GB"/>
        </w:rPr>
        <w:fldChar w:fldCharType="end"/>
      </w:r>
    </w:p>
    <w:p w14:paraId="347BA890">
      <w:pPr>
        <w:pStyle w:val="16"/>
        <w:rPr>
          <w:rFonts w:ascii="Calibri" w:hAnsi="Calibri"/>
          <w:color w:val="auto"/>
          <w:sz w:val="24"/>
          <w:szCs w:val="24"/>
          <w:u w:color="004147"/>
          <w:lang w:val="en-GB"/>
        </w:rPr>
      </w:pPr>
    </w:p>
    <w:p w14:paraId="06FE6166">
      <w:pPr>
        <w:pStyle w:val="16"/>
        <w:rPr>
          <w:rFonts w:hint="default" w:ascii="Calibri" w:hAnsi="Calibri" w:cs="Calibri"/>
          <w:b/>
          <w:bCs/>
          <w:color w:val="auto"/>
          <w:sz w:val="24"/>
          <w:szCs w:val="24"/>
          <w:u w:color="004147"/>
          <w:lang w:val="en-GB"/>
        </w:rPr>
      </w:pPr>
      <w:r>
        <w:rPr>
          <w:rFonts w:ascii="Calibri" w:hAnsi="Calibri"/>
          <w:color w:val="auto"/>
          <w:sz w:val="24"/>
          <w:szCs w:val="24"/>
          <w:u w:color="004147"/>
          <w:lang w:val="en-GB"/>
        </w:rPr>
        <w:t>The Transport and Storage sector has a lower turnover than the average of 34%, displaying average rates as 29.8%. This would be a good benchmark to work on when calculating rates to determine how to mitigate the high level of staff turnover. By identifying the root causes of low retention, whether they are avoidable or unavoidable, will help support ParcelCare to develop strategies in this key area not achieve goals and to reduce costs</w:t>
      </w:r>
      <w:r>
        <w:rPr>
          <w:rFonts w:hint="default" w:ascii="Calibri" w:hAnsi="Calibri"/>
          <w:color w:val="auto"/>
          <w:sz w:val="24"/>
          <w:szCs w:val="24"/>
          <w:u w:color="004147"/>
          <w:lang w:val="en-GB"/>
        </w:rPr>
        <w:t xml:space="preserve"> (CIPD, 2024).</w:t>
      </w:r>
    </w:p>
    <w:p w14:paraId="67EB4BA9">
      <w:pPr>
        <w:pStyle w:val="16"/>
        <w:rPr>
          <w:rFonts w:ascii="Calibri" w:hAnsi="Calibri" w:cs="Calibri"/>
          <w:b/>
          <w:bCs/>
          <w:color w:val="auto"/>
          <w:sz w:val="24"/>
          <w:szCs w:val="24"/>
          <w:u w:color="004147"/>
        </w:rPr>
      </w:pPr>
    </w:p>
    <w:p w14:paraId="48C288C8">
      <w:pPr>
        <w:pStyle w:val="16"/>
        <w:rPr>
          <w:rFonts w:ascii="Calibri" w:hAnsi="Calibri" w:cs="Calibri"/>
          <w:b/>
          <w:bCs/>
          <w:color w:val="auto"/>
          <w:sz w:val="24"/>
          <w:szCs w:val="24"/>
          <w:u w:color="004147"/>
        </w:rPr>
      </w:pPr>
    </w:p>
    <w:p w14:paraId="6A063A31">
      <w:pPr>
        <w:pStyle w:val="16"/>
        <w:rPr>
          <w:rFonts w:ascii="Calibri" w:hAnsi="Calibri" w:cs="Calibri"/>
          <w:b/>
          <w:bCs/>
          <w:color w:val="auto"/>
          <w:sz w:val="24"/>
          <w:szCs w:val="24"/>
          <w:u w:color="004147"/>
        </w:rPr>
      </w:pPr>
    </w:p>
    <w:p w14:paraId="0BF36C54">
      <w:pPr>
        <w:pStyle w:val="16"/>
        <w:rPr>
          <w:rFonts w:ascii="Calibri" w:hAnsi="Calibri" w:cs="Calibri"/>
          <w:b/>
          <w:bCs/>
          <w:color w:val="auto"/>
          <w:sz w:val="24"/>
          <w:szCs w:val="24"/>
          <w:u w:color="004147"/>
        </w:rPr>
      </w:pPr>
    </w:p>
    <w:p w14:paraId="148F9607">
      <w:pPr>
        <w:pStyle w:val="16"/>
        <w:rPr>
          <w:rFonts w:ascii="Calibri" w:hAnsi="Calibri" w:cs="Calibri"/>
          <w:b/>
          <w:bCs/>
          <w:color w:val="auto"/>
          <w:sz w:val="24"/>
          <w:szCs w:val="24"/>
          <w:u w:color="004147"/>
        </w:rPr>
      </w:pPr>
    </w:p>
    <w:p w14:paraId="637B5745">
      <w:pPr>
        <w:pStyle w:val="16"/>
        <w:rPr>
          <w:rFonts w:ascii="Calibri" w:hAnsi="Calibri" w:cs="Calibri"/>
          <w:b/>
          <w:bCs/>
          <w:color w:val="auto"/>
          <w:sz w:val="24"/>
          <w:szCs w:val="24"/>
          <w:u w:color="004147"/>
        </w:rPr>
      </w:pPr>
    </w:p>
    <w:p w14:paraId="0DCFCBE9">
      <w:pPr>
        <w:pStyle w:val="16"/>
        <w:rPr>
          <w:rFonts w:ascii="Calibri" w:hAnsi="Calibri" w:cs="Calibri"/>
          <w:b/>
          <w:bCs/>
          <w:color w:val="auto"/>
          <w:sz w:val="24"/>
          <w:szCs w:val="24"/>
          <w:u w:color="004147"/>
        </w:rPr>
      </w:pPr>
    </w:p>
    <w:p w14:paraId="77CE54F3">
      <w:pPr>
        <w:pStyle w:val="16"/>
        <w:rPr>
          <w:rFonts w:ascii="Calibri" w:hAnsi="Calibri" w:cs="Calibri"/>
          <w:b/>
          <w:bCs/>
          <w:color w:val="auto"/>
          <w:sz w:val="24"/>
          <w:szCs w:val="24"/>
          <w:u w:color="004147"/>
        </w:rPr>
      </w:pPr>
    </w:p>
    <w:p w14:paraId="419DEE08">
      <w:pPr>
        <w:pStyle w:val="16"/>
        <w:rPr>
          <w:rFonts w:ascii="Calibri" w:hAnsi="Calibri" w:cs="Calibri"/>
          <w:b/>
          <w:bCs/>
          <w:color w:val="auto"/>
          <w:sz w:val="24"/>
          <w:szCs w:val="24"/>
          <w:u w:color="004147"/>
        </w:rPr>
      </w:pPr>
    </w:p>
    <w:p w14:paraId="62C17734">
      <w:pPr>
        <w:pStyle w:val="16"/>
        <w:rPr>
          <w:rFonts w:ascii="Calibri" w:hAnsi="Calibri" w:cs="Calibri"/>
          <w:b/>
          <w:bCs/>
          <w:color w:val="auto"/>
          <w:sz w:val="24"/>
          <w:szCs w:val="24"/>
          <w:u w:color="004147"/>
        </w:rPr>
      </w:pPr>
    </w:p>
    <w:p w14:paraId="3306FEFA">
      <w:pPr>
        <w:pStyle w:val="16"/>
        <w:rPr>
          <w:rFonts w:ascii="Calibri" w:hAnsi="Calibri" w:cs="Calibri"/>
          <w:b/>
          <w:bCs/>
          <w:color w:val="auto"/>
          <w:sz w:val="24"/>
          <w:szCs w:val="24"/>
          <w:u w:color="004147"/>
        </w:rPr>
      </w:pPr>
    </w:p>
    <w:p w14:paraId="2E7084AE">
      <w:pPr>
        <w:pStyle w:val="16"/>
        <w:rPr>
          <w:rFonts w:ascii="Calibri" w:hAnsi="Calibri" w:cs="Calibri"/>
          <w:b/>
          <w:bCs/>
          <w:color w:val="auto"/>
          <w:sz w:val="24"/>
          <w:szCs w:val="24"/>
          <w:u w:color="004147"/>
        </w:rPr>
      </w:pPr>
    </w:p>
    <w:p w14:paraId="2D9EC21B">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AC 3.2</w:t>
      </w:r>
    </w:p>
    <w:p w14:paraId="3E8956CE">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rPr>
        <w:t xml:space="preserve">Compare </w:t>
      </w:r>
      <w:r>
        <w:rPr>
          <w:rFonts w:ascii="Calibri" w:hAnsi="Calibri" w:cs="Calibri"/>
          <w:b/>
          <w:bCs/>
          <w:color w:val="auto"/>
          <w:sz w:val="24"/>
          <w:szCs w:val="24"/>
          <w:u w:color="004147"/>
          <w:lang w:val="en-GB"/>
        </w:rPr>
        <w:t>the following retention</w:t>
      </w:r>
      <w:r>
        <w:rPr>
          <w:rFonts w:ascii="Calibri" w:hAnsi="Calibri" w:cs="Calibri"/>
          <w:b/>
          <w:bCs/>
          <w:color w:val="auto"/>
          <w:sz w:val="24"/>
          <w:szCs w:val="24"/>
          <w:u w:color="004147"/>
        </w:rPr>
        <w:t xml:space="preserve"> approaches</w:t>
      </w:r>
      <w:r>
        <w:rPr>
          <w:rFonts w:ascii="Calibri" w:hAnsi="Calibri" w:cs="Calibri"/>
          <w:b/>
          <w:bCs/>
          <w:color w:val="auto"/>
          <w:sz w:val="24"/>
          <w:szCs w:val="24"/>
          <w:u w:color="004147"/>
          <w:lang w:val="en-GB"/>
        </w:rPr>
        <w:t xml:space="preserve">: </w:t>
      </w:r>
      <w:r>
        <w:rPr>
          <w:rFonts w:ascii="Calibri" w:hAnsi="Calibri" w:cs="Calibri"/>
          <w:b/>
          <w:bCs/>
          <w:color w:val="auto"/>
          <w:sz w:val="24"/>
          <w:szCs w:val="24"/>
          <w:u w:color="004147"/>
        </w:rPr>
        <w:t xml:space="preserve"> </w:t>
      </w:r>
      <w:r>
        <w:rPr>
          <w:rFonts w:ascii="Calibri" w:hAnsi="Calibri" w:cs="Calibri"/>
          <w:b/>
          <w:bCs/>
          <w:color w:val="auto"/>
          <w:sz w:val="24"/>
          <w:szCs w:val="24"/>
          <w:u w:color="004147"/>
          <w:lang w:val="en-GB"/>
        </w:rPr>
        <w:t>realistic job previews; induction; job enrichment and reward.</w:t>
      </w:r>
    </w:p>
    <w:p w14:paraId="21B3651D">
      <w:pPr>
        <w:pStyle w:val="16"/>
        <w:rPr>
          <w:rFonts w:ascii="Calibri" w:hAnsi="Calibri" w:cs="Calibri"/>
          <w:color w:val="auto"/>
          <w:sz w:val="24"/>
          <w:szCs w:val="24"/>
          <w:u w:color="004147"/>
          <w:lang w:val="en-GB"/>
        </w:rPr>
      </w:pPr>
    </w:p>
    <w:p w14:paraId="376779FB">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There are a number of  approaches an organisation can consider in order to retain staff staff.</w:t>
      </w:r>
    </w:p>
    <w:p w14:paraId="7A3AD1EA">
      <w:pPr>
        <w:pStyle w:val="16"/>
        <w:rPr>
          <w:rFonts w:ascii="Calibri" w:hAnsi="Calibri" w:cs="Calibri"/>
          <w:color w:val="auto"/>
          <w:sz w:val="24"/>
          <w:szCs w:val="24"/>
          <w:u w:color="004147"/>
          <w:lang w:val="en-GB"/>
        </w:rPr>
      </w:pPr>
    </w:p>
    <w:p w14:paraId="3D93E9AE">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Realistic Job Previews</w:t>
      </w:r>
      <w:r>
        <w:rPr>
          <w:rFonts w:ascii="Calibri" w:hAnsi="Calibri" w:cs="Calibri"/>
          <w:color w:val="auto"/>
          <w:sz w:val="24"/>
          <w:szCs w:val="24"/>
          <w:u w:color="004147"/>
          <w:lang w:val="en-GB"/>
        </w:rPr>
        <w:t xml:space="preserve">: This approach is useful for both employee and employer to ensure that the candidate is suitable, providing potential employees with a practical insight to the role.  Benefits to this include both parties making informed decisions with less risk of employees leaving after a very short period of time. It is important to be mindful that this can also a negative affect and may put people off the position due to expectations not being met (HR Observor, 2024). </w:t>
      </w:r>
    </w:p>
    <w:p w14:paraId="6E7892CC">
      <w:pPr>
        <w:pStyle w:val="16"/>
        <w:rPr>
          <w:rFonts w:ascii="Calibri" w:hAnsi="Calibri" w:cs="Calibri"/>
          <w:b/>
          <w:bCs/>
          <w:color w:val="auto"/>
          <w:sz w:val="24"/>
          <w:szCs w:val="24"/>
          <w:u w:color="004147"/>
          <w:lang w:val="en-GB"/>
        </w:rPr>
      </w:pPr>
    </w:p>
    <w:p w14:paraId="22A48D1A">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Induction</w:t>
      </w:r>
      <w:r>
        <w:rPr>
          <w:rFonts w:ascii="Calibri" w:hAnsi="Calibri" w:cs="Calibri"/>
          <w:color w:val="auto"/>
          <w:sz w:val="24"/>
          <w:szCs w:val="24"/>
          <w:u w:color="004147"/>
          <w:lang w:val="en-GB"/>
        </w:rPr>
        <w:t xml:space="preserve"> - According to Armstrong (2020, p.347-348) induction is the process of providing an employee  the essential information to conduct their role to the best of their ability. It allows organisations to provide a happy and welcoming environment to the new starter to settle them into the role to prevent them from leaving at a cost to the business. According to the most recent report produced by the CIPD </w:t>
      </w:r>
      <w:r>
        <w:rPr>
          <w:rFonts w:hint="default" w:ascii="Calibri" w:hAnsi="Calibri" w:cs="Calibri"/>
          <w:color w:val="auto"/>
          <w:sz w:val="24"/>
          <w:szCs w:val="24"/>
          <w:u w:color="004147"/>
          <w:lang w:val="en-GB"/>
        </w:rPr>
        <w:t xml:space="preserve">(2024), </w:t>
      </w:r>
      <w:r>
        <w:rPr>
          <w:rFonts w:ascii="Calibri" w:hAnsi="Calibri" w:cs="Calibri"/>
          <w:color w:val="auto"/>
          <w:sz w:val="24"/>
          <w:szCs w:val="24"/>
          <w:u w:color="004147"/>
          <w:lang w:val="en-GB"/>
        </w:rPr>
        <w:t>32% of organisations have improved their induction programmes to improve staff retention.</w:t>
      </w:r>
    </w:p>
    <w:p w14:paraId="1DC5F4FD">
      <w:pPr>
        <w:pStyle w:val="16"/>
        <w:rPr>
          <w:rFonts w:ascii="Calibri" w:hAnsi="Calibri" w:cs="Calibri"/>
          <w:b/>
          <w:bCs/>
          <w:color w:val="auto"/>
          <w:sz w:val="24"/>
          <w:szCs w:val="24"/>
          <w:u w:color="004147"/>
          <w:lang w:val="en-GB"/>
        </w:rPr>
      </w:pPr>
    </w:p>
    <w:p w14:paraId="4E545FE2">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 xml:space="preserve">Job enrichment </w:t>
      </w:r>
      <w:r>
        <w:rPr>
          <w:rFonts w:ascii="Calibri" w:hAnsi="Calibri" w:cs="Calibri"/>
          <w:color w:val="auto"/>
          <w:sz w:val="24"/>
          <w:szCs w:val="24"/>
          <w:u w:color="004147"/>
          <w:lang w:val="en-GB"/>
        </w:rPr>
        <w:t>- There are a number of theoretical theories that support the principles of job enrichme</w:t>
      </w:r>
      <w:r>
        <w:rPr>
          <w:rFonts w:hint="default" w:ascii="Calibri" w:hAnsi="Calibri" w:cs="Calibri"/>
          <w:color w:val="auto"/>
          <w:sz w:val="24"/>
          <w:szCs w:val="24"/>
          <w:u w:color="004147"/>
          <w:lang w:val="en-GB"/>
        </w:rPr>
        <w:t>nt</w:t>
      </w:r>
      <w:r>
        <w:rPr>
          <w:rFonts w:ascii="Calibri" w:hAnsi="Calibri" w:cs="Calibri"/>
          <w:color w:val="auto"/>
          <w:sz w:val="24"/>
          <w:szCs w:val="24"/>
          <w:u w:color="004147"/>
          <w:lang w:val="en-GB"/>
        </w:rPr>
        <w:t>. Outdated theories such as Hertzberg’s motivation-hygiene theory  have now been replaced by new ideologies such as the Social Exchange Theory</w:t>
      </w:r>
      <w:r>
        <w:rPr>
          <w:rFonts w:hint="default" w:ascii="Calibri" w:hAnsi="Calibri" w:cs="Calibri"/>
          <w:color w:val="auto"/>
          <w:sz w:val="24"/>
          <w:szCs w:val="24"/>
          <w:u w:color="004147"/>
          <w:lang w:val="en-GB"/>
        </w:rPr>
        <w:t xml:space="preserve"> which describe that</w:t>
      </w:r>
      <w:r>
        <w:rPr>
          <w:rFonts w:ascii="Calibri" w:hAnsi="Calibri" w:cs="Calibri"/>
          <w:color w:val="auto"/>
          <w:sz w:val="24"/>
          <w:szCs w:val="24"/>
          <w:u w:color="004147"/>
          <w:lang w:val="en-GB"/>
        </w:rPr>
        <w:t xml:space="preserve"> employees will be motivated by factors such as recognition, monetary reward, empowerment and psychological safety (CIPD, 2021).</w:t>
      </w:r>
    </w:p>
    <w:p w14:paraId="15EF3001">
      <w:pPr>
        <w:pStyle w:val="16"/>
        <w:rPr>
          <w:rFonts w:ascii="Calibri" w:hAnsi="Calibri" w:cs="Calibri"/>
          <w:b/>
          <w:bCs/>
          <w:color w:val="auto"/>
          <w:sz w:val="24"/>
          <w:szCs w:val="24"/>
          <w:u w:color="004147"/>
          <w:lang w:val="en-GB"/>
        </w:rPr>
      </w:pPr>
    </w:p>
    <w:p w14:paraId="1411541B">
      <w:pPr>
        <w:pStyle w:val="16"/>
        <w:rPr>
          <w:rFonts w:ascii="Calibri" w:hAnsi="Calibri" w:cs="Calibri"/>
          <w:color w:val="auto"/>
          <w:sz w:val="24"/>
          <w:szCs w:val="24"/>
          <w:u w:color="004147"/>
          <w:lang w:val="en-GB"/>
        </w:rPr>
      </w:pPr>
      <w:r>
        <w:rPr>
          <w:rFonts w:ascii="Calibri" w:hAnsi="Calibri" w:cs="Calibri"/>
          <w:b/>
          <w:bCs/>
          <w:color w:val="auto"/>
          <w:sz w:val="24"/>
          <w:szCs w:val="24"/>
          <w:u w:color="004147"/>
          <w:lang w:val="en-GB"/>
        </w:rPr>
        <w:t>Rewards</w:t>
      </w:r>
      <w:r>
        <w:rPr>
          <w:rFonts w:ascii="Calibri" w:hAnsi="Calibri" w:cs="Calibri"/>
          <w:color w:val="auto"/>
          <w:sz w:val="24"/>
          <w:szCs w:val="24"/>
          <w:u w:color="004147"/>
          <w:lang w:val="en-GB"/>
        </w:rPr>
        <w:t xml:space="preserve"> - According to Armstrong</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2020</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xml:space="preserve">, reward can help employees feel valued for their contributions. Rewards can be classified in terms of financial and non-financial rewards. Examples of financial rewards include pay rises, bonuses and pensions while recognition, praise and career progression could be classified as non-financial. Whilst rewards can be a key driver for staff retention, there are some limitations of this including the value </w:t>
      </w:r>
      <w:r>
        <w:rPr>
          <w:rFonts w:hint="default" w:ascii="Calibri" w:hAnsi="Calibri" w:cs="Calibri"/>
          <w:color w:val="auto"/>
          <w:sz w:val="24"/>
          <w:szCs w:val="24"/>
          <w:u w:color="004147"/>
          <w:lang w:val="en-GB"/>
        </w:rPr>
        <w:t>of</w:t>
      </w:r>
      <w:r>
        <w:rPr>
          <w:rFonts w:ascii="Calibri" w:hAnsi="Calibri" w:cs="Calibri"/>
          <w:color w:val="auto"/>
          <w:sz w:val="24"/>
          <w:szCs w:val="24"/>
          <w:u w:color="004147"/>
          <w:lang w:val="en-GB"/>
        </w:rPr>
        <w:t xml:space="preserve"> the reward not being fully appreciated and also the cost for the organisation (CIPD, 2012).</w:t>
      </w:r>
    </w:p>
    <w:p w14:paraId="77D45D0E">
      <w:pPr>
        <w:pStyle w:val="16"/>
        <w:rPr>
          <w:rFonts w:ascii="Calibri" w:hAnsi="Calibri" w:cs="Calibri"/>
          <w:color w:val="auto"/>
          <w:sz w:val="24"/>
          <w:szCs w:val="24"/>
          <w:u w:color="004147"/>
          <w:lang w:val="en-GB"/>
        </w:rPr>
      </w:pPr>
    </w:p>
    <w:p w14:paraId="2902ECB4">
      <w:pPr>
        <w:pStyle w:val="16"/>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In relation to Parcelcare, the above approaches should be considered to retain staff especially to the induction element to ensure that a good first impression is made. Realistic job previews may be more difficult to implement not to deter potential candidates. There are close links with job enrichment and reward as if staff feel valued and fulfilled as they heavily align with job satisfaction if combined together to honour the contribution that staff make</w:t>
      </w:r>
      <w:r>
        <w:rPr>
          <w:rFonts w:hint="default" w:ascii="Calibri" w:hAnsi="Calibri" w:cs="Calibri"/>
          <w:color w:val="auto"/>
          <w:sz w:val="24"/>
          <w:szCs w:val="24"/>
          <w:u w:color="004147"/>
          <w:lang w:val="en-GB"/>
        </w:rPr>
        <w:t xml:space="preserve"> (CIPD, 2024).</w:t>
      </w:r>
    </w:p>
    <w:p w14:paraId="703F90BA">
      <w:pPr>
        <w:pStyle w:val="16"/>
        <w:rPr>
          <w:rFonts w:ascii="Calibri" w:hAnsi="Calibri" w:cs="Calibri"/>
          <w:b/>
          <w:bCs/>
          <w:color w:val="auto"/>
          <w:sz w:val="24"/>
          <w:szCs w:val="24"/>
          <w:u w:color="004147"/>
        </w:rPr>
      </w:pPr>
    </w:p>
    <w:p w14:paraId="36ACDCC5">
      <w:pPr>
        <w:pStyle w:val="16"/>
        <w:rPr>
          <w:rFonts w:ascii="Calibri" w:hAnsi="Calibri" w:cs="Calibri"/>
          <w:b/>
          <w:bCs/>
          <w:color w:val="auto"/>
          <w:sz w:val="24"/>
          <w:szCs w:val="24"/>
          <w:u w:color="004147"/>
        </w:rPr>
      </w:pPr>
    </w:p>
    <w:p w14:paraId="7E95F3CC">
      <w:pPr>
        <w:pStyle w:val="16"/>
        <w:rPr>
          <w:rFonts w:ascii="Calibri" w:hAnsi="Calibri" w:cs="Calibri"/>
          <w:b/>
          <w:bCs/>
          <w:color w:val="auto"/>
          <w:sz w:val="24"/>
          <w:szCs w:val="24"/>
          <w:u w:color="004147"/>
        </w:rPr>
      </w:pPr>
    </w:p>
    <w:p w14:paraId="5C953588">
      <w:pPr>
        <w:pStyle w:val="16"/>
        <w:rPr>
          <w:rFonts w:ascii="Calibri" w:hAnsi="Calibri" w:cs="Calibri"/>
          <w:b/>
          <w:bCs/>
          <w:color w:val="auto"/>
          <w:sz w:val="24"/>
          <w:szCs w:val="24"/>
          <w:u w:color="004147"/>
        </w:rPr>
      </w:pPr>
    </w:p>
    <w:p w14:paraId="4BE8EF25">
      <w:pPr>
        <w:pStyle w:val="16"/>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AC 3.3</w:t>
      </w:r>
    </w:p>
    <w:p w14:paraId="44D6A207">
      <w:pPr>
        <w:pStyle w:val="16"/>
        <w:rPr>
          <w:rFonts w:ascii="Calibri" w:hAnsi="Calibri" w:cs="Calibri"/>
          <w:b/>
          <w:bCs/>
          <w:color w:val="auto"/>
          <w:sz w:val="24"/>
          <w:szCs w:val="24"/>
          <w:u w:color="004147"/>
        </w:rPr>
      </w:pPr>
      <w:r>
        <w:rPr>
          <w:rFonts w:ascii="Calibri" w:hAnsi="Calibri" w:cs="Calibri"/>
          <w:b/>
          <w:bCs/>
          <w:color w:val="auto"/>
          <w:sz w:val="24"/>
          <w:szCs w:val="24"/>
          <w:u w:color="004147"/>
        </w:rPr>
        <w:t>Explain the impact of dysfunctional employee turnover.</w:t>
      </w:r>
    </w:p>
    <w:p w14:paraId="7912BD28">
      <w:pPr>
        <w:pStyle w:val="16"/>
        <w:rPr>
          <w:rFonts w:ascii="Calibri" w:hAnsi="Calibri" w:cs="Calibri"/>
          <w:b/>
          <w:bCs/>
          <w:color w:val="auto"/>
          <w:sz w:val="24"/>
          <w:szCs w:val="24"/>
          <w:u w:color="004147"/>
        </w:rPr>
      </w:pPr>
    </w:p>
    <w:p w14:paraId="5EEFA6D5">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ParcelCare currently has an issue with staff turnover which needs to be addressed in order to retain talented employees.  According to Taylor and Woodhams (2022, p. 99) not all turnover is bad. Disposing of low performing employees can help to improve productivity and it also helps to promote internal progression and a culture of development. However, when turnover becomes ‘dysfunctional’ this can cause problems including high recruitment costs,  loss of knowledge of talented employees and a drop in morale for existing employees. All the afore mentioned problems will lead to a drop in customer satisfaction as productivity drops during these time of uncertainty. </w:t>
      </w:r>
    </w:p>
    <w:p w14:paraId="2AE02A99">
      <w:pPr>
        <w:pStyle w:val="16"/>
        <w:rPr>
          <w:rFonts w:ascii="Calibri" w:hAnsi="Calibri" w:cs="Calibri"/>
          <w:color w:val="auto"/>
          <w:sz w:val="24"/>
          <w:szCs w:val="24"/>
          <w:u w:color="004147"/>
          <w:lang w:val="en-GB"/>
        </w:rPr>
      </w:pPr>
    </w:p>
    <w:p w14:paraId="74CEF4AA">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Productivity: A drop in productivity can be an indirect cost to ParcelCare. This can be challenging as it is difficult to measure as some costs cannot be quantified. For example, the departing employee will be less productive in final weeks and the new employee is less productive in first few weeks due to training needs (Taylor and Woodhams, 2022, p.49 - 50). </w:t>
      </w:r>
    </w:p>
    <w:p w14:paraId="428D09BB">
      <w:pPr>
        <w:pStyle w:val="16"/>
        <w:rPr>
          <w:rFonts w:ascii="Calibri" w:hAnsi="Calibri" w:cs="Calibri"/>
          <w:color w:val="auto"/>
          <w:sz w:val="24"/>
          <w:szCs w:val="24"/>
          <w:u w:color="004147"/>
          <w:lang w:val="en-GB"/>
        </w:rPr>
      </w:pPr>
    </w:p>
    <w:p w14:paraId="37BB1B08">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Morale - When any employee leaves, whether this is through avoidable or unavoidable turnover, this will affect morale in general. This could be down to disappointment to employee leaving or increased workload that they have to fulfil during transition period of recruitment and induction of replacement (Taylor and Woodhams, 2022, pg.50).  A 2022 report published by Wiley Edge found that 63% of those businesses surveyed experienced the culture suffering as result of high turnover. This also links very closely with productivity levels (People Management, 2022).</w:t>
      </w:r>
    </w:p>
    <w:p w14:paraId="2008E26B">
      <w:pPr>
        <w:pStyle w:val="16"/>
        <w:rPr>
          <w:rFonts w:ascii="Calibri" w:hAnsi="Calibri" w:cs="Calibri"/>
          <w:color w:val="auto"/>
          <w:sz w:val="24"/>
          <w:szCs w:val="24"/>
          <w:u w:color="004147"/>
          <w:lang w:val="en-GB"/>
        </w:rPr>
      </w:pPr>
    </w:p>
    <w:p w14:paraId="0FE2D48D">
      <w:pPr>
        <w:pStyle w:val="16"/>
        <w:rPr>
          <w:rFonts w:ascii="Calibri" w:hAnsi="Calibri" w:cs="Calibri"/>
          <w:color w:val="auto"/>
          <w:sz w:val="24"/>
          <w:szCs w:val="24"/>
          <w:u w:color="004147"/>
          <w:lang w:val="en-GB"/>
        </w:rPr>
      </w:pPr>
      <w:r>
        <w:rPr>
          <w:rFonts w:ascii="Calibri" w:hAnsi="Calibri" w:cs="Calibri"/>
          <w:color w:val="auto"/>
          <w:sz w:val="24"/>
          <w:szCs w:val="24"/>
          <w:u w:color="004147"/>
          <w:lang w:val="en-GB"/>
        </w:rPr>
        <w:t>Costs - The costs of employee turnover can be considerable to any business (Armstrong, 2020, P. 350). Financial costs can link to administration to advertise and recruit a replacement, covering role during transition period and induction and training costs (Taylor and Woodhams, 2022, p.50). The average cost of recruiting a new employee currently stands at £1500 however this has seen a recent decline due to recruitment budgets decreasing and the use of social media to advertise vacancies (CIPD, 2024).</w:t>
      </w:r>
    </w:p>
    <w:p w14:paraId="0C00E91C">
      <w:pPr>
        <w:pStyle w:val="16"/>
        <w:rPr>
          <w:rFonts w:ascii="Calibri" w:hAnsi="Calibri" w:cs="Calibri"/>
          <w:color w:val="auto"/>
          <w:sz w:val="24"/>
          <w:szCs w:val="24"/>
          <w:u w:color="004147"/>
          <w:lang w:val="en-GB"/>
        </w:rPr>
      </w:pPr>
    </w:p>
    <w:p w14:paraId="0568AD52">
      <w:pPr>
        <w:pStyle w:val="16"/>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Customer satisfaction - When productivity and morale drops this will inevitably have an impact at some point on the service provision and affect customer satisfaction. In ParcelCare this will have detrimental impact due to the competitive market that it operates in. This in turn will unfortunately customers taking their business elsewhere. It can also damage stakeholder relationships which may be difficult to build back again (Taylor and Woodhams, 2022, p.50)</w:t>
      </w:r>
      <w:r>
        <w:rPr>
          <w:rFonts w:hint="default" w:ascii="Calibri" w:hAnsi="Calibri" w:cs="Calibri"/>
          <w:color w:val="auto"/>
          <w:sz w:val="24"/>
          <w:szCs w:val="24"/>
          <w:u w:color="004147"/>
          <w:lang w:val="en-GB"/>
        </w:rPr>
        <w:t>.</w:t>
      </w:r>
    </w:p>
    <w:p w14:paraId="03368B42">
      <w:pPr>
        <w:pStyle w:val="16"/>
        <w:rPr>
          <w:rFonts w:hint="default" w:ascii="Calibri" w:hAnsi="Calibri" w:cs="Calibri"/>
          <w:color w:val="auto"/>
          <w:sz w:val="24"/>
          <w:szCs w:val="24"/>
          <w:u w:color="004147"/>
          <w:lang w:val="en-GB"/>
        </w:rPr>
      </w:pPr>
    </w:p>
    <w:p w14:paraId="22CF44F0">
      <w:pPr>
        <w:pStyle w:val="16"/>
        <w:rPr>
          <w:rFonts w:hint="default" w:ascii="Calibri" w:hAnsi="Calibri" w:cs="Calibri"/>
          <w:color w:val="auto"/>
          <w:sz w:val="24"/>
          <w:szCs w:val="24"/>
          <w:u w:color="004147"/>
          <w:lang w:val="en-GB"/>
        </w:rPr>
      </w:pPr>
      <w:r>
        <w:rPr>
          <w:rFonts w:hint="default" w:ascii="Calibri" w:hAnsi="Calibri" w:cs="Calibri"/>
          <w:color w:val="auto"/>
          <w:sz w:val="24"/>
          <w:szCs w:val="24"/>
          <w:u w:color="004147"/>
          <w:lang w:val="en-GB"/>
        </w:rPr>
        <w:t>By ensuring that costs of employee turnover is measured and managed, ParcelCare will be able to look to mitigate as much dysfunctional turnover as possible in order to retain it’s best talent.</w:t>
      </w:r>
    </w:p>
    <w:p w14:paraId="03E5D986">
      <w:pPr>
        <w:pStyle w:val="16"/>
        <w:rPr>
          <w:rFonts w:ascii="Calibri" w:hAnsi="Calibri" w:cs="Calibri"/>
          <w:color w:val="auto"/>
          <w:sz w:val="24"/>
          <w:szCs w:val="24"/>
          <w:u w:color="004147"/>
          <w:lang w:val="en-GB"/>
        </w:rPr>
      </w:pPr>
    </w:p>
    <w:p w14:paraId="36520B7C">
      <w:pPr>
        <w:pStyle w:val="16"/>
        <w:rPr>
          <w:rFonts w:ascii="Calibri" w:hAnsi="Calibri" w:cs="Calibri"/>
          <w:color w:val="auto"/>
          <w:sz w:val="24"/>
          <w:szCs w:val="24"/>
          <w:u w:color="004147"/>
          <w:lang w:val="en-GB"/>
        </w:rPr>
      </w:pPr>
    </w:p>
    <w:p w14:paraId="59207853">
      <w:pPr>
        <w:pStyle w:val="16"/>
        <w:rPr>
          <w:rFonts w:ascii="Calibri" w:hAnsi="Calibri" w:cs="Calibri"/>
          <w:color w:val="auto"/>
          <w:sz w:val="24"/>
          <w:szCs w:val="24"/>
          <w:u w:color="004147"/>
          <w:lang w:val="en-GB"/>
        </w:rPr>
      </w:pPr>
    </w:p>
    <w:p w14:paraId="19FBA061">
      <w:pPr>
        <w:pStyle w:val="16"/>
        <w:rPr>
          <w:rFonts w:ascii="Calibri" w:hAnsi="Calibri" w:cs="Calibri"/>
          <w:b/>
          <w:bCs/>
          <w:color w:val="auto"/>
          <w:sz w:val="24"/>
          <w:szCs w:val="24"/>
          <w:u w:color="004147"/>
          <w:lang w:val="en-GB"/>
        </w:rPr>
      </w:pPr>
      <w:r>
        <w:rPr>
          <w:rFonts w:ascii="Calibri" w:hAnsi="Calibri" w:cs="Calibri"/>
          <w:color w:val="auto"/>
          <w:sz w:val="24"/>
          <w:szCs w:val="24"/>
          <w:u w:color="004147"/>
          <w:lang w:val="en-GB"/>
        </w:rPr>
        <w:t xml:space="preserve"> </w:t>
      </w:r>
    </w:p>
    <w:p w14:paraId="65446E78">
      <w:pPr>
        <w:pStyle w:val="16"/>
        <w:numPr>
          <w:ilvl w:val="255"/>
          <w:numId w:val="0"/>
        </w:numPr>
        <w:rPr>
          <w:rFonts w:ascii="Calibri" w:hAnsi="Calibri" w:cs="Calibri"/>
          <w:b/>
          <w:bCs/>
          <w:color w:val="auto"/>
          <w:sz w:val="24"/>
          <w:szCs w:val="24"/>
          <w:u w:color="004147"/>
          <w:lang w:val="en-GB"/>
        </w:rPr>
      </w:pPr>
    </w:p>
    <w:p w14:paraId="0D4EEB81">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 xml:space="preserve">AC 4.1 </w:t>
      </w:r>
    </w:p>
    <w:p w14:paraId="27AD7BA5">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rPr>
        <w:t xml:space="preserve">Assess </w:t>
      </w:r>
      <w:r>
        <w:rPr>
          <w:rFonts w:ascii="Calibri" w:hAnsi="Calibri" w:cs="Calibri"/>
          <w:b/>
          <w:bCs/>
          <w:color w:val="auto"/>
          <w:sz w:val="24"/>
          <w:szCs w:val="24"/>
          <w:u w:color="004147"/>
          <w:lang w:val="en-GB"/>
        </w:rPr>
        <w:t>the suitability of permanent, full time contracts for delivery drivers as well as two other types of contracts.</w:t>
      </w:r>
    </w:p>
    <w:p w14:paraId="456D433B">
      <w:pPr>
        <w:pStyle w:val="16"/>
        <w:numPr>
          <w:ilvl w:val="255"/>
          <w:numId w:val="0"/>
        </w:numPr>
        <w:rPr>
          <w:rFonts w:ascii="Calibri" w:hAnsi="Calibri" w:cs="Calibri"/>
          <w:b/>
          <w:bCs/>
          <w:color w:val="auto"/>
          <w:sz w:val="24"/>
          <w:szCs w:val="24"/>
          <w:u w:color="004147"/>
          <w:lang w:val="en-GB"/>
        </w:rPr>
      </w:pPr>
    </w:p>
    <w:p w14:paraId="0BB9038E">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Whilst Parcel</w:t>
      </w:r>
      <w:r>
        <w:rPr>
          <w:rFonts w:hint="default" w:ascii="Calibri" w:hAnsi="Calibri" w:cs="Calibri"/>
          <w:color w:val="auto"/>
          <w:sz w:val="24"/>
          <w:szCs w:val="24"/>
          <w:u w:color="004147"/>
          <w:lang w:val="en-GB"/>
        </w:rPr>
        <w:t>C</w:t>
      </w:r>
      <w:r>
        <w:rPr>
          <w:rFonts w:ascii="Calibri" w:hAnsi="Calibri" w:cs="Calibri"/>
          <w:color w:val="auto"/>
          <w:sz w:val="24"/>
          <w:szCs w:val="24"/>
          <w:u w:color="004147"/>
          <w:lang w:val="en-GB"/>
        </w:rPr>
        <w:t>are provide mainly full time, permanent contracts, here we will  look at alternative options to ensure stability and flexibility for the business and it’s workforce.</w:t>
      </w:r>
    </w:p>
    <w:p w14:paraId="53CA1F40">
      <w:pPr>
        <w:pStyle w:val="16"/>
        <w:numPr>
          <w:ilvl w:val="255"/>
          <w:numId w:val="0"/>
        </w:numPr>
        <w:rPr>
          <w:rFonts w:ascii="Calibri" w:hAnsi="Calibri" w:cs="Calibri"/>
          <w:color w:val="auto"/>
          <w:sz w:val="24"/>
          <w:szCs w:val="24"/>
          <w:u w:color="004147"/>
          <w:lang w:val="en-GB"/>
        </w:rPr>
      </w:pPr>
    </w:p>
    <w:p w14:paraId="0C1DAABA">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Full time, permanent contracts:</w:t>
      </w:r>
    </w:p>
    <w:p w14:paraId="692B5831">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Those members of staff that are on full time, permanent contracts in ParcelCare are classified as employees. Employees have  more employment rights over workers  but also have set terms and conditions as part of their contract. Additional rights include regular work, paid holidays, protection from discrimination and the rights to SSP (ACAS, 2024). These rights provide workers at ParcelCare with stability especially during periods of low demand and can contribute to employee retention and  improving job satisfaction (DavidsonMorris, 2025). </w:t>
      </w:r>
      <w:r>
        <w:rPr>
          <w:rFonts w:hint="default" w:ascii="Calibri" w:hAnsi="Calibri" w:cs="Calibri"/>
          <w:color w:val="auto"/>
          <w:sz w:val="24"/>
          <w:szCs w:val="24"/>
          <w:u w:color="004147"/>
          <w:lang w:val="en-GB"/>
        </w:rPr>
        <w:t>T</w:t>
      </w:r>
      <w:r>
        <w:rPr>
          <w:rFonts w:ascii="Calibri" w:hAnsi="Calibri" w:cs="Calibri"/>
          <w:color w:val="auto"/>
          <w:sz w:val="24"/>
          <w:szCs w:val="24"/>
          <w:u w:color="004147"/>
          <w:lang w:val="en-GB"/>
        </w:rPr>
        <w:t xml:space="preserve">here </w:t>
      </w:r>
      <w:r>
        <w:rPr>
          <w:rFonts w:hint="default" w:ascii="Calibri" w:hAnsi="Calibri" w:cs="Calibri"/>
          <w:color w:val="auto"/>
          <w:sz w:val="24"/>
          <w:szCs w:val="24"/>
          <w:u w:color="004147"/>
          <w:lang w:val="en-GB"/>
        </w:rPr>
        <w:t xml:space="preserve">are </w:t>
      </w:r>
      <w:r>
        <w:rPr>
          <w:rFonts w:ascii="Calibri" w:hAnsi="Calibri" w:cs="Calibri"/>
          <w:color w:val="auto"/>
          <w:sz w:val="24"/>
          <w:szCs w:val="24"/>
          <w:u w:color="004147"/>
          <w:lang w:val="en-GB"/>
        </w:rPr>
        <w:t>some limitations to these types of contracts for the including inflexibility during quieter periods which can be costly to maintain staff full time and also for employees who are now looking to fit working times around family commitments (Daniels, 2025, p.60).</w:t>
      </w:r>
    </w:p>
    <w:p w14:paraId="3EE3399A">
      <w:pPr>
        <w:pStyle w:val="16"/>
        <w:numPr>
          <w:ilvl w:val="255"/>
          <w:numId w:val="0"/>
        </w:numPr>
        <w:rPr>
          <w:rFonts w:ascii="Calibri" w:hAnsi="Calibri" w:cs="Calibri"/>
          <w:color w:val="auto"/>
          <w:sz w:val="24"/>
          <w:szCs w:val="24"/>
          <w:u w:color="004147"/>
          <w:lang w:val="en-GB"/>
        </w:rPr>
      </w:pPr>
    </w:p>
    <w:p w14:paraId="2E258EB4">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Agency workers:</w:t>
      </w:r>
    </w:p>
    <w:p w14:paraId="71E06D59">
      <w:pPr>
        <w:pStyle w:val="16"/>
        <w:numPr>
          <w:ilvl w:val="255"/>
          <w:numId w:val="0"/>
        </w:numPr>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According to the CIPD</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2024</w:t>
      </w:r>
      <w:r>
        <w:rPr>
          <w:rFonts w:hint="default" w:ascii="Calibri" w:hAnsi="Calibri" w:cs="Calibri"/>
          <w:color w:val="auto"/>
          <w:sz w:val="24"/>
          <w:szCs w:val="24"/>
          <w:u w:color="004147"/>
          <w:lang w:val="en-GB"/>
        </w:rPr>
        <w:t>)</w:t>
      </w:r>
      <w:r>
        <w:rPr>
          <w:rFonts w:ascii="Calibri" w:hAnsi="Calibri" w:cs="Calibri"/>
          <w:color w:val="auto"/>
          <w:sz w:val="24"/>
          <w:szCs w:val="24"/>
          <w:u w:color="004147"/>
          <w:lang w:val="en-GB"/>
        </w:rPr>
        <w:t xml:space="preserve">, agency workers can sometimes be described as a contingent worker who is usually supplied temporarily by a work agency. </w:t>
      </w:r>
      <w:r>
        <w:rPr>
          <w:rFonts w:hint="default" w:ascii="Calibri" w:hAnsi="Calibri" w:cs="Calibri"/>
          <w:color w:val="auto"/>
          <w:sz w:val="24"/>
          <w:szCs w:val="24"/>
          <w:u w:color="004147"/>
          <w:lang w:val="en-GB"/>
        </w:rPr>
        <w:t>Benefits to ParcelCare</w:t>
      </w:r>
      <w:r>
        <w:rPr>
          <w:rFonts w:ascii="Calibri" w:hAnsi="Calibri" w:cs="Calibri"/>
          <w:color w:val="auto"/>
          <w:sz w:val="24"/>
          <w:szCs w:val="24"/>
          <w:u w:color="004147"/>
          <w:lang w:val="en-GB"/>
        </w:rPr>
        <w:t xml:space="preserve"> if considering the use of agency workers</w:t>
      </w:r>
      <w:r>
        <w:rPr>
          <w:rFonts w:hint="default" w:ascii="Calibri" w:hAnsi="Calibri" w:cs="Calibri"/>
          <w:color w:val="auto"/>
          <w:sz w:val="24"/>
          <w:szCs w:val="24"/>
          <w:u w:color="004147"/>
          <w:lang w:val="en-GB"/>
        </w:rPr>
        <w:t xml:space="preserve"> would </w:t>
      </w:r>
      <w:r>
        <w:rPr>
          <w:rFonts w:ascii="Calibri" w:hAnsi="Calibri" w:cs="Calibri"/>
          <w:color w:val="auto"/>
          <w:sz w:val="24"/>
          <w:szCs w:val="24"/>
          <w:u w:color="004147"/>
          <w:lang w:val="en-GB"/>
        </w:rPr>
        <w:t xml:space="preserve">include employment support through peaks and troughs (Christmas and holiday periods), the efficient ability to hire and terminate and </w:t>
      </w:r>
      <w:r>
        <w:rPr>
          <w:rFonts w:hint="default" w:ascii="Calibri" w:hAnsi="Calibri" w:cs="Calibri"/>
          <w:color w:val="auto"/>
          <w:sz w:val="24"/>
          <w:szCs w:val="24"/>
          <w:u w:color="004147"/>
          <w:lang w:val="en-GB"/>
        </w:rPr>
        <w:t>a</w:t>
      </w:r>
      <w:r>
        <w:rPr>
          <w:rFonts w:ascii="Calibri" w:hAnsi="Calibri" w:cs="Calibri"/>
          <w:color w:val="auto"/>
          <w:sz w:val="24"/>
          <w:szCs w:val="24"/>
          <w:u w:color="004147"/>
          <w:lang w:val="en-GB"/>
        </w:rPr>
        <w:t>void</w:t>
      </w:r>
      <w:r>
        <w:rPr>
          <w:rFonts w:hint="default" w:ascii="Calibri" w:hAnsi="Calibri" w:cs="Calibri"/>
          <w:color w:val="auto"/>
          <w:sz w:val="24"/>
          <w:szCs w:val="24"/>
          <w:u w:color="004147"/>
          <w:lang w:val="en-GB"/>
        </w:rPr>
        <w:t>ing</w:t>
      </w:r>
      <w:r>
        <w:rPr>
          <w:rFonts w:ascii="Calibri" w:hAnsi="Calibri" w:cs="Calibri"/>
          <w:color w:val="auto"/>
          <w:sz w:val="24"/>
          <w:szCs w:val="24"/>
          <w:u w:color="004147"/>
          <w:lang w:val="en-GB"/>
        </w:rPr>
        <w:t xml:space="preserve"> having to provide the terms and conditions offered to permanent workers. The drawbacks of using agency workers are dealing with compliance and performan</w:t>
      </w:r>
      <w:r>
        <w:rPr>
          <w:rFonts w:hint="default" w:ascii="Calibri" w:hAnsi="Calibri" w:cs="Calibri"/>
          <w:color w:val="auto"/>
          <w:sz w:val="24"/>
          <w:szCs w:val="24"/>
          <w:u w:color="004147"/>
          <w:lang w:val="en-GB"/>
        </w:rPr>
        <w:t>ce issues, the cost of utilising the agency and the lack of engagement from agency workers</w:t>
      </w:r>
      <w:r>
        <w:rPr>
          <w:rStyle w:val="4"/>
          <w:rFonts w:hint="default" w:ascii="Calibri" w:hAnsi="Calibri" w:cs="Calibri"/>
          <w:color w:val="auto"/>
          <w:sz w:val="24"/>
          <w:szCs w:val="24"/>
          <w:lang w:val="en-GB" w:eastAsia="en-US"/>
        </w:rPr>
        <w:t xml:space="preserve"> (People Management, 2023).</w:t>
      </w:r>
    </w:p>
    <w:p w14:paraId="49CFE6FE">
      <w:pPr>
        <w:pStyle w:val="16"/>
        <w:numPr>
          <w:ilvl w:val="255"/>
          <w:numId w:val="0"/>
        </w:numPr>
        <w:rPr>
          <w:rFonts w:ascii="Calibri" w:hAnsi="Calibri" w:cs="Calibri"/>
          <w:color w:val="auto"/>
          <w:sz w:val="24"/>
          <w:szCs w:val="24"/>
          <w:u w:color="004147"/>
          <w:lang w:val="en-GB"/>
        </w:rPr>
      </w:pPr>
    </w:p>
    <w:p w14:paraId="47DD7B42">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Zero hours contracts:</w:t>
      </w:r>
    </w:p>
    <w:p w14:paraId="16CE7CC7">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According to Armstrong</w:t>
      </w:r>
      <w:r>
        <w:rPr>
          <w:rFonts w:hint="default" w:ascii="Calibri" w:hAnsi="Calibri" w:cs="Calibri"/>
          <w:color w:val="auto"/>
          <w:sz w:val="24"/>
          <w:szCs w:val="24"/>
          <w:u w:color="004147"/>
          <w:lang w:val="en-GB"/>
        </w:rPr>
        <w:t xml:space="preserve"> (</w:t>
      </w:r>
      <w:r>
        <w:rPr>
          <w:rFonts w:ascii="Calibri" w:hAnsi="Calibri" w:cs="Calibri"/>
          <w:color w:val="auto"/>
          <w:sz w:val="24"/>
          <w:szCs w:val="24"/>
          <w:u w:color="004147"/>
          <w:lang w:val="en-GB"/>
        </w:rPr>
        <w:t>2020, p61) these contracts are useful when work fluctuates and a guaranteed number of hours cannot be provided. This would be an efficient option for ParcelCare due to the nature of the supply and demand in service provision through different periods of the year. Due to</w:t>
      </w:r>
      <w:r>
        <w:rPr>
          <w:rFonts w:hint="default" w:ascii="Calibri" w:hAnsi="Calibri" w:cs="Calibri"/>
          <w:color w:val="auto"/>
          <w:sz w:val="24"/>
          <w:szCs w:val="24"/>
          <w:u w:color="004147"/>
          <w:lang w:val="en-GB"/>
        </w:rPr>
        <w:t xml:space="preserve"> their</w:t>
      </w:r>
      <w:r>
        <w:rPr>
          <w:rFonts w:ascii="Calibri" w:hAnsi="Calibri" w:cs="Calibri"/>
          <w:color w:val="auto"/>
          <w:sz w:val="24"/>
          <w:szCs w:val="24"/>
          <w:u w:color="004147"/>
          <w:lang w:val="en-GB"/>
        </w:rPr>
        <w:t xml:space="preserve"> flexib</w:t>
      </w:r>
      <w:r>
        <w:rPr>
          <w:rFonts w:hint="default" w:ascii="Calibri" w:hAnsi="Calibri" w:cs="Calibri"/>
          <w:color w:val="auto"/>
          <w:sz w:val="24"/>
          <w:szCs w:val="24"/>
          <w:u w:color="004147"/>
          <w:lang w:val="en-GB"/>
        </w:rPr>
        <w:t>i</w:t>
      </w:r>
      <w:r>
        <w:rPr>
          <w:rFonts w:ascii="Calibri" w:hAnsi="Calibri" w:cs="Calibri"/>
          <w:color w:val="auto"/>
          <w:sz w:val="24"/>
          <w:szCs w:val="24"/>
          <w:u w:color="004147"/>
          <w:lang w:val="en-GB"/>
        </w:rPr>
        <w:t>l</w:t>
      </w:r>
      <w:r>
        <w:rPr>
          <w:rFonts w:hint="default" w:ascii="Calibri" w:hAnsi="Calibri" w:cs="Calibri"/>
          <w:color w:val="auto"/>
          <w:sz w:val="24"/>
          <w:szCs w:val="24"/>
          <w:u w:color="004147"/>
          <w:lang w:val="en-GB"/>
        </w:rPr>
        <w:t>it</w:t>
      </w:r>
      <w:r>
        <w:rPr>
          <w:rFonts w:ascii="Calibri" w:hAnsi="Calibri" w:cs="Calibri"/>
          <w:color w:val="auto"/>
          <w:sz w:val="24"/>
          <w:szCs w:val="24"/>
          <w:u w:color="004147"/>
          <w:lang w:val="en-GB"/>
        </w:rPr>
        <w:t xml:space="preserve">y, these contracts are becoming more popular </w:t>
      </w:r>
      <w:r>
        <w:rPr>
          <w:rFonts w:hint="default" w:ascii="Calibri" w:hAnsi="Calibri" w:cs="Calibri"/>
          <w:color w:val="auto"/>
          <w:sz w:val="24"/>
          <w:szCs w:val="24"/>
          <w:u w:color="004147"/>
          <w:lang w:val="en-GB"/>
        </w:rPr>
        <w:t xml:space="preserve"> with workers</w:t>
      </w:r>
      <w:r>
        <w:rPr>
          <w:rFonts w:ascii="Calibri" w:hAnsi="Calibri" w:cs="Calibri"/>
          <w:color w:val="auto"/>
          <w:sz w:val="24"/>
          <w:szCs w:val="24"/>
          <w:u w:color="004147"/>
          <w:lang w:val="en-GB"/>
        </w:rPr>
        <w:t xml:space="preserve"> who look to undertake work on a</w:t>
      </w:r>
      <w:r>
        <w:rPr>
          <w:rFonts w:hint="default" w:ascii="Calibri" w:hAnsi="Calibri" w:cs="Calibri"/>
          <w:color w:val="auto"/>
          <w:sz w:val="24"/>
          <w:szCs w:val="24"/>
          <w:u w:color="004147"/>
          <w:lang w:val="en-GB"/>
        </w:rPr>
        <w:t>n</w:t>
      </w:r>
      <w:r>
        <w:rPr>
          <w:rFonts w:ascii="Calibri" w:hAnsi="Calibri" w:cs="Calibri"/>
          <w:color w:val="auto"/>
          <w:sz w:val="24"/>
          <w:szCs w:val="24"/>
          <w:u w:color="004147"/>
          <w:lang w:val="en-GB"/>
        </w:rPr>
        <w:t xml:space="preserve"> ad hoc basis. It is important to understand that these workers do not have to accept hours offered and will also have no commitment to the business (ACAS, 2024).</w:t>
      </w:r>
    </w:p>
    <w:p w14:paraId="0A95A40E">
      <w:pPr>
        <w:pStyle w:val="16"/>
        <w:numPr>
          <w:ilvl w:val="255"/>
          <w:numId w:val="0"/>
        </w:numPr>
        <w:rPr>
          <w:rFonts w:ascii="Calibri" w:hAnsi="Calibri" w:cs="Calibri"/>
          <w:color w:val="auto"/>
          <w:sz w:val="24"/>
          <w:szCs w:val="24"/>
          <w:u w:color="004147"/>
          <w:lang w:val="en-GB"/>
        </w:rPr>
      </w:pPr>
    </w:p>
    <w:p w14:paraId="47FA5EDF">
      <w:pPr>
        <w:pStyle w:val="16"/>
        <w:numPr>
          <w:ilvl w:val="255"/>
          <w:numId w:val="0"/>
        </w:numPr>
        <w:rPr>
          <w:rFonts w:hint="default" w:ascii="Calibri" w:hAnsi="Calibri" w:cs="Calibri"/>
          <w:b/>
          <w:bCs/>
          <w:color w:val="auto"/>
          <w:sz w:val="24"/>
          <w:szCs w:val="24"/>
          <w:u w:color="004147"/>
          <w:lang w:val="en-GB"/>
        </w:rPr>
      </w:pPr>
      <w:r>
        <w:rPr>
          <w:rFonts w:hint="default" w:ascii="Calibri" w:hAnsi="Calibri" w:cs="Calibri"/>
          <w:color w:val="auto"/>
          <w:sz w:val="24"/>
          <w:szCs w:val="24"/>
          <w:u w:color="004147"/>
          <w:lang w:val="en-GB"/>
        </w:rPr>
        <w:t xml:space="preserve">The above 3 types of contracts all have their own benefits and I believe that it would be worth ParcelCare continuing the  use of permanent contracts alongside zero-hour contracts which would help to build a stable work force with the permanent employees but also having the option of bringing in temporary staff during seasonal period. </w:t>
      </w:r>
      <w:r>
        <w:rPr>
          <w:rStyle w:val="4"/>
          <w:rFonts w:hint="default" w:ascii="Calibri" w:hAnsi="Calibri" w:cs="Calibri"/>
          <w:color w:val="auto"/>
          <w:sz w:val="24"/>
          <w:szCs w:val="24"/>
          <w:lang w:val="en-GB" w:eastAsia="en-US"/>
        </w:rPr>
        <w:t>It may also be worth considering the gig economy as these types of contracts are very popular with delivery drivers due to their flexibility and earning potential (CIPD, 2023). (432)</w:t>
      </w:r>
    </w:p>
    <w:p w14:paraId="7D236DC4">
      <w:pPr>
        <w:pStyle w:val="16"/>
        <w:numPr>
          <w:ilvl w:val="255"/>
          <w:numId w:val="0"/>
        </w:numPr>
        <w:rPr>
          <w:rFonts w:ascii="Calibri" w:hAnsi="Calibri" w:cs="Calibri"/>
          <w:b/>
          <w:bCs/>
          <w:color w:val="auto"/>
          <w:sz w:val="24"/>
          <w:szCs w:val="24"/>
          <w:u w:color="004147"/>
        </w:rPr>
      </w:pPr>
    </w:p>
    <w:p w14:paraId="6B166DEC">
      <w:pPr>
        <w:pStyle w:val="16"/>
        <w:numPr>
          <w:ilvl w:val="255"/>
          <w:numId w:val="0"/>
        </w:numPr>
        <w:rPr>
          <w:rFonts w:ascii="Calibri" w:hAnsi="Calibri" w:cs="Calibri"/>
          <w:b/>
          <w:bCs/>
          <w:color w:val="auto"/>
          <w:sz w:val="24"/>
          <w:szCs w:val="24"/>
          <w:u w:color="004147"/>
          <w:lang w:val="en-GB"/>
        </w:rPr>
      </w:pPr>
      <w:r>
        <w:rPr>
          <w:rFonts w:ascii="Calibri" w:hAnsi="Calibri" w:cs="Calibri"/>
          <w:b/>
          <w:bCs/>
          <w:color w:val="auto"/>
          <w:sz w:val="24"/>
          <w:szCs w:val="24"/>
          <w:u w:color="004147"/>
          <w:lang w:val="en-GB"/>
        </w:rPr>
        <w:t>AC 4.2</w:t>
      </w:r>
    </w:p>
    <w:p w14:paraId="5683D990">
      <w:pPr>
        <w:pStyle w:val="16"/>
        <w:numPr>
          <w:ilvl w:val="255"/>
          <w:numId w:val="0"/>
        </w:numPr>
        <w:rPr>
          <w:rFonts w:ascii="Calibri" w:hAnsi="Calibri" w:cs="Calibri"/>
          <w:b/>
          <w:bCs/>
          <w:color w:val="auto"/>
          <w:sz w:val="24"/>
          <w:szCs w:val="24"/>
          <w:u w:color="004147"/>
        </w:rPr>
      </w:pPr>
      <w:r>
        <w:rPr>
          <w:rFonts w:ascii="Calibri" w:hAnsi="Calibri" w:cs="Calibri"/>
          <w:b/>
          <w:bCs/>
          <w:color w:val="auto"/>
          <w:sz w:val="24"/>
          <w:szCs w:val="24"/>
          <w:u w:color="004147"/>
        </w:rPr>
        <w:t>Explain the benefits of effective onboarding.</w:t>
      </w:r>
    </w:p>
    <w:p w14:paraId="1B3E59A2">
      <w:pPr>
        <w:pStyle w:val="16"/>
        <w:numPr>
          <w:ilvl w:val="255"/>
          <w:numId w:val="0"/>
        </w:numPr>
        <w:rPr>
          <w:rFonts w:ascii="Calibri" w:hAnsi="Calibri" w:cs="Calibri"/>
          <w:b/>
          <w:bCs/>
          <w:color w:val="auto"/>
          <w:sz w:val="24"/>
          <w:szCs w:val="24"/>
          <w:u w:color="004147"/>
        </w:rPr>
      </w:pPr>
    </w:p>
    <w:p w14:paraId="42015A0B">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According to Taylor and Woodhams, (2022, p.98), onboarding is the period between the new employee joining the organisation and them gaining the skills required for the job. It is an important part of the employee lifecycle as failure to get this correct can lead to the employee leaving at an early stage and therefore losing money for the business.  The start of onboarding will provide an employee with a clear impression of the organisation and how they will be able to integrate themselves into their role (CIPD, 2025). </w:t>
      </w:r>
    </w:p>
    <w:p w14:paraId="48E828B2">
      <w:pPr>
        <w:pStyle w:val="16"/>
        <w:numPr>
          <w:ilvl w:val="255"/>
          <w:numId w:val="0"/>
        </w:numPr>
        <w:rPr>
          <w:rFonts w:ascii="Calibri" w:hAnsi="Calibri" w:cs="Calibri"/>
          <w:color w:val="auto"/>
          <w:sz w:val="24"/>
          <w:szCs w:val="24"/>
          <w:u w:color="004147"/>
          <w:lang w:val="en-GB"/>
        </w:rPr>
      </w:pPr>
    </w:p>
    <w:p w14:paraId="0D6E0032">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 xml:space="preserve">Effective onboarding programmes can have significant benefits for both employees and employers. For employees these include opportunities to get to know their colleagues and the business quicker and also provides them with the resources to learn the skills required for their role in a timely, professional manner (CIPD, 2024). It is important to ensure that employees are trained in an efficient way to ensure they know how to perform the basic responsibilities in the role in a fairly short space of time. People Management, 2020, state that due to the nature of certain industries where staff turnover is high, it is important to maximise this period to raise the level of productivity from the offset. </w:t>
      </w:r>
    </w:p>
    <w:p w14:paraId="500A353C">
      <w:pPr>
        <w:pStyle w:val="16"/>
        <w:numPr>
          <w:ilvl w:val="255"/>
          <w:numId w:val="0"/>
        </w:numPr>
        <w:rPr>
          <w:rFonts w:ascii="Calibri" w:hAnsi="Calibri" w:cs="Calibri"/>
          <w:color w:val="auto"/>
          <w:sz w:val="24"/>
          <w:szCs w:val="24"/>
          <w:u w:color="004147"/>
          <w:lang w:val="en-GB"/>
        </w:rPr>
      </w:pPr>
    </w:p>
    <w:p w14:paraId="32A92C0B">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According to a CIPD survey in 2024, in order to improve staff retention, 32% of employers looked to improve the methods that they used to onboard and induct new staff. It is important that ParcelCare look to plan a thorough onboarding programme to ensure that they create a good impression. Failure to do so will demotivate the employee and lead to feelings of doubt and low morale. A good induction will immediately improve relations between employees and their managers, creating a climate of trust and respect on behalf of all parties (Marchington, 2021).</w:t>
      </w:r>
    </w:p>
    <w:p w14:paraId="1F0B7565">
      <w:pPr>
        <w:pStyle w:val="16"/>
        <w:numPr>
          <w:ilvl w:val="255"/>
          <w:numId w:val="0"/>
        </w:numPr>
        <w:rPr>
          <w:rFonts w:ascii="Calibri" w:hAnsi="Calibri" w:cs="Calibri"/>
          <w:color w:val="auto"/>
          <w:sz w:val="24"/>
          <w:szCs w:val="24"/>
          <w:u w:color="004147"/>
          <w:lang w:val="en-GB"/>
        </w:rPr>
      </w:pPr>
    </w:p>
    <w:p w14:paraId="15A35D8A">
      <w:pPr>
        <w:pStyle w:val="16"/>
        <w:numPr>
          <w:ilvl w:val="255"/>
          <w:numId w:val="0"/>
        </w:numPr>
        <w:rPr>
          <w:rFonts w:ascii="Calibri" w:hAnsi="Calibri" w:cs="Calibri"/>
          <w:color w:val="auto"/>
          <w:sz w:val="24"/>
          <w:szCs w:val="24"/>
          <w:u w:color="004147"/>
          <w:lang w:val="en-GB"/>
        </w:rPr>
      </w:pPr>
      <w:r>
        <w:rPr>
          <w:rFonts w:ascii="Calibri" w:hAnsi="Calibri" w:cs="Calibri"/>
          <w:color w:val="auto"/>
          <w:sz w:val="24"/>
          <w:szCs w:val="24"/>
          <w:u w:color="004147"/>
          <w:lang w:val="en-GB"/>
        </w:rPr>
        <w:t>An example of this is Pret A Manger who have an innovative recruitment and onboarding programme where applicants are assessed against their 3 desired behaviors and will attend an experience day at one of their stores. The outcome of recruitment is voted for by the employees within the store and successful candidates will then attend a 10 day training programme. This is opposed to Deliveroo where onboarding was completed in a 30 minute period, leading to a number of accidents for its riders (Marchington, 2021).</w:t>
      </w:r>
    </w:p>
    <w:p w14:paraId="3748334D">
      <w:pPr>
        <w:pStyle w:val="16"/>
        <w:numPr>
          <w:ilvl w:val="255"/>
          <w:numId w:val="0"/>
        </w:numPr>
        <w:rPr>
          <w:rFonts w:ascii="Calibri" w:hAnsi="Calibri" w:cs="Calibri"/>
          <w:color w:val="auto"/>
          <w:sz w:val="24"/>
          <w:szCs w:val="24"/>
          <w:u w:color="004147"/>
          <w:lang w:val="en-GB"/>
        </w:rPr>
      </w:pPr>
    </w:p>
    <w:p w14:paraId="67E4E557">
      <w:pPr>
        <w:pStyle w:val="16"/>
        <w:numPr>
          <w:ilvl w:val="255"/>
          <w:numId w:val="0"/>
        </w:numPr>
        <w:rPr>
          <w:rFonts w:hint="default" w:ascii="Calibri" w:hAnsi="Calibri" w:cs="Calibri"/>
          <w:color w:val="auto"/>
          <w:sz w:val="24"/>
          <w:szCs w:val="24"/>
          <w:u w:color="004147"/>
          <w:lang w:val="en-GB"/>
        </w:rPr>
      </w:pPr>
      <w:r>
        <w:rPr>
          <w:rFonts w:ascii="Calibri" w:hAnsi="Calibri" w:cs="Calibri"/>
          <w:color w:val="auto"/>
          <w:sz w:val="24"/>
          <w:szCs w:val="24"/>
          <w:u w:color="004147"/>
          <w:lang w:val="en-GB"/>
        </w:rPr>
        <w:t xml:space="preserve">Therefore, I would strongly recommend that Parcelcare look to review its existing on boarding programme to ensure that retention rates improve to ensure that all aspects are covered for each role including links to cooperate culture, policies and procedures, roles and responsibilities. </w:t>
      </w:r>
      <w:r>
        <w:rPr>
          <w:rFonts w:hint="default" w:ascii="Calibri" w:hAnsi="Calibri" w:cs="Calibri"/>
          <w:color w:val="auto"/>
          <w:sz w:val="24"/>
          <w:szCs w:val="24"/>
          <w:u w:color="004147"/>
          <w:lang w:val="en-GB"/>
        </w:rPr>
        <w:t xml:space="preserve"> </w:t>
      </w:r>
    </w:p>
    <w:p w14:paraId="533F28AD">
      <w:pPr>
        <w:pStyle w:val="16"/>
        <w:numPr>
          <w:ilvl w:val="255"/>
          <w:numId w:val="0"/>
        </w:numPr>
        <w:rPr>
          <w:rFonts w:ascii="Calibri" w:hAnsi="Calibri" w:cs="Calibri"/>
          <w:b/>
          <w:bCs/>
          <w:color w:val="auto"/>
          <w:sz w:val="24"/>
          <w:szCs w:val="24"/>
          <w:u w:color="004147"/>
          <w:lang w:val="en-GB"/>
        </w:rPr>
      </w:pPr>
    </w:p>
    <w:p w14:paraId="3908482B">
      <w:pPr>
        <w:pStyle w:val="16"/>
        <w:numPr>
          <w:ilvl w:val="255"/>
          <w:numId w:val="0"/>
        </w:numPr>
        <w:rPr>
          <w:rFonts w:ascii="Calibri" w:hAnsi="Calibri" w:cs="Calibri"/>
          <w:b/>
          <w:bCs/>
          <w:color w:val="auto"/>
          <w:sz w:val="24"/>
          <w:szCs w:val="24"/>
          <w:u w:color="004147"/>
          <w:lang w:val="en-GB"/>
        </w:rPr>
      </w:pPr>
    </w:p>
    <w:p w14:paraId="0DC572DD">
      <w:pPr>
        <w:pStyle w:val="16"/>
        <w:numPr>
          <w:ilvl w:val="255"/>
          <w:numId w:val="0"/>
        </w:numPr>
        <w:rPr>
          <w:rFonts w:ascii="Calibri" w:hAnsi="Calibri"/>
          <w:color w:val="auto"/>
          <w:sz w:val="24"/>
          <w:szCs w:val="24"/>
          <w:u w:color="004147"/>
          <w:lang w:val="en-GB"/>
        </w:rPr>
      </w:pPr>
    </w:p>
    <w:p w14:paraId="6AD44892">
      <w:pPr>
        <w:pStyle w:val="16"/>
        <w:numPr>
          <w:ilvl w:val="255"/>
          <w:numId w:val="0"/>
        </w:numPr>
        <w:jc w:val="both"/>
        <w:rPr>
          <w:rFonts w:ascii="Calibri" w:hAnsi="Calibri"/>
          <w:b/>
          <w:bCs/>
          <w:color w:val="auto"/>
          <w:sz w:val="24"/>
          <w:szCs w:val="24"/>
          <w:u w:color="004147"/>
          <w:lang w:val="en-GB"/>
        </w:rPr>
      </w:pPr>
    </w:p>
    <w:p w14:paraId="6CF10365">
      <w:pPr>
        <w:pStyle w:val="16"/>
        <w:numPr>
          <w:ilvl w:val="255"/>
          <w:numId w:val="0"/>
        </w:numPr>
        <w:jc w:val="both"/>
        <w:rPr>
          <w:rFonts w:ascii="Calibri" w:hAnsi="Calibri"/>
          <w:b/>
          <w:bCs/>
          <w:color w:val="auto"/>
          <w:sz w:val="24"/>
          <w:szCs w:val="24"/>
          <w:u w:color="004147"/>
          <w:lang w:val="en-GB"/>
        </w:rPr>
      </w:pPr>
    </w:p>
    <w:p w14:paraId="751C2B5B">
      <w:pPr>
        <w:pStyle w:val="16"/>
        <w:numPr>
          <w:ilvl w:val="255"/>
          <w:numId w:val="0"/>
        </w:numPr>
        <w:jc w:val="center"/>
        <w:rPr>
          <w:rFonts w:ascii="Calibri" w:hAnsi="Calibri"/>
          <w:b/>
          <w:bCs/>
          <w:color w:val="auto"/>
          <w:sz w:val="24"/>
          <w:szCs w:val="24"/>
          <w:u w:color="004147"/>
          <w:lang w:val="en-GB"/>
        </w:rPr>
      </w:pPr>
      <w:r>
        <w:rPr>
          <w:rFonts w:ascii="Calibri" w:hAnsi="Calibri"/>
          <w:b/>
          <w:bCs/>
          <w:color w:val="auto"/>
          <w:sz w:val="24"/>
          <w:szCs w:val="24"/>
          <w:u w:color="004147"/>
          <w:lang w:val="en-GB"/>
        </w:rPr>
        <w:t>Bibliography</w:t>
      </w:r>
    </w:p>
    <w:p w14:paraId="54B83107">
      <w:pPr>
        <w:pStyle w:val="16"/>
        <w:numPr>
          <w:ilvl w:val="255"/>
          <w:numId w:val="0"/>
        </w:numPr>
        <w:jc w:val="center"/>
        <w:rPr>
          <w:rFonts w:ascii="Calibri" w:hAnsi="Calibri"/>
          <w:b/>
          <w:bCs/>
          <w:color w:val="auto"/>
          <w:sz w:val="24"/>
          <w:szCs w:val="24"/>
          <w:u w:color="004147"/>
          <w:lang w:val="en-GB"/>
        </w:rPr>
      </w:pPr>
    </w:p>
    <w:p w14:paraId="393DB3D5">
      <w:pPr>
        <w:pStyle w:val="16"/>
        <w:numPr>
          <w:ilvl w:val="255"/>
          <w:numId w:val="0"/>
        </w:numPr>
        <w:rPr>
          <w:rFonts w:ascii="Calibri" w:hAnsi="Calibri"/>
          <w:b/>
          <w:bCs/>
          <w:color w:val="auto"/>
          <w:sz w:val="24"/>
          <w:szCs w:val="24"/>
          <w:u w:color="004147"/>
          <w:lang w:val="en-GB"/>
        </w:rPr>
      </w:pPr>
    </w:p>
    <w:p w14:paraId="0F28C780">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ACAS (2024</w:t>
      </w:r>
      <w:r>
        <w:rPr>
          <w:rFonts w:hint="default" w:ascii="Calibri" w:hAnsi="Calibri" w:eastAsia="avenir-regular-class" w:cs="Calibri"/>
          <w:color w:val="auto"/>
          <w:sz w:val="24"/>
          <w:szCs w:val="24"/>
          <w:shd w:val="clear" w:color="auto" w:fill="FBFBFB"/>
          <w:lang w:val="en-GB"/>
        </w:rPr>
        <w:t>a</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Employment Status: Employee</w:t>
      </w:r>
      <w:r>
        <w:rPr>
          <w:rFonts w:ascii="Calibri" w:hAnsi="Calibri" w:eastAsia="avenir-regular-class" w:cs="Calibri"/>
          <w:color w:val="auto"/>
          <w:sz w:val="24"/>
          <w:szCs w:val="24"/>
          <w:shd w:val="clear" w:color="auto" w:fill="FBFBFB"/>
        </w:rPr>
        <w:t>. Available at: https://www.acas.org.uk/employment-status/employee-employment-status (Accessed: 30 May 2025).</w:t>
      </w:r>
    </w:p>
    <w:p w14:paraId="2A7A3A2A">
      <w:pPr>
        <w:pStyle w:val="16"/>
        <w:numPr>
          <w:ilvl w:val="255"/>
          <w:numId w:val="0"/>
        </w:numPr>
        <w:rPr>
          <w:rFonts w:ascii="Calibri" w:hAnsi="Calibri" w:eastAsia="avenir-regular-class" w:cs="Calibri"/>
          <w:color w:val="auto"/>
          <w:sz w:val="24"/>
          <w:szCs w:val="24"/>
          <w:shd w:val="clear" w:color="auto" w:fill="FBFBFB"/>
        </w:rPr>
      </w:pPr>
    </w:p>
    <w:p w14:paraId="2E162DBB">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ACAS (2024</w:t>
      </w:r>
      <w:r>
        <w:rPr>
          <w:rFonts w:hint="default" w:ascii="Calibri" w:hAnsi="Calibri" w:eastAsia="avenir-regular-class" w:cs="Calibri"/>
          <w:color w:val="auto"/>
          <w:sz w:val="24"/>
          <w:szCs w:val="24"/>
          <w:shd w:val="clear" w:color="auto" w:fill="FBFBFB"/>
          <w:lang w:val="en-GB"/>
        </w:rPr>
        <w:t>b</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Zero-Hours Contracts.</w:t>
      </w:r>
      <w:r>
        <w:rPr>
          <w:rFonts w:ascii="Calibri" w:hAnsi="Calibri" w:eastAsia="avenir-regular-class" w:cs="Calibri"/>
          <w:color w:val="auto"/>
          <w:sz w:val="24"/>
          <w:szCs w:val="24"/>
          <w:shd w:val="clear" w:color="auto" w:fill="FBFBFB"/>
        </w:rPr>
        <w:t> Available at: https://www.acas.org.uk/zero-hours-contracts (Accessed: 30 May 2025).</w:t>
      </w:r>
    </w:p>
    <w:p w14:paraId="23E53BEC">
      <w:pPr>
        <w:pStyle w:val="16"/>
        <w:numPr>
          <w:ilvl w:val="255"/>
          <w:numId w:val="0"/>
        </w:numPr>
        <w:rPr>
          <w:rFonts w:ascii="Calibri" w:hAnsi="Calibri" w:eastAsia="avenir-regular-class" w:cs="Calibri"/>
          <w:color w:val="auto"/>
          <w:sz w:val="24"/>
          <w:szCs w:val="24"/>
          <w:shd w:val="clear" w:color="auto" w:fill="FBFBFB"/>
          <w:lang w:val="en-GB"/>
        </w:rPr>
      </w:pPr>
    </w:p>
    <w:p w14:paraId="2C38902C">
      <w:pPr>
        <w:pStyle w:val="16"/>
        <w:numPr>
          <w:ilvl w:val="255"/>
          <w:numId w:val="0"/>
        </w:numPr>
        <w:rPr>
          <w:rFonts w:ascii="Calibri" w:hAnsi="Calibri" w:cs="Calibri"/>
          <w:b/>
          <w:bCs/>
          <w:color w:val="auto"/>
          <w:sz w:val="24"/>
          <w:szCs w:val="24"/>
          <w:u w:color="004147"/>
          <w:lang w:val="en-GB"/>
        </w:rPr>
      </w:pPr>
      <w:r>
        <w:rPr>
          <w:rFonts w:ascii="Calibri" w:hAnsi="Calibri" w:eastAsia="avenir-regular-class" w:cs="Calibri"/>
          <w:color w:val="auto"/>
          <w:sz w:val="24"/>
          <w:szCs w:val="24"/>
          <w:shd w:val="clear" w:color="auto" w:fill="FBFBFB"/>
        </w:rPr>
        <w:t>Armstrong, M. (2021) </w:t>
      </w:r>
      <w:r>
        <w:rPr>
          <w:rFonts w:ascii="Calibri" w:hAnsi="Calibri" w:eastAsia="avenir-regular-class" w:cs="Calibri"/>
          <w:i/>
          <w:iCs/>
          <w:color w:val="auto"/>
          <w:sz w:val="24"/>
          <w:szCs w:val="24"/>
          <w:shd w:val="clear" w:color="auto" w:fill="FBFBFB"/>
        </w:rPr>
        <w:t>Armstrong's Handbook of Strategic Human Resource Management: Improve Business Performance Through Strategic People Management</w:t>
      </w:r>
      <w:r>
        <w:rPr>
          <w:rFonts w:ascii="Calibri" w:hAnsi="Calibri" w:eastAsia="avenir-regular-class" w:cs="Calibri"/>
          <w:color w:val="auto"/>
          <w:sz w:val="24"/>
          <w:szCs w:val="24"/>
          <w:shd w:val="clear" w:color="auto" w:fill="FBFBFB"/>
        </w:rPr>
        <w:t>. 7th Edition. London: Kogan Page. </w:t>
      </w:r>
    </w:p>
    <w:p w14:paraId="10FFADBF">
      <w:pPr>
        <w:pStyle w:val="16"/>
        <w:numPr>
          <w:ilvl w:val="255"/>
          <w:numId w:val="0"/>
        </w:numPr>
        <w:jc w:val="center"/>
        <w:rPr>
          <w:rFonts w:ascii="Calibri" w:hAnsi="Calibri"/>
          <w:b/>
          <w:bCs/>
          <w:color w:val="auto"/>
          <w:sz w:val="24"/>
          <w:szCs w:val="24"/>
          <w:u w:color="004147"/>
          <w:lang w:val="en-GB"/>
        </w:rPr>
      </w:pPr>
    </w:p>
    <w:p w14:paraId="3BB92FFC">
      <w:pPr>
        <w:pStyle w:val="16"/>
        <w:jc w:val="both"/>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Armstrong, M. and Taylor, S. (2022) </w:t>
      </w:r>
      <w:r>
        <w:rPr>
          <w:rFonts w:ascii="Calibri" w:hAnsi="Calibri" w:eastAsia="avenir-regular-class" w:cs="Calibri"/>
          <w:i/>
          <w:iCs/>
          <w:color w:val="auto"/>
          <w:sz w:val="24"/>
          <w:szCs w:val="24"/>
          <w:shd w:val="clear" w:color="auto" w:fill="FBFBFB"/>
        </w:rPr>
        <w:t>Armstrong's Handbook of Huma</w:t>
      </w:r>
      <w:r>
        <w:rPr>
          <w:rFonts w:ascii="Calibri" w:hAnsi="Calibri" w:eastAsia="avenir-regular-class" w:cs="Calibri"/>
          <w:i/>
          <w:iCs/>
          <w:color w:val="auto"/>
          <w:sz w:val="24"/>
          <w:szCs w:val="24"/>
          <w:shd w:val="clear" w:color="auto" w:fill="FBFBFB"/>
          <w:lang w:val="en-GB"/>
        </w:rPr>
        <w:t>n</w:t>
      </w:r>
      <w:r>
        <w:rPr>
          <w:rFonts w:ascii="Calibri" w:hAnsi="Calibri" w:eastAsia="avenir-regular-class" w:cs="Calibri"/>
          <w:i/>
          <w:iCs/>
          <w:color w:val="auto"/>
          <w:sz w:val="24"/>
          <w:szCs w:val="24"/>
          <w:shd w:val="clear" w:color="auto" w:fill="FBFBFB"/>
        </w:rPr>
        <w:t xml:space="preserve"> Resource Management Practice</w:t>
      </w:r>
      <w:r>
        <w:rPr>
          <w:rFonts w:ascii="Calibri" w:hAnsi="Calibri" w:eastAsia="avenir-regular-class" w:cs="Calibri"/>
          <w:color w:val="auto"/>
          <w:sz w:val="24"/>
          <w:szCs w:val="24"/>
          <w:shd w:val="clear" w:color="auto" w:fill="FBFBFB"/>
        </w:rPr>
        <w:t>. 15th Edition. London: Kogan Page. </w:t>
      </w:r>
    </w:p>
    <w:p w14:paraId="11D2D4AC">
      <w:pPr>
        <w:pStyle w:val="16"/>
        <w:jc w:val="both"/>
        <w:rPr>
          <w:rFonts w:ascii="Calibri" w:hAnsi="Calibri" w:eastAsia="avenir-regular-class" w:cs="Calibri"/>
          <w:color w:val="auto"/>
          <w:sz w:val="24"/>
          <w:szCs w:val="24"/>
          <w:shd w:val="clear" w:color="auto" w:fill="FBFBFB"/>
        </w:rPr>
      </w:pPr>
    </w:p>
    <w:p w14:paraId="748037F6">
      <w:pPr>
        <w:pStyle w:val="16"/>
        <w:jc w:val="both"/>
        <w:rPr>
          <w:rFonts w:hint="default" w:ascii="Calibri" w:hAnsi="Calibri" w:eastAsia="avenir-regular-class" w:cs="Calibri"/>
          <w:i w:val="0"/>
          <w:iCs w:val="0"/>
          <w:caps w:val="0"/>
          <w:color w:val="auto"/>
          <w:spacing w:val="0"/>
          <w:sz w:val="24"/>
          <w:szCs w:val="24"/>
          <w:shd w:val="clear" w:fill="FBFBFB"/>
        </w:rPr>
      </w:pPr>
      <w:r>
        <w:rPr>
          <w:rFonts w:hint="default" w:ascii="Calibri" w:hAnsi="Calibri" w:eastAsia="avenir-regular-class" w:cs="Calibri"/>
          <w:i w:val="0"/>
          <w:iCs w:val="0"/>
          <w:caps w:val="0"/>
          <w:color w:val="auto"/>
          <w:spacing w:val="0"/>
          <w:sz w:val="24"/>
          <w:szCs w:val="24"/>
          <w:shd w:val="clear" w:fill="FBFBFB"/>
        </w:rPr>
        <w:t>BBC(2025)</w:t>
      </w:r>
      <w:r>
        <w:rPr>
          <w:rFonts w:hint="default" w:ascii="Calibri" w:hAnsi="Calibri" w:eastAsia="avenir-regular-class" w:cs="Calibri"/>
          <w:i/>
          <w:iCs/>
          <w:caps w:val="0"/>
          <w:color w:val="auto"/>
          <w:spacing w:val="0"/>
          <w:sz w:val="24"/>
          <w:szCs w:val="24"/>
          <w:bdr w:val="none" w:color="auto" w:sz="0" w:space="0"/>
          <w:shd w:val="clear" w:fill="FBFBFB"/>
        </w:rPr>
        <w:t>Recruitment</w:t>
      </w:r>
      <w:r>
        <w:rPr>
          <w:rFonts w:hint="default" w:ascii="Calibri" w:hAnsi="Calibri" w:eastAsia="avenir-regular-class" w:cs="Calibri"/>
          <w:i w:val="0"/>
          <w:iCs w:val="0"/>
          <w:caps w:val="0"/>
          <w:color w:val="auto"/>
          <w:spacing w:val="0"/>
          <w:sz w:val="24"/>
          <w:szCs w:val="24"/>
          <w:shd w:val="clear" w:fill="FBFBFB"/>
        </w:rPr>
        <w:t>.Available</w:t>
      </w:r>
      <w:r>
        <w:rPr>
          <w:rFonts w:hint="default" w:ascii="Calibri" w:hAnsi="Calibri" w:eastAsia="avenir-regular-class" w:cs="Calibri"/>
          <w:i w:val="0"/>
          <w:iCs w:val="0"/>
          <w:caps w:val="0"/>
          <w:color w:val="auto"/>
          <w:spacing w:val="0"/>
          <w:sz w:val="24"/>
          <w:szCs w:val="24"/>
          <w:shd w:val="clear" w:fill="FBFBFB"/>
          <w:lang w:val="en-GB"/>
        </w:rPr>
        <w:t xml:space="preserve"> </w:t>
      </w:r>
      <w:r>
        <w:rPr>
          <w:rFonts w:hint="default" w:ascii="Calibri" w:hAnsi="Calibri" w:eastAsia="avenir-regular-class" w:cs="Calibri"/>
          <w:i w:val="0"/>
          <w:iCs w:val="0"/>
          <w:caps w:val="0"/>
          <w:color w:val="auto"/>
          <w:spacing w:val="0"/>
          <w:sz w:val="24"/>
          <w:szCs w:val="24"/>
          <w:shd w:val="clear" w:fill="FBFBFB"/>
        </w:rPr>
        <w:t>at: https://www.bbc.co.uk/bitesize/guides/zm3jjhv/revision/2 (Accessed: 5 June 2025).</w:t>
      </w:r>
    </w:p>
    <w:p w14:paraId="11937607">
      <w:pPr>
        <w:pStyle w:val="16"/>
        <w:jc w:val="both"/>
        <w:rPr>
          <w:rFonts w:hint="default" w:ascii="Calibri" w:hAnsi="Calibri" w:eastAsia="avenir-regular-class" w:cs="Calibri"/>
          <w:i w:val="0"/>
          <w:iCs w:val="0"/>
          <w:caps w:val="0"/>
          <w:color w:val="auto"/>
          <w:spacing w:val="0"/>
          <w:sz w:val="24"/>
          <w:szCs w:val="24"/>
          <w:shd w:val="clear" w:fill="FBFBFB"/>
        </w:rPr>
      </w:pPr>
    </w:p>
    <w:p w14:paraId="1AF72CD4">
      <w:pPr>
        <w:pStyle w:val="16"/>
        <w:jc w:val="both"/>
        <w:rPr>
          <w:rFonts w:hint="default" w:ascii="Calibri" w:hAnsi="Calibri" w:eastAsia="avenir-regular-class" w:cs="Calibri"/>
          <w:b w:val="0"/>
          <w:bCs w:val="0"/>
          <w:i w:val="0"/>
          <w:iCs w:val="0"/>
          <w:caps w:val="0"/>
          <w:color w:val="auto"/>
          <w:spacing w:val="0"/>
          <w:sz w:val="24"/>
          <w:szCs w:val="24"/>
          <w:shd w:val="clear" w:fill="FBFBFB"/>
          <w:lang w:val="en-GB"/>
        </w:rPr>
      </w:pPr>
      <w:r>
        <w:rPr>
          <w:rFonts w:hint="default" w:ascii="Calibri" w:hAnsi="Calibri" w:eastAsia="SimSun" w:cs="Calibri"/>
          <w:b w:val="0"/>
          <w:bCs w:val="0"/>
          <w:color w:val="auto"/>
          <w:sz w:val="24"/>
          <w:szCs w:val="24"/>
          <w:lang w:val="en-GB"/>
        </w:rPr>
        <w:t>Cassidy</w:t>
      </w:r>
      <w:r>
        <w:rPr>
          <w:rFonts w:hint="default" w:ascii="Calibri" w:hAnsi="Calibri" w:eastAsia="SimSun" w:cs="Calibri"/>
          <w:b w:val="0"/>
          <w:bCs w:val="0"/>
          <w:color w:val="auto"/>
          <w:sz w:val="24"/>
          <w:szCs w:val="24"/>
        </w:rPr>
        <w:t xml:space="preserve">, </w:t>
      </w:r>
      <w:r>
        <w:rPr>
          <w:rFonts w:hint="default" w:ascii="Calibri" w:hAnsi="Calibri" w:eastAsia="SimSun" w:cs="Calibri"/>
          <w:b w:val="0"/>
          <w:bCs w:val="0"/>
          <w:color w:val="auto"/>
          <w:sz w:val="24"/>
          <w:szCs w:val="24"/>
          <w:lang w:val="en-GB"/>
        </w:rPr>
        <w:t>N and D’Souza,D</w:t>
      </w:r>
      <w:r>
        <w:rPr>
          <w:rFonts w:hint="default" w:ascii="Calibri" w:hAnsi="Calibri" w:eastAsia="SimSun" w:cs="Calibri"/>
          <w:b w:val="0"/>
          <w:bCs w:val="0"/>
          <w:color w:val="auto"/>
          <w:sz w:val="24"/>
          <w:szCs w:val="24"/>
        </w:rPr>
        <w:t>(202</w:t>
      </w:r>
      <w:r>
        <w:rPr>
          <w:rFonts w:hint="default" w:ascii="Calibri" w:hAnsi="Calibri" w:eastAsia="SimSun" w:cs="Calibri"/>
          <w:b w:val="0"/>
          <w:bCs w:val="0"/>
          <w:color w:val="auto"/>
          <w:sz w:val="24"/>
          <w:szCs w:val="24"/>
          <w:lang w:val="en-GB"/>
        </w:rPr>
        <w:t>1</w:t>
      </w:r>
      <w:r>
        <w:rPr>
          <w:rFonts w:hint="default" w:ascii="Calibri" w:hAnsi="Calibri" w:eastAsia="SimSun" w:cs="Calibri"/>
          <w:b w:val="0"/>
          <w:bCs w:val="0"/>
          <w:color w:val="auto"/>
          <w:sz w:val="24"/>
          <w:szCs w:val="24"/>
        </w:rPr>
        <w:t xml:space="preserve">) </w:t>
      </w:r>
      <w:r>
        <w:rPr>
          <w:rFonts w:hint="default" w:ascii="Calibri" w:hAnsi="Calibri" w:eastAsia="SimSun" w:cs="Calibri"/>
          <w:b w:val="0"/>
          <w:bCs w:val="0"/>
          <w:i/>
          <w:iCs/>
          <w:color w:val="auto"/>
          <w:sz w:val="24"/>
          <w:szCs w:val="24"/>
          <w:lang w:val="en-GB"/>
        </w:rPr>
        <w:t>Recruitment in the Social Media Age</w:t>
      </w:r>
      <w:r>
        <w:rPr>
          <w:rFonts w:hint="default" w:ascii="Calibri" w:hAnsi="Calibri" w:eastAsia="SimSun" w:cs="Calibri"/>
          <w:b w:val="0"/>
          <w:bCs w:val="0"/>
          <w:color w:val="auto"/>
          <w:sz w:val="24"/>
          <w:szCs w:val="24"/>
        </w:rPr>
        <w:t xml:space="preserve">[Podcast] </w:t>
      </w:r>
      <w:r>
        <w:rPr>
          <w:rFonts w:hint="default" w:ascii="Calibri" w:hAnsi="Calibri" w:eastAsia="SimSun" w:cs="Calibri"/>
          <w:b w:val="0"/>
          <w:bCs w:val="0"/>
          <w:color w:val="auto"/>
          <w:sz w:val="24"/>
          <w:szCs w:val="24"/>
          <w:lang w:val="en-GB"/>
        </w:rPr>
        <w:t>5</w:t>
      </w:r>
      <w:r>
        <w:rPr>
          <w:rFonts w:hint="default" w:ascii="Calibri" w:hAnsi="Calibri" w:eastAsia="SimSun" w:cs="Calibri"/>
          <w:b w:val="0"/>
          <w:bCs w:val="0"/>
          <w:color w:val="auto"/>
          <w:sz w:val="24"/>
          <w:szCs w:val="24"/>
        </w:rPr>
        <w:t xml:space="preserve"> October 202</w:t>
      </w:r>
      <w:r>
        <w:rPr>
          <w:rFonts w:hint="default" w:ascii="Calibri" w:hAnsi="Calibri" w:eastAsia="SimSun" w:cs="Calibri"/>
          <w:b w:val="0"/>
          <w:bCs w:val="0"/>
          <w:color w:val="auto"/>
          <w:sz w:val="24"/>
          <w:szCs w:val="24"/>
          <w:lang w:val="en-GB"/>
        </w:rPr>
        <w:t>1</w:t>
      </w:r>
      <w:r>
        <w:rPr>
          <w:rFonts w:hint="default" w:ascii="Calibri" w:hAnsi="Calibri" w:eastAsia="SimSun" w:cs="Calibri"/>
          <w:b w:val="0"/>
          <w:bCs w:val="0"/>
          <w:color w:val="auto"/>
          <w:sz w:val="24"/>
          <w:szCs w:val="24"/>
        </w:rPr>
        <w:t>.</w:t>
      </w:r>
      <w:r>
        <w:rPr>
          <w:rFonts w:hint="default" w:ascii="Calibri" w:hAnsi="Calibri" w:eastAsia="SimSun" w:cs="Calibri"/>
          <w:b w:val="0"/>
          <w:bCs w:val="0"/>
          <w:color w:val="auto"/>
          <w:sz w:val="24"/>
          <w:szCs w:val="24"/>
          <w:lang w:val="en-GB"/>
        </w:rPr>
        <w:t xml:space="preserve"> Available at: </w:t>
      </w:r>
      <w:r>
        <w:rPr>
          <w:rFonts w:hint="default" w:ascii="Calibri" w:hAnsi="Calibri" w:eastAsia="SimSun" w:cs="Calibri"/>
          <w:b w:val="0"/>
          <w:bCs w:val="0"/>
          <w:color w:val="auto"/>
          <w:sz w:val="24"/>
          <w:szCs w:val="24"/>
          <w:lang w:val="en-GB"/>
        </w:rPr>
        <w:fldChar w:fldCharType="begin"/>
      </w:r>
      <w:r>
        <w:rPr>
          <w:rFonts w:hint="default" w:ascii="Calibri" w:hAnsi="Calibri" w:eastAsia="SimSun" w:cs="Calibri"/>
          <w:b w:val="0"/>
          <w:bCs w:val="0"/>
          <w:color w:val="auto"/>
          <w:sz w:val="24"/>
          <w:szCs w:val="24"/>
          <w:lang w:val="en-GB"/>
        </w:rPr>
        <w:instrText xml:space="preserve"> HYPERLINK "https://www.cipd.org/uk/knowledge/podcasts/social-media-recruitment/" </w:instrText>
      </w:r>
      <w:r>
        <w:rPr>
          <w:rFonts w:hint="default" w:ascii="Calibri" w:hAnsi="Calibri" w:eastAsia="SimSun" w:cs="Calibri"/>
          <w:b w:val="0"/>
          <w:bCs w:val="0"/>
          <w:color w:val="auto"/>
          <w:sz w:val="24"/>
          <w:szCs w:val="24"/>
          <w:lang w:val="en-GB"/>
        </w:rPr>
        <w:fldChar w:fldCharType="separate"/>
      </w:r>
      <w:r>
        <w:rPr>
          <w:rStyle w:val="11"/>
          <w:rFonts w:hint="default" w:ascii="Calibri" w:hAnsi="Calibri" w:eastAsia="SimSun" w:cs="Calibri"/>
          <w:b w:val="0"/>
          <w:bCs w:val="0"/>
          <w:color w:val="auto"/>
          <w:sz w:val="24"/>
          <w:szCs w:val="24"/>
          <w:lang w:val="en-GB"/>
        </w:rPr>
        <w:t>https://www.cipd.org/uk/knowledge/podcasts/social-media-recruitment/</w:t>
      </w:r>
      <w:r>
        <w:rPr>
          <w:rFonts w:hint="default" w:ascii="Calibri" w:hAnsi="Calibri" w:eastAsia="SimSun" w:cs="Calibri"/>
          <w:b w:val="0"/>
          <w:bCs w:val="0"/>
          <w:color w:val="auto"/>
          <w:sz w:val="24"/>
          <w:szCs w:val="24"/>
          <w:lang w:val="en-GB"/>
        </w:rPr>
        <w:fldChar w:fldCharType="end"/>
      </w:r>
      <w:r>
        <w:rPr>
          <w:rFonts w:hint="default" w:ascii="Calibri" w:hAnsi="Calibri" w:eastAsia="SimSun" w:cs="Calibri"/>
          <w:b w:val="0"/>
          <w:bCs w:val="0"/>
          <w:color w:val="auto"/>
          <w:sz w:val="24"/>
          <w:szCs w:val="24"/>
          <w:lang w:val="en-GB"/>
        </w:rPr>
        <w:t xml:space="preserve"> (Accessed: 5 June 2025)</w:t>
      </w:r>
    </w:p>
    <w:p w14:paraId="4A72A7D8">
      <w:pPr>
        <w:pStyle w:val="16"/>
        <w:jc w:val="both"/>
        <w:rPr>
          <w:rFonts w:ascii="Calibri" w:hAnsi="Calibri" w:eastAsia="avenir-regular-class" w:cs="Calibri"/>
          <w:color w:val="auto"/>
          <w:sz w:val="24"/>
          <w:szCs w:val="24"/>
          <w:shd w:val="clear" w:color="auto" w:fill="FBFBFB"/>
        </w:rPr>
      </w:pPr>
    </w:p>
    <w:p w14:paraId="2B9DE662">
      <w:pPr>
        <w:pStyle w:val="16"/>
        <w:jc w:val="both"/>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(2024</w:t>
      </w:r>
      <w:r>
        <w:rPr>
          <w:rFonts w:hint="default" w:ascii="Calibri" w:hAnsi="Calibri" w:eastAsia="avenir-regular-class" w:cs="Calibri"/>
          <w:color w:val="auto"/>
          <w:sz w:val="24"/>
          <w:szCs w:val="24"/>
          <w:shd w:val="clear" w:color="auto" w:fill="FBFBFB"/>
          <w:lang w:val="en-GB"/>
        </w:rPr>
        <w:t>a</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Agency Workers: Understanding the Law</w:t>
      </w:r>
      <w:r>
        <w:rPr>
          <w:rFonts w:ascii="Calibri" w:hAnsi="Calibri" w:eastAsia="avenir-regular-class" w:cs="Calibri"/>
          <w:color w:val="auto"/>
          <w:sz w:val="24"/>
          <w:szCs w:val="24"/>
          <w:shd w:val="clear" w:color="auto" w:fill="FBFBFB"/>
        </w:rPr>
        <w:t>. Available at: https://www.cipd.org/uk/knowledge/guides/agency-workers-guide/#agency-workers-and-an-overview-of-the-law (Accessed: 30 May 2025).</w:t>
      </w:r>
    </w:p>
    <w:p w14:paraId="639BFA11">
      <w:pPr>
        <w:pStyle w:val="16"/>
        <w:jc w:val="both"/>
        <w:rPr>
          <w:rFonts w:ascii="Calibri" w:hAnsi="Calibri" w:eastAsia="avenir-regular-class" w:cs="Calibri"/>
          <w:color w:val="auto"/>
          <w:sz w:val="24"/>
          <w:szCs w:val="24"/>
          <w:shd w:val="clear" w:color="auto" w:fill="FBFBFB"/>
        </w:rPr>
      </w:pPr>
    </w:p>
    <w:p w14:paraId="71D54E6A">
      <w:pPr>
        <w:pStyle w:val="16"/>
        <w:jc w:val="both"/>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(2022</w:t>
      </w:r>
      <w:r>
        <w:rPr>
          <w:rFonts w:hint="default" w:ascii="Calibri" w:hAnsi="Calibri" w:eastAsia="avenir-regular-class" w:cs="Calibri"/>
          <w:color w:val="auto"/>
          <w:sz w:val="24"/>
          <w:szCs w:val="24"/>
          <w:shd w:val="clear" w:color="auto" w:fill="FBFBFB"/>
          <w:lang w:val="en-GB"/>
        </w:rPr>
        <w:t>a</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A Guide to Inclusive Recruitment for Employers.</w:t>
      </w:r>
      <w:r>
        <w:rPr>
          <w:rFonts w:ascii="Calibri" w:hAnsi="Calibri" w:eastAsia="avenir-regular-class" w:cs="Calibri"/>
          <w:color w:val="auto"/>
          <w:sz w:val="24"/>
          <w:szCs w:val="24"/>
          <w:shd w:val="clear" w:color="auto" w:fill="FBFBFB"/>
        </w:rPr>
        <w:t> Available at: https://www.cipd.org/globalassets/media/knowledge/knowledge-hub/guides/2023-pdfs/inclusive-recruitment-employers-guide_tcm18-112787.pdf (Accessed: 27 May 2025).</w:t>
      </w:r>
    </w:p>
    <w:p w14:paraId="1F2E3C75">
      <w:pPr>
        <w:pStyle w:val="16"/>
        <w:jc w:val="both"/>
        <w:rPr>
          <w:rFonts w:ascii="Calibri" w:hAnsi="Calibri" w:eastAsia="avenir-regular-class" w:cs="Calibri"/>
          <w:color w:val="auto"/>
          <w:sz w:val="24"/>
          <w:szCs w:val="24"/>
          <w:shd w:val="clear" w:color="auto" w:fill="FBFBFB"/>
        </w:rPr>
      </w:pPr>
    </w:p>
    <w:p w14:paraId="4BD22966">
      <w:pPr>
        <w:rPr>
          <w:rFonts w:ascii="Calibri" w:hAnsi="Calibri" w:cs="Calibri"/>
          <w:color w:val="auto"/>
          <w:lang w:val="fr-FR"/>
        </w:rPr>
      </w:pPr>
      <w:r>
        <w:rPr>
          <w:rFonts w:ascii="Calibri" w:hAnsi="Calibri" w:eastAsia="avenir-regular-class" w:cs="Calibri"/>
          <w:color w:val="auto"/>
          <w:shd w:val="clear" w:color="auto" w:fill="FBFBFB"/>
          <w:lang w:eastAsia="zh-CN" w:bidi="ar"/>
        </w:rPr>
        <w:t>CIPD (2024</w:t>
      </w:r>
      <w:r>
        <w:rPr>
          <w:rFonts w:hint="default" w:ascii="Calibri" w:hAnsi="Calibri" w:eastAsia="avenir-regular-class" w:cs="Calibri"/>
          <w:color w:val="auto"/>
          <w:shd w:val="clear" w:color="auto" w:fill="FBFBFB"/>
          <w:lang w:val="en-GB" w:eastAsia="zh-CN" w:bidi="ar"/>
        </w:rPr>
        <w:t>b</w:t>
      </w:r>
      <w:r>
        <w:rPr>
          <w:rFonts w:ascii="Calibri" w:hAnsi="Calibri" w:eastAsia="avenir-regular-class" w:cs="Calibri"/>
          <w:color w:val="auto"/>
          <w:shd w:val="clear" w:color="auto" w:fill="FBFBFB"/>
          <w:lang w:eastAsia="zh-CN" w:bidi="ar"/>
        </w:rPr>
        <w:t>) </w:t>
      </w:r>
      <w:r>
        <w:rPr>
          <w:rFonts w:ascii="Calibri" w:hAnsi="Calibri" w:eastAsia="avenir-regular-class" w:cs="Calibri"/>
          <w:i/>
          <w:iCs/>
          <w:color w:val="auto"/>
          <w:shd w:val="clear" w:color="auto" w:fill="FBFBFB"/>
          <w:lang w:eastAsia="zh-CN" w:bidi="ar"/>
        </w:rPr>
        <w:t>Benchmarking </w:t>
      </w:r>
      <w:r>
        <w:rPr>
          <w:rFonts w:ascii="Calibri" w:hAnsi="Calibri" w:eastAsia="avenir-regular-class" w:cs="Calibri"/>
          <w:color w:val="auto"/>
          <w:shd w:val="clear" w:color="auto" w:fill="FBFBFB"/>
          <w:lang w:eastAsia="zh-CN" w:bidi="ar"/>
        </w:rPr>
        <w:t>Employee Turnover: What are the Latest Trends. </w:t>
      </w:r>
      <w:r>
        <w:rPr>
          <w:rFonts w:ascii="Calibri" w:hAnsi="Calibri" w:eastAsia="avenir-regular-class" w:cs="Calibri"/>
          <w:color w:val="auto"/>
          <w:shd w:val="clear" w:color="auto" w:fill="FBFBFB"/>
          <w:lang w:val="fr-FR" w:eastAsia="zh-CN" w:bidi="ar"/>
        </w:rPr>
        <w:t>Available at: https://www.cipd.org/uk/views-and-insights/thought-leadership/cipd-voice/benchmarking-employee-turnover/</w:t>
      </w:r>
    </w:p>
    <w:p w14:paraId="588B002D">
      <w:pPr>
        <w:rPr>
          <w:rFonts w:ascii="Calibri" w:hAnsi="Calibri" w:cs="Calibri"/>
          <w:color w:val="auto"/>
        </w:rPr>
      </w:pPr>
      <w:r>
        <w:rPr>
          <w:rFonts w:ascii="Calibri" w:hAnsi="Calibri" w:eastAsia="avenir-regular-class" w:cs="Calibri"/>
          <w:color w:val="auto"/>
          <w:shd w:val="clear" w:color="auto" w:fill="FBFBFB"/>
          <w:lang w:val="fr-FR" w:eastAsia="zh-CN" w:bidi="ar"/>
        </w:rPr>
        <w:t> </w:t>
      </w:r>
      <w:r>
        <w:rPr>
          <w:rFonts w:ascii="Calibri" w:hAnsi="Calibri" w:eastAsia="avenir-regular-class" w:cs="Calibri"/>
          <w:color w:val="auto"/>
          <w:shd w:val="clear" w:color="auto" w:fill="FBFBFB"/>
          <w:lang w:eastAsia="zh-CN" w:bidi="ar"/>
        </w:rPr>
        <w:t>(Accessed: 28 May 2025).</w:t>
      </w:r>
    </w:p>
    <w:p w14:paraId="67929B2F">
      <w:pPr>
        <w:pStyle w:val="16"/>
        <w:numPr>
          <w:ilvl w:val="255"/>
          <w:numId w:val="0"/>
        </w:numPr>
        <w:rPr>
          <w:rFonts w:ascii="Calibri" w:hAnsi="Calibri" w:cs="Calibri"/>
          <w:b/>
          <w:bCs/>
          <w:color w:val="auto"/>
          <w:sz w:val="24"/>
          <w:szCs w:val="24"/>
          <w:u w:color="004147"/>
          <w:lang w:val="en-GB"/>
        </w:rPr>
      </w:pPr>
    </w:p>
    <w:p w14:paraId="7E5835EF">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(2024</w:t>
      </w:r>
      <w:r>
        <w:rPr>
          <w:rFonts w:hint="default" w:ascii="Calibri" w:hAnsi="Calibri" w:eastAsia="avenir-regular-class" w:cs="Calibri"/>
          <w:color w:val="auto"/>
          <w:sz w:val="24"/>
          <w:szCs w:val="24"/>
          <w:shd w:val="clear" w:color="auto" w:fill="FBFBFB"/>
          <w:lang w:val="en-GB"/>
        </w:rPr>
        <w:t>c</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CIPD Labour Market Outlook</w:t>
      </w:r>
      <w:r>
        <w:rPr>
          <w:rFonts w:ascii="Calibri" w:hAnsi="Calibri" w:eastAsia="avenir-regular-class" w:cs="Calibri"/>
          <w:color w:val="auto"/>
          <w:sz w:val="24"/>
          <w:szCs w:val="24"/>
          <w:shd w:val="clear" w:color="auto" w:fill="FBFBFB"/>
        </w:rPr>
        <w:t>. Available at: https://www.cipd.org/globalassets/media/knowledge/knowledge-hub/reports/2024-pdfs/8614-lmo-spring-report-2024-web.pdf (Accessed: 20 May 2025).</w:t>
      </w:r>
    </w:p>
    <w:p w14:paraId="191A0631">
      <w:pPr>
        <w:pStyle w:val="16"/>
        <w:numPr>
          <w:ilvl w:val="255"/>
          <w:numId w:val="0"/>
        </w:numPr>
        <w:rPr>
          <w:rFonts w:ascii="Calibri" w:hAnsi="Calibri" w:eastAsia="avenir-regular-class" w:cs="Calibri"/>
          <w:color w:val="auto"/>
          <w:sz w:val="24"/>
          <w:szCs w:val="24"/>
          <w:shd w:val="clear" w:color="auto" w:fill="FBFBFB"/>
        </w:rPr>
      </w:pPr>
    </w:p>
    <w:p w14:paraId="166C3CBA">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(2025</w:t>
      </w:r>
      <w:r>
        <w:rPr>
          <w:rFonts w:hint="default" w:ascii="Calibri" w:hAnsi="Calibri" w:eastAsia="avenir-regular-class" w:cs="Calibri"/>
          <w:color w:val="auto"/>
          <w:sz w:val="24"/>
          <w:szCs w:val="24"/>
          <w:shd w:val="clear" w:color="auto" w:fill="FBFBFB"/>
          <w:lang w:val="en-GB"/>
        </w:rPr>
        <w:t>a</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Employee Induction.</w:t>
      </w:r>
      <w:r>
        <w:rPr>
          <w:rFonts w:ascii="Calibri" w:hAnsi="Calibri" w:eastAsia="avenir-regular-class" w:cs="Calibri"/>
          <w:color w:val="auto"/>
          <w:sz w:val="24"/>
          <w:szCs w:val="24"/>
          <w:shd w:val="clear" w:color="auto" w:fill="FBFBFB"/>
        </w:rPr>
        <w:t> Available at: https://www.cipd.org/uk/knowledge/guides/employee-induction/#:~:text=An%20effective%20induction%20(or%20%22onboarding,experience%20and%20longer%2Dterm%20engagement. (Accessed: 30 May 2025).</w:t>
      </w:r>
    </w:p>
    <w:p w14:paraId="51626484">
      <w:pPr>
        <w:pStyle w:val="16"/>
        <w:numPr>
          <w:ilvl w:val="255"/>
          <w:numId w:val="0"/>
        </w:numPr>
        <w:rPr>
          <w:rFonts w:ascii="Calibri" w:hAnsi="Calibri" w:eastAsia="avenir-regular-class" w:cs="Calibri"/>
          <w:color w:val="auto"/>
          <w:sz w:val="24"/>
          <w:szCs w:val="24"/>
          <w:shd w:val="clear" w:color="auto" w:fill="FBFBFB"/>
        </w:rPr>
      </w:pPr>
    </w:p>
    <w:p w14:paraId="46B6F797">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(2025</w:t>
      </w:r>
      <w:r>
        <w:rPr>
          <w:rFonts w:hint="default" w:ascii="Calibri" w:hAnsi="Calibri" w:eastAsia="avenir-regular-class" w:cs="Calibri"/>
          <w:color w:val="auto"/>
          <w:sz w:val="24"/>
          <w:szCs w:val="24"/>
          <w:shd w:val="clear" w:color="auto" w:fill="FBFBFB"/>
          <w:lang w:val="en-GB"/>
        </w:rPr>
        <w:t>b</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Employee Turnover and Retention</w:t>
      </w:r>
      <w:r>
        <w:rPr>
          <w:rFonts w:ascii="Calibri" w:hAnsi="Calibri" w:eastAsia="avenir-regular-class" w:cs="Calibri"/>
          <w:color w:val="auto"/>
          <w:sz w:val="24"/>
          <w:szCs w:val="24"/>
          <w:shd w:val="clear" w:color="auto" w:fill="FBFBFB"/>
        </w:rPr>
        <w:t>. Available at: https://www.cipd.org/uk/knowledge/factsheets/turnover-retention-factsheet/ (Accessed: 28 May 2025).</w:t>
      </w:r>
    </w:p>
    <w:p w14:paraId="74453B50">
      <w:pPr>
        <w:pStyle w:val="16"/>
        <w:numPr>
          <w:ilvl w:val="255"/>
          <w:numId w:val="0"/>
        </w:numPr>
        <w:rPr>
          <w:rFonts w:ascii="Calibri" w:hAnsi="Calibri" w:eastAsia="avenir-regular-class" w:cs="Calibri"/>
          <w:color w:val="auto"/>
          <w:sz w:val="24"/>
          <w:szCs w:val="24"/>
          <w:shd w:val="clear" w:color="auto" w:fill="FBFBFB"/>
        </w:rPr>
      </w:pPr>
    </w:p>
    <w:p w14:paraId="1F0155A4">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(2022</w:t>
      </w:r>
      <w:r>
        <w:rPr>
          <w:rFonts w:hint="default" w:ascii="Calibri" w:hAnsi="Calibri" w:eastAsia="avenir-regular-class" w:cs="Calibri"/>
          <w:color w:val="auto"/>
          <w:sz w:val="24"/>
          <w:szCs w:val="24"/>
          <w:shd w:val="clear" w:color="auto" w:fill="FBFBFB"/>
          <w:lang w:val="en-GB"/>
        </w:rPr>
        <w:t>b</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Horizon Scanning: How to Plan for Alternative Business Futures</w:t>
      </w:r>
      <w:r>
        <w:rPr>
          <w:rFonts w:ascii="Calibri" w:hAnsi="Calibri" w:eastAsia="avenir-regular-class" w:cs="Calibri"/>
          <w:color w:val="auto"/>
          <w:sz w:val="24"/>
          <w:szCs w:val="24"/>
          <w:shd w:val="clear" w:color="auto" w:fill="FBFBFB"/>
        </w:rPr>
        <w:t>. Available at: https://www.cipd.org/uk/views-and-insights/thought-leadership/insight/horizon-scanning/ (Accessed: 27 May 2025).</w:t>
      </w:r>
    </w:p>
    <w:p w14:paraId="238FD307">
      <w:pPr>
        <w:pStyle w:val="16"/>
        <w:numPr>
          <w:ilvl w:val="255"/>
          <w:numId w:val="0"/>
        </w:numPr>
        <w:rPr>
          <w:rFonts w:ascii="Calibri" w:hAnsi="Calibri" w:eastAsia="avenir-regular-class" w:cs="Calibri"/>
          <w:color w:val="auto"/>
          <w:sz w:val="24"/>
          <w:szCs w:val="24"/>
          <w:shd w:val="clear" w:color="auto" w:fill="FBFBFB"/>
        </w:rPr>
      </w:pPr>
    </w:p>
    <w:p w14:paraId="13838ADA">
      <w:pPr>
        <w:pStyle w:val="16"/>
        <w:numPr>
          <w:ilvl w:val="255"/>
          <w:numId w:val="0"/>
        </w:numPr>
        <w:rPr>
          <w:rFonts w:hint="default" w:ascii="Calibri" w:hAnsi="Calibri" w:eastAsia="avenir-regular-class" w:cs="Calibri"/>
          <w:color w:val="auto"/>
          <w:sz w:val="24"/>
          <w:szCs w:val="24"/>
          <w:shd w:val="clear" w:color="auto" w:fill="FBFBFB"/>
        </w:rPr>
      </w:pPr>
      <w:r>
        <w:rPr>
          <w:rFonts w:hint="default" w:ascii="Calibri" w:hAnsi="Calibri" w:eastAsia="avenir-regular-class" w:cs="Calibri"/>
          <w:i w:val="0"/>
          <w:iCs w:val="0"/>
          <w:caps w:val="0"/>
          <w:color w:val="auto"/>
          <w:spacing w:val="0"/>
          <w:sz w:val="24"/>
          <w:szCs w:val="24"/>
          <w:shd w:val="clear" w:fill="FBFBFB"/>
        </w:rPr>
        <w:t>CIPD (2020) </w:t>
      </w:r>
      <w:r>
        <w:rPr>
          <w:rFonts w:hint="default" w:ascii="Calibri" w:hAnsi="Calibri" w:eastAsia="avenir-regular-class" w:cs="Calibri"/>
          <w:caps w:val="0"/>
          <w:color w:val="auto"/>
          <w:spacing w:val="0"/>
          <w:sz w:val="24"/>
          <w:szCs w:val="24"/>
          <w:bdr w:val="none" w:color="auto" w:sz="0" w:space="0"/>
          <w:shd w:val="clear" w:fill="FBFBFB"/>
        </w:rPr>
        <w:t>How to Limit the 'Sinking Ship Syndrome' During Redundancies</w:t>
      </w:r>
      <w:r>
        <w:rPr>
          <w:rFonts w:hint="default" w:ascii="Calibri" w:hAnsi="Calibri" w:eastAsia="avenir-regular-class" w:cs="Calibri"/>
          <w:i w:val="0"/>
          <w:iCs w:val="0"/>
          <w:caps w:val="0"/>
          <w:color w:val="auto"/>
          <w:spacing w:val="0"/>
          <w:sz w:val="24"/>
          <w:szCs w:val="24"/>
          <w:shd w:val="clear" w:fill="FBFBFB"/>
        </w:rPr>
        <w:t>. Available at: https://www.cipd.org/uk/views-and-insights/thought-leadership/the-world-of-work/sinking-ships-syndrome-redundancies/ (Accessed: 5 June 2025).</w:t>
      </w:r>
    </w:p>
    <w:p w14:paraId="113F2582">
      <w:pPr>
        <w:pStyle w:val="16"/>
        <w:numPr>
          <w:ilvl w:val="255"/>
          <w:numId w:val="0"/>
        </w:numPr>
        <w:rPr>
          <w:rFonts w:ascii="Calibri" w:hAnsi="Calibri" w:eastAsia="avenir-regular-class" w:cs="Calibri"/>
          <w:color w:val="auto"/>
          <w:sz w:val="24"/>
          <w:szCs w:val="24"/>
          <w:shd w:val="clear" w:color="auto" w:fill="FBFBFB"/>
        </w:rPr>
      </w:pPr>
    </w:p>
    <w:p w14:paraId="3E8EB728">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(2017)  </w:t>
      </w:r>
      <w:r>
        <w:rPr>
          <w:rFonts w:ascii="Calibri" w:hAnsi="Calibri" w:eastAsia="avenir-regular-class" w:cs="Calibri"/>
          <w:i/>
          <w:iCs/>
          <w:color w:val="auto"/>
          <w:sz w:val="24"/>
          <w:szCs w:val="24"/>
          <w:shd w:val="clear" w:color="auto" w:fill="FBFBFB"/>
        </w:rPr>
        <w:t>How to Think Differently About Recruitment</w:t>
      </w:r>
      <w:r>
        <w:rPr>
          <w:rFonts w:ascii="Calibri" w:hAnsi="Calibri" w:eastAsia="avenir-regular-class" w:cs="Calibri"/>
          <w:color w:val="auto"/>
          <w:sz w:val="24"/>
          <w:szCs w:val="24"/>
          <w:shd w:val="clear" w:color="auto" w:fill="FBFBFB"/>
        </w:rPr>
        <w:t>. Available at: https://www.cipd.org/uk/about/news-archive/think-differently-recruitment/ (Accessed: 27 May 2025).</w:t>
      </w:r>
    </w:p>
    <w:p w14:paraId="04154596">
      <w:pPr>
        <w:pStyle w:val="16"/>
        <w:numPr>
          <w:ilvl w:val="255"/>
          <w:numId w:val="0"/>
        </w:numPr>
        <w:rPr>
          <w:rFonts w:ascii="Calibri" w:hAnsi="Calibri" w:eastAsia="avenir-regular-class" w:cs="Calibri"/>
          <w:color w:val="auto"/>
          <w:sz w:val="24"/>
          <w:szCs w:val="24"/>
          <w:shd w:val="clear" w:color="auto" w:fill="FBFBFB"/>
        </w:rPr>
      </w:pPr>
    </w:p>
    <w:p w14:paraId="3F1B4CFB">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(2024</w:t>
      </w:r>
      <w:r>
        <w:rPr>
          <w:rFonts w:hint="default" w:ascii="Calibri" w:hAnsi="Calibri" w:eastAsia="avenir-regular-class" w:cs="Calibri"/>
          <w:color w:val="auto"/>
          <w:sz w:val="24"/>
          <w:szCs w:val="24"/>
          <w:shd w:val="clear" w:color="auto" w:fill="FBFBFB"/>
          <w:lang w:val="en-GB"/>
        </w:rPr>
        <w:t>d</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Induction</w:t>
      </w:r>
      <w:r>
        <w:rPr>
          <w:rFonts w:ascii="Calibri" w:hAnsi="Calibri" w:eastAsia="avenir-regular-class" w:cs="Calibri"/>
          <w:color w:val="auto"/>
          <w:sz w:val="24"/>
          <w:szCs w:val="24"/>
          <w:shd w:val="clear" w:color="auto" w:fill="FBFBFB"/>
        </w:rPr>
        <w:t>. Available at:  https://www.cipd.org/uk/knowledge/factsheets/induction-factsheet/(Accessed: 29 May 2025).</w:t>
      </w:r>
    </w:p>
    <w:p w14:paraId="15650996">
      <w:pPr>
        <w:pStyle w:val="16"/>
        <w:numPr>
          <w:ilvl w:val="255"/>
          <w:numId w:val="0"/>
        </w:numPr>
        <w:rPr>
          <w:rFonts w:ascii="Calibri" w:hAnsi="Calibri" w:eastAsia="avenir-regular-class" w:cs="Calibri"/>
          <w:color w:val="auto"/>
          <w:sz w:val="24"/>
          <w:szCs w:val="24"/>
          <w:shd w:val="clear" w:color="auto" w:fill="FBFBFB"/>
        </w:rPr>
      </w:pPr>
    </w:p>
    <w:p w14:paraId="602D6F25">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(2025</w:t>
      </w:r>
      <w:r>
        <w:rPr>
          <w:rFonts w:hint="default" w:ascii="Calibri" w:hAnsi="Calibri" w:eastAsia="avenir-regular-class" w:cs="Calibri"/>
          <w:color w:val="auto"/>
          <w:sz w:val="24"/>
          <w:szCs w:val="24"/>
          <w:shd w:val="clear" w:color="auto" w:fill="FBFBFB"/>
          <w:lang w:val="en-GB"/>
        </w:rPr>
        <w:t>c</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Labour Market Outlook: Views from Employers</w:t>
      </w:r>
      <w:r>
        <w:rPr>
          <w:rFonts w:ascii="Calibri" w:hAnsi="Calibri" w:eastAsia="avenir-regular-class" w:cs="Calibri"/>
          <w:color w:val="auto"/>
          <w:sz w:val="24"/>
          <w:szCs w:val="24"/>
          <w:shd w:val="clear" w:color="auto" w:fill="FBFBFB"/>
        </w:rPr>
        <w:t>. Available at: https://www.cipd.org/contentassets/cf73843a106949d9b16ac2bc9b526278/8869-lmo-spring-2025-web.pdf (Accessed: 21 May 2025).</w:t>
      </w:r>
    </w:p>
    <w:p w14:paraId="4A0DCC5C">
      <w:pPr>
        <w:pStyle w:val="16"/>
        <w:numPr>
          <w:ilvl w:val="255"/>
          <w:numId w:val="0"/>
        </w:numPr>
        <w:rPr>
          <w:rFonts w:ascii="Calibri" w:hAnsi="Calibri" w:eastAsia="avenir-regular-class" w:cs="Calibri"/>
          <w:color w:val="auto"/>
          <w:sz w:val="24"/>
          <w:szCs w:val="24"/>
          <w:shd w:val="clear" w:color="auto" w:fill="FBFBFB"/>
        </w:rPr>
      </w:pPr>
    </w:p>
    <w:p w14:paraId="0E65D12C">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(2025</w:t>
      </w:r>
      <w:r>
        <w:rPr>
          <w:rFonts w:hint="default" w:ascii="Calibri" w:hAnsi="Calibri" w:eastAsia="avenir-regular-class" w:cs="Calibri"/>
          <w:color w:val="auto"/>
          <w:sz w:val="24"/>
          <w:szCs w:val="24"/>
          <w:shd w:val="clear" w:color="auto" w:fill="FBFBFB"/>
          <w:lang w:val="en-GB"/>
        </w:rPr>
        <w:t>d</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People Analytics</w:t>
      </w:r>
      <w:r>
        <w:rPr>
          <w:rFonts w:ascii="Calibri" w:hAnsi="Calibri" w:eastAsia="avenir-regular-class" w:cs="Calibri"/>
          <w:color w:val="auto"/>
          <w:sz w:val="24"/>
          <w:szCs w:val="24"/>
          <w:shd w:val="clear" w:color="auto" w:fill="FBFBFB"/>
        </w:rPr>
        <w:t> Available at:https://www.cipd.org/uk/knowledge/factsheets/analytics-factsheet/  (Accessed: 27 May 2025).</w:t>
      </w:r>
    </w:p>
    <w:p w14:paraId="7316401A">
      <w:pPr>
        <w:pStyle w:val="16"/>
        <w:numPr>
          <w:ilvl w:val="255"/>
          <w:numId w:val="0"/>
        </w:numPr>
        <w:rPr>
          <w:rFonts w:ascii="Calibri" w:hAnsi="Calibri" w:eastAsia="avenir-regular-class" w:cs="Calibri"/>
          <w:color w:val="auto"/>
          <w:sz w:val="24"/>
          <w:szCs w:val="24"/>
          <w:shd w:val="clear" w:color="auto" w:fill="FBFBFB"/>
        </w:rPr>
      </w:pPr>
    </w:p>
    <w:p w14:paraId="37A60B59">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(2022</w:t>
      </w:r>
      <w:r>
        <w:rPr>
          <w:rFonts w:hint="default" w:ascii="Calibri" w:hAnsi="Calibri" w:eastAsia="avenir-regular-class" w:cs="Calibri"/>
          <w:color w:val="auto"/>
          <w:sz w:val="24"/>
          <w:szCs w:val="24"/>
          <w:shd w:val="clear" w:color="auto" w:fill="FBFBFB"/>
          <w:lang w:val="en-GB"/>
        </w:rPr>
        <w:t>c</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Recruiting Young People Facing Disadvantage. An Evidence Review.</w:t>
      </w:r>
      <w:r>
        <w:rPr>
          <w:rFonts w:ascii="Calibri" w:hAnsi="Calibri" w:eastAsia="avenir-regular-class" w:cs="Calibri"/>
          <w:color w:val="auto"/>
          <w:sz w:val="24"/>
          <w:szCs w:val="24"/>
          <w:shd w:val="clear" w:color="auto" w:fill="FBFBFB"/>
        </w:rPr>
        <w:t> Available at: https://www.cipd.org/globalassets/media/knowledge/knowledge-hub/evidence-reviews/recruiting-disadvantaged-youth-practice-summary-web-2_tcm18-107324.pdf (Accessed: 28 May 2025).</w:t>
      </w:r>
    </w:p>
    <w:p w14:paraId="780E305E">
      <w:pPr>
        <w:pStyle w:val="16"/>
        <w:numPr>
          <w:ilvl w:val="255"/>
          <w:numId w:val="0"/>
        </w:numPr>
        <w:rPr>
          <w:rFonts w:ascii="Calibri" w:hAnsi="Calibri" w:eastAsia="avenir-regular-class" w:cs="Calibri"/>
          <w:color w:val="auto"/>
          <w:sz w:val="24"/>
          <w:szCs w:val="24"/>
          <w:shd w:val="clear" w:color="auto" w:fill="FBFBFB"/>
        </w:rPr>
      </w:pPr>
    </w:p>
    <w:p w14:paraId="53627A96">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(2022</w:t>
      </w:r>
      <w:r>
        <w:rPr>
          <w:rFonts w:hint="default" w:ascii="Calibri" w:hAnsi="Calibri" w:eastAsia="avenir-regular-class" w:cs="Calibri"/>
          <w:color w:val="auto"/>
          <w:sz w:val="24"/>
          <w:szCs w:val="24"/>
          <w:shd w:val="clear" w:color="auto" w:fill="FBFBFB"/>
          <w:lang w:val="en-GB"/>
        </w:rPr>
        <w:t>d</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Resourcing and Talent Planning 2022: Case Studies</w:t>
      </w:r>
      <w:r>
        <w:rPr>
          <w:rFonts w:ascii="Calibri" w:hAnsi="Calibri" w:eastAsia="avenir-regular-class" w:cs="Calibri"/>
          <w:color w:val="auto"/>
          <w:sz w:val="24"/>
          <w:szCs w:val="24"/>
          <w:shd w:val="clear" w:color="auto" w:fill="FBFBFB"/>
        </w:rPr>
        <w:t>. Available at: https://www.cipd.org/globalassets/media/knowledge/knowledge-hub/reports/resourcing-and-talent-planning-case-studies-2022_tcm18-111501.pdf (Accessed: 20 May 2025).</w:t>
      </w:r>
    </w:p>
    <w:p w14:paraId="0405B0D3">
      <w:pPr>
        <w:pStyle w:val="16"/>
        <w:numPr>
          <w:ilvl w:val="255"/>
          <w:numId w:val="0"/>
        </w:numPr>
        <w:rPr>
          <w:rFonts w:ascii="Calibri" w:hAnsi="Calibri" w:eastAsia="avenir-regular-class" w:cs="Calibri"/>
          <w:color w:val="auto"/>
          <w:sz w:val="24"/>
          <w:szCs w:val="24"/>
          <w:shd w:val="clear" w:color="auto" w:fill="FBFBFB"/>
        </w:rPr>
      </w:pPr>
    </w:p>
    <w:p w14:paraId="695D4A71">
      <w:pPr>
        <w:rPr>
          <w:rFonts w:ascii="Calibri" w:hAnsi="Calibri" w:cs="Calibri"/>
          <w:color w:val="auto"/>
          <w:lang w:val="fr-FR"/>
        </w:rPr>
      </w:pPr>
      <w:r>
        <w:rPr>
          <w:rFonts w:ascii="Calibri" w:hAnsi="Calibri" w:eastAsia="avenir-regular-class" w:cs="Calibri"/>
          <w:color w:val="auto"/>
          <w:shd w:val="clear" w:color="auto" w:fill="FBFBFB"/>
          <w:lang w:eastAsia="zh-CN" w:bidi="ar"/>
        </w:rPr>
        <w:t>CIPD (2024</w:t>
      </w:r>
      <w:r>
        <w:rPr>
          <w:rFonts w:hint="default" w:ascii="Calibri" w:hAnsi="Calibri" w:eastAsia="avenir-regular-class" w:cs="Calibri"/>
          <w:color w:val="auto"/>
          <w:shd w:val="clear" w:color="auto" w:fill="FBFBFB"/>
          <w:lang w:val="en-GB" w:eastAsia="zh-CN" w:bidi="ar"/>
        </w:rPr>
        <w:t>e</w:t>
      </w:r>
      <w:r>
        <w:rPr>
          <w:rFonts w:ascii="Calibri" w:hAnsi="Calibri" w:eastAsia="avenir-regular-class" w:cs="Calibri"/>
          <w:color w:val="auto"/>
          <w:shd w:val="clear" w:color="auto" w:fill="FBFBFB"/>
          <w:lang w:eastAsia="zh-CN" w:bidi="ar"/>
        </w:rPr>
        <w:t>) </w:t>
      </w:r>
      <w:r>
        <w:rPr>
          <w:rFonts w:ascii="Calibri" w:hAnsi="Calibri" w:eastAsia="avenir-regular-class" w:cs="Calibri"/>
          <w:i/>
          <w:iCs/>
          <w:color w:val="auto"/>
          <w:shd w:val="clear" w:color="auto" w:fill="FBFBFB"/>
          <w:lang w:eastAsia="zh-CN" w:bidi="ar"/>
        </w:rPr>
        <w:t>Resourcing and Talent Planning Report 2024.</w:t>
      </w:r>
      <w:r>
        <w:rPr>
          <w:rFonts w:ascii="Calibri" w:hAnsi="Calibri" w:eastAsia="avenir-regular-class" w:cs="Calibri"/>
          <w:color w:val="auto"/>
          <w:shd w:val="clear" w:color="auto" w:fill="FBFBFB"/>
          <w:lang w:eastAsia="zh-CN" w:bidi="ar"/>
        </w:rPr>
        <w:t> </w:t>
      </w:r>
      <w:r>
        <w:rPr>
          <w:rFonts w:ascii="Calibri" w:hAnsi="Calibri" w:eastAsia="avenir-regular-class" w:cs="Calibri"/>
          <w:color w:val="auto"/>
          <w:shd w:val="clear" w:color="auto" w:fill="FBFBFB"/>
          <w:lang w:val="fr-FR" w:eastAsia="zh-CN" w:bidi="ar"/>
        </w:rPr>
        <w:t>Available at: https: https://www.cipd.org/globalassets/media/knowledge/knowledge-hub/reports/2024-pdfs/8662-resource-and-talent-planning-2024-report-web.pdf</w:t>
      </w:r>
    </w:p>
    <w:p w14:paraId="3AFDCF4E">
      <w:pPr>
        <w:rPr>
          <w:rFonts w:ascii="Calibri" w:hAnsi="Calibri" w:eastAsia="avenir-regular-class" w:cs="Calibri"/>
          <w:color w:val="auto"/>
          <w:shd w:val="clear" w:color="auto" w:fill="FBFBFB"/>
          <w:lang w:eastAsia="zh-CN" w:bidi="ar"/>
        </w:rPr>
      </w:pPr>
      <w:r>
        <w:rPr>
          <w:rFonts w:ascii="Calibri" w:hAnsi="Calibri" w:eastAsia="avenir-regular-class" w:cs="Calibri"/>
          <w:color w:val="auto"/>
          <w:shd w:val="clear" w:color="auto" w:fill="FBFBFB"/>
          <w:lang w:val="fr-FR" w:eastAsia="zh-CN" w:bidi="ar"/>
        </w:rPr>
        <w:t> </w:t>
      </w:r>
      <w:r>
        <w:rPr>
          <w:rFonts w:ascii="Calibri" w:hAnsi="Calibri" w:eastAsia="avenir-regular-class" w:cs="Calibri"/>
          <w:color w:val="auto"/>
          <w:shd w:val="clear" w:color="auto" w:fill="FBFBFB"/>
          <w:lang w:eastAsia="zh-CN" w:bidi="ar"/>
        </w:rPr>
        <w:t>(Accessed: 28 May 2025).</w:t>
      </w:r>
    </w:p>
    <w:p w14:paraId="3606BFA6">
      <w:pPr>
        <w:rPr>
          <w:rFonts w:ascii="Calibri" w:hAnsi="Calibri" w:eastAsia="avenir-regular-class" w:cs="Calibri"/>
          <w:color w:val="auto"/>
          <w:shd w:val="clear" w:color="auto" w:fill="FBFBFB"/>
          <w:lang w:eastAsia="zh-CN" w:bidi="ar"/>
        </w:rPr>
      </w:pPr>
    </w:p>
    <w:p w14:paraId="3BF314C1">
      <w:pPr>
        <w:rPr>
          <w:rFonts w:ascii="Calibri" w:hAnsi="Calibri" w:eastAsia="avenir-regular-class" w:cs="Calibri"/>
          <w:color w:val="auto"/>
          <w:shd w:val="clear" w:color="auto" w:fill="FBFBFB"/>
        </w:rPr>
      </w:pPr>
      <w:r>
        <w:rPr>
          <w:rFonts w:ascii="Calibri" w:hAnsi="Calibri" w:eastAsia="avenir-regular-class" w:cs="Calibri"/>
          <w:color w:val="auto"/>
          <w:shd w:val="clear" w:color="auto" w:fill="FBFBFB"/>
        </w:rPr>
        <w:t>CIPD (2012) </w:t>
      </w:r>
      <w:r>
        <w:rPr>
          <w:rFonts w:ascii="Calibri" w:hAnsi="Calibri" w:eastAsia="avenir-regular-class" w:cs="Calibri"/>
          <w:i/>
          <w:iCs/>
          <w:color w:val="auto"/>
          <w:shd w:val="clear" w:color="auto" w:fill="FBFBFB"/>
        </w:rPr>
        <w:t>Reward Risks</w:t>
      </w:r>
      <w:r>
        <w:rPr>
          <w:rFonts w:ascii="Calibri" w:hAnsi="Calibri" w:eastAsia="avenir-regular-class" w:cs="Calibri"/>
          <w:color w:val="auto"/>
          <w:shd w:val="clear" w:color="auto" w:fill="FBFBFB"/>
        </w:rPr>
        <w:t>. Available at:  https://www.cipd.org/globalassets/media/knowledge/knowledge-hub/reports/reward-risks_2012_tcm18-12386.pdf  (Accessed: 29 May 2025).</w:t>
      </w:r>
    </w:p>
    <w:p w14:paraId="776FF498">
      <w:pPr>
        <w:pStyle w:val="16"/>
        <w:numPr>
          <w:ilvl w:val="255"/>
          <w:numId w:val="0"/>
        </w:numPr>
        <w:rPr>
          <w:rFonts w:ascii="Calibri" w:hAnsi="Calibri" w:eastAsia="avenir-regular-class" w:cs="Calibri"/>
          <w:color w:val="auto"/>
          <w:sz w:val="24"/>
          <w:szCs w:val="24"/>
          <w:shd w:val="clear" w:color="auto" w:fill="FBFBFB"/>
        </w:rPr>
      </w:pPr>
    </w:p>
    <w:p w14:paraId="1D076C2C">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(2023) </w:t>
      </w:r>
      <w:r>
        <w:rPr>
          <w:rFonts w:ascii="Calibri" w:hAnsi="Calibri" w:eastAsia="avenir-regular-class" w:cs="Calibri"/>
          <w:i/>
          <w:iCs/>
          <w:color w:val="auto"/>
          <w:sz w:val="24"/>
          <w:szCs w:val="24"/>
          <w:shd w:val="clear" w:color="auto" w:fill="FBFBFB"/>
        </w:rPr>
        <w:t>Strategic Workforce Planning: Guide for People Professionals</w:t>
      </w:r>
      <w:r>
        <w:rPr>
          <w:rFonts w:ascii="Calibri" w:hAnsi="Calibri" w:eastAsia="avenir-regular-class" w:cs="Calibri"/>
          <w:color w:val="auto"/>
          <w:sz w:val="24"/>
          <w:szCs w:val="24"/>
          <w:shd w:val="clear" w:color="auto" w:fill="FBFBFB"/>
        </w:rPr>
        <w:t>. Available at: https://www.cipd.org/uk/knowledge/guides/strategic-workforce-planning/#what-is-workforce-planning (Accessed: 21 May 2025).</w:t>
      </w:r>
    </w:p>
    <w:p w14:paraId="40CD9EB0">
      <w:pPr>
        <w:pStyle w:val="16"/>
        <w:numPr>
          <w:ilvl w:val="255"/>
          <w:numId w:val="0"/>
        </w:numPr>
        <w:rPr>
          <w:rFonts w:ascii="Calibri" w:hAnsi="Calibri" w:eastAsia="avenir-regular-class" w:cs="Calibri"/>
          <w:color w:val="auto"/>
          <w:sz w:val="24"/>
          <w:szCs w:val="24"/>
          <w:shd w:val="clear" w:color="auto" w:fill="FBFBFB"/>
        </w:rPr>
      </w:pPr>
    </w:p>
    <w:p w14:paraId="2B4DA373">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(2025</w:t>
      </w:r>
      <w:r>
        <w:rPr>
          <w:rFonts w:hint="default" w:ascii="Calibri" w:hAnsi="Calibri" w:eastAsia="avenir-regular-class" w:cs="Calibri"/>
          <w:color w:val="auto"/>
          <w:sz w:val="24"/>
          <w:szCs w:val="24"/>
          <w:shd w:val="clear" w:color="auto" w:fill="FBFBFB"/>
          <w:lang w:val="en-GB"/>
        </w:rPr>
        <w:t>e</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SWOT Analysis</w:t>
      </w:r>
      <w:r>
        <w:rPr>
          <w:rFonts w:ascii="Calibri" w:hAnsi="Calibri" w:eastAsia="avenir-regular-class" w:cs="Calibri"/>
          <w:color w:val="auto"/>
          <w:sz w:val="24"/>
          <w:szCs w:val="24"/>
          <w:shd w:val="clear" w:color="auto" w:fill="FBFBFB"/>
        </w:rPr>
        <w:t>. Available at: https://www.cipd.org/uk/knowledge/factsheets/swot-analysis-factsheet/#advantages-and-disadvantages-of-using-swot-analysis (Accessed: 27 May 2025).</w:t>
      </w:r>
    </w:p>
    <w:p w14:paraId="0CED0C41">
      <w:pPr>
        <w:pStyle w:val="16"/>
        <w:numPr>
          <w:ilvl w:val="255"/>
          <w:numId w:val="0"/>
        </w:numPr>
        <w:rPr>
          <w:rFonts w:ascii="Calibri" w:hAnsi="Calibri" w:eastAsia="avenir-regular-class" w:cs="Calibri"/>
          <w:color w:val="auto"/>
          <w:sz w:val="24"/>
          <w:szCs w:val="24"/>
          <w:shd w:val="clear" w:color="auto" w:fill="FBFBFB"/>
        </w:rPr>
      </w:pPr>
    </w:p>
    <w:p w14:paraId="0CFA2EF6">
      <w:pPr>
        <w:pStyle w:val="16"/>
        <w:numPr>
          <w:ilvl w:val="255"/>
          <w:numId w:val="0"/>
        </w:numPr>
        <w:rPr>
          <w:rFonts w:ascii="Calibri" w:hAnsi="Calibri" w:eastAsia="avenir-regular-class" w:cs="Calibri"/>
          <w:color w:val="auto"/>
          <w:sz w:val="24"/>
          <w:szCs w:val="24"/>
          <w:shd w:val="clear" w:color="auto" w:fill="FBFBFB"/>
        </w:rPr>
      </w:pPr>
      <w:r>
        <w:rPr>
          <w:rFonts w:hint="default" w:ascii="Calibri" w:hAnsi="Calibri" w:eastAsia="avenir-regular-class" w:cs="Calibri"/>
          <w:i w:val="0"/>
          <w:iCs w:val="0"/>
          <w:caps w:val="0"/>
          <w:color w:val="auto"/>
          <w:spacing w:val="0"/>
          <w:sz w:val="24"/>
          <w:szCs w:val="24"/>
          <w:shd w:val="clear" w:fill="FBFBFB"/>
        </w:rPr>
        <w:t>CIPD (2023) </w:t>
      </w:r>
      <w:r>
        <w:rPr>
          <w:rFonts w:hint="default" w:ascii="Calibri" w:hAnsi="Calibri" w:eastAsia="avenir-regular-class" w:cs="Calibri"/>
          <w:caps w:val="0"/>
          <w:color w:val="auto"/>
          <w:spacing w:val="0"/>
          <w:sz w:val="24"/>
          <w:szCs w:val="24"/>
          <w:bdr w:val="none" w:color="auto" w:sz="0" w:space="0"/>
          <w:shd w:val="clear" w:fill="FBFBFB"/>
        </w:rPr>
        <w:t>The True Story of the UK Gig Economy</w:t>
      </w:r>
      <w:r>
        <w:rPr>
          <w:rFonts w:hint="default" w:ascii="Calibri" w:hAnsi="Calibri" w:eastAsia="avenir-regular-class" w:cs="Calibri"/>
          <w:i w:val="0"/>
          <w:iCs w:val="0"/>
          <w:caps w:val="0"/>
          <w:color w:val="auto"/>
          <w:spacing w:val="0"/>
          <w:sz w:val="24"/>
          <w:szCs w:val="24"/>
          <w:shd w:val="clear" w:fill="FBFBFB"/>
        </w:rPr>
        <w:t>. Available at: https://www.cipd.org/uk/views-and-insights/thought-leadership/cipd-voice/uk-gig-economy/ (Accessed: 5 June 2025).</w:t>
      </w:r>
    </w:p>
    <w:p w14:paraId="5C8440A0">
      <w:pPr>
        <w:pStyle w:val="16"/>
        <w:numPr>
          <w:ilvl w:val="255"/>
          <w:numId w:val="0"/>
        </w:numPr>
        <w:rPr>
          <w:rFonts w:ascii="Calibri" w:hAnsi="Calibri" w:eastAsia="avenir-regular-class" w:cs="Calibri"/>
          <w:color w:val="auto"/>
          <w:sz w:val="24"/>
          <w:szCs w:val="24"/>
          <w:shd w:val="clear" w:color="auto" w:fill="FBFBFB"/>
        </w:rPr>
      </w:pPr>
    </w:p>
    <w:p w14:paraId="58B02FC3">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(2021) </w:t>
      </w:r>
      <w:r>
        <w:rPr>
          <w:rFonts w:ascii="Calibri" w:hAnsi="Calibri" w:eastAsia="avenir-regular-class" w:cs="Calibri"/>
          <w:i/>
          <w:iCs/>
          <w:color w:val="auto"/>
          <w:sz w:val="24"/>
          <w:szCs w:val="24"/>
          <w:shd w:val="clear" w:color="auto" w:fill="FBFBFB"/>
        </w:rPr>
        <w:t>Work Motivation: An Evidence Review</w:t>
      </w:r>
      <w:r>
        <w:rPr>
          <w:rFonts w:ascii="Calibri" w:hAnsi="Calibri" w:eastAsia="avenir-regular-class" w:cs="Calibri"/>
          <w:color w:val="auto"/>
          <w:sz w:val="24"/>
          <w:szCs w:val="24"/>
          <w:shd w:val="clear" w:color="auto" w:fill="FBFBFB"/>
        </w:rPr>
        <w:t>. Available at:  https://www.cipd.org/globalassets/media/knowledge/knowledge-hub/evidence-reviews/work-motivation-scientific-summary_tcm18-89562.pdf (Accessed: 29 May 2025).</w:t>
      </w:r>
    </w:p>
    <w:p w14:paraId="7A252C6B">
      <w:pPr>
        <w:pStyle w:val="16"/>
        <w:numPr>
          <w:ilvl w:val="255"/>
          <w:numId w:val="0"/>
        </w:numPr>
        <w:rPr>
          <w:rFonts w:ascii="Calibri" w:hAnsi="Calibri" w:eastAsia="avenir-regular-class" w:cs="Calibri"/>
          <w:color w:val="auto"/>
          <w:sz w:val="24"/>
          <w:szCs w:val="24"/>
          <w:shd w:val="clear" w:color="auto" w:fill="FBFBFB"/>
        </w:rPr>
      </w:pPr>
    </w:p>
    <w:p w14:paraId="7F260A3D">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(2024</w:t>
      </w:r>
      <w:r>
        <w:rPr>
          <w:rFonts w:hint="default" w:ascii="Calibri" w:hAnsi="Calibri" w:eastAsia="avenir-regular-class" w:cs="Calibri"/>
          <w:color w:val="auto"/>
          <w:sz w:val="24"/>
          <w:szCs w:val="24"/>
          <w:shd w:val="clear" w:color="auto" w:fill="FBFBFB"/>
          <w:lang w:val="en-GB"/>
        </w:rPr>
        <w:t>f</w:t>
      </w:r>
      <w:r>
        <w:rPr>
          <w:rFonts w:ascii="Calibri" w:hAnsi="Calibri" w:eastAsia="avenir-regular-class" w:cs="Calibri"/>
          <w:color w:val="auto"/>
          <w:sz w:val="24"/>
          <w:szCs w:val="24"/>
          <w:shd w:val="clear" w:color="auto" w:fill="FBFBFB"/>
        </w:rPr>
        <w:t>)</w:t>
      </w:r>
      <w:r>
        <w:rPr>
          <w:rFonts w:ascii="Calibri" w:hAnsi="Calibri" w:eastAsia="avenir-regular-class" w:cs="Calibri"/>
          <w:i/>
          <w:iCs/>
          <w:color w:val="auto"/>
          <w:sz w:val="24"/>
          <w:szCs w:val="24"/>
          <w:shd w:val="clear" w:color="auto" w:fill="FBFBFB"/>
        </w:rPr>
        <w:t> Workforce Planning.</w:t>
      </w:r>
      <w:r>
        <w:rPr>
          <w:rFonts w:ascii="Calibri" w:hAnsi="Calibri" w:eastAsia="avenir-regular-class" w:cs="Calibri"/>
          <w:color w:val="auto"/>
          <w:sz w:val="24"/>
          <w:szCs w:val="24"/>
          <w:shd w:val="clear" w:color="auto" w:fill="FBFBFB"/>
        </w:rPr>
        <w:t xml:space="preserve"> Available at: https://www.cipd.org/uk/knowledge/factsheets/workforce-planning-factsheet/#stages-of-workforce-planning (Accessed: 21 May 2025).</w:t>
      </w:r>
    </w:p>
    <w:p w14:paraId="7163D2A6">
      <w:pPr>
        <w:pStyle w:val="16"/>
        <w:numPr>
          <w:ilvl w:val="255"/>
          <w:numId w:val="0"/>
        </w:numPr>
        <w:rPr>
          <w:rFonts w:ascii="Calibri" w:hAnsi="Calibri" w:eastAsia="avenir-regular-class" w:cs="Calibri"/>
          <w:color w:val="auto"/>
          <w:sz w:val="24"/>
          <w:szCs w:val="24"/>
          <w:shd w:val="clear" w:color="auto" w:fill="FBFBFB"/>
        </w:rPr>
      </w:pPr>
    </w:p>
    <w:p w14:paraId="1D951A53">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CIPD (2024</w:t>
      </w:r>
      <w:r>
        <w:rPr>
          <w:rFonts w:hint="default" w:ascii="Calibri" w:hAnsi="Calibri" w:eastAsia="avenir-regular-class" w:cs="Calibri"/>
          <w:color w:val="auto"/>
          <w:sz w:val="24"/>
          <w:szCs w:val="24"/>
          <w:shd w:val="clear" w:color="auto" w:fill="FBFBFB"/>
          <w:lang w:val="en-GB"/>
        </w:rPr>
        <w:t>g</w:t>
      </w:r>
      <w:bookmarkStart w:id="0" w:name="_GoBack"/>
      <w:bookmarkEnd w:id="0"/>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Zero-Hours Contracts.</w:t>
      </w:r>
      <w:r>
        <w:rPr>
          <w:rFonts w:ascii="Calibri" w:hAnsi="Calibri" w:eastAsia="avenir-regular-class" w:cs="Calibri"/>
          <w:color w:val="auto"/>
          <w:sz w:val="24"/>
          <w:szCs w:val="24"/>
          <w:shd w:val="clear" w:color="auto" w:fill="FBFBFB"/>
        </w:rPr>
        <w:t> Available at: https://www.cipd.org/uk/knowledge/factsheets/zero-hours-factsheet/ (Accessed: 30 May 2025).</w:t>
      </w:r>
    </w:p>
    <w:p w14:paraId="7C1FAAE8">
      <w:pPr>
        <w:pStyle w:val="16"/>
        <w:numPr>
          <w:ilvl w:val="255"/>
          <w:numId w:val="0"/>
        </w:numPr>
        <w:rPr>
          <w:rFonts w:ascii="Calibri" w:hAnsi="Calibri" w:eastAsia="avenir-regular-class" w:cs="Calibri"/>
          <w:color w:val="auto"/>
          <w:sz w:val="24"/>
          <w:szCs w:val="24"/>
          <w:shd w:val="clear" w:color="auto" w:fill="FBFBFB"/>
        </w:rPr>
      </w:pPr>
    </w:p>
    <w:p w14:paraId="65EC6E6E">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DavidsonMorris (2025) </w:t>
      </w:r>
      <w:r>
        <w:rPr>
          <w:rFonts w:ascii="Calibri" w:hAnsi="Calibri" w:eastAsia="avenir-regular-class" w:cs="Calibri"/>
          <w:i/>
          <w:iCs/>
          <w:color w:val="auto"/>
          <w:sz w:val="24"/>
          <w:szCs w:val="24"/>
          <w:shd w:val="clear" w:color="auto" w:fill="FBFBFB"/>
        </w:rPr>
        <w:t>Understanding  the Permanent Contract for Employers</w:t>
      </w:r>
      <w:r>
        <w:rPr>
          <w:rFonts w:ascii="Calibri" w:hAnsi="Calibri" w:eastAsia="avenir-regular-class" w:cs="Calibri"/>
          <w:color w:val="auto"/>
          <w:sz w:val="24"/>
          <w:szCs w:val="24"/>
          <w:shd w:val="clear" w:color="auto" w:fill="FBFBFB"/>
        </w:rPr>
        <w:t xml:space="preserve">. </w:t>
      </w:r>
      <w:r>
        <w:rPr>
          <w:rFonts w:ascii="Calibri" w:hAnsi="Calibri" w:eastAsia="avenir-regular-class" w:cs="Calibri"/>
          <w:color w:val="auto"/>
          <w:sz w:val="24"/>
          <w:szCs w:val="24"/>
          <w:shd w:val="clear" w:color="auto" w:fill="FBFBFB"/>
          <w:lang w:val="fr-FR"/>
        </w:rPr>
        <w:t xml:space="preserve">Available at: https://www.davidsonmorris.com/permanent-contract/#:~:text=Employee%20Loyalty%20and%20Retention,sense%20of%20loyalty%20and%20commitment. </w:t>
      </w:r>
      <w:r>
        <w:rPr>
          <w:rFonts w:ascii="Calibri" w:hAnsi="Calibri" w:eastAsia="avenir-regular-class" w:cs="Calibri"/>
          <w:color w:val="auto"/>
          <w:sz w:val="24"/>
          <w:szCs w:val="24"/>
          <w:shd w:val="clear" w:color="auto" w:fill="FBFBFB"/>
        </w:rPr>
        <w:t>(Accessed: 30 May 2025).</w:t>
      </w:r>
    </w:p>
    <w:p w14:paraId="3A555E62">
      <w:pPr>
        <w:pStyle w:val="16"/>
        <w:numPr>
          <w:ilvl w:val="255"/>
          <w:numId w:val="0"/>
        </w:numPr>
        <w:rPr>
          <w:rFonts w:ascii="Calibri" w:hAnsi="Calibri" w:eastAsia="avenir-regular-class" w:cs="Calibri"/>
          <w:color w:val="auto"/>
          <w:sz w:val="24"/>
          <w:szCs w:val="24"/>
          <w:shd w:val="clear" w:color="auto" w:fill="FBFBFB"/>
        </w:rPr>
      </w:pPr>
    </w:p>
    <w:p w14:paraId="7812A912">
      <w:pPr>
        <w:pStyle w:val="16"/>
        <w:numPr>
          <w:ilvl w:val="255"/>
          <w:numId w:val="0"/>
        </w:numPr>
        <w:rPr>
          <w:rFonts w:ascii="avenir-regular-class" w:hAnsi="avenir-regular-class" w:eastAsia="avenir-regular-class" w:cs="avenir-regular-class"/>
          <w:color w:val="auto"/>
          <w:sz w:val="18"/>
          <w:szCs w:val="18"/>
          <w:shd w:val="clear" w:color="auto" w:fill="FBFBFB"/>
        </w:rPr>
      </w:pPr>
      <w:r>
        <w:rPr>
          <w:rFonts w:ascii="Calibri" w:hAnsi="Calibri" w:eastAsia="avenir-regular-class" w:cs="Calibri"/>
          <w:color w:val="auto"/>
          <w:sz w:val="24"/>
          <w:szCs w:val="24"/>
          <w:shd w:val="clear" w:color="auto" w:fill="FBFBFB"/>
        </w:rPr>
        <w:t>GOV.UK (2024)</w:t>
      </w:r>
      <w:r>
        <w:rPr>
          <w:rFonts w:ascii="Calibri" w:hAnsi="Calibri" w:eastAsia="avenir-regular-class" w:cs="Calibri"/>
          <w:i/>
          <w:iCs/>
          <w:color w:val="auto"/>
          <w:sz w:val="24"/>
          <w:szCs w:val="24"/>
          <w:shd w:val="clear" w:color="auto" w:fill="FBFBFB"/>
        </w:rPr>
        <w:t> Economic Labour Market Status of Individuals 50 and Over, Trends Over Time: September 2024</w:t>
      </w:r>
      <w:r>
        <w:rPr>
          <w:rFonts w:ascii="Calibri" w:hAnsi="Calibri" w:eastAsia="avenir-regular-class" w:cs="Calibri"/>
          <w:color w:val="auto"/>
          <w:sz w:val="24"/>
          <w:szCs w:val="24"/>
          <w:shd w:val="clear" w:color="auto" w:fill="FBFBFB"/>
        </w:rPr>
        <w:t>. Available at: https://www.gov.uk/government/statistics/economic-labour-market-status-of-individuals-aged-50-and-over-trends-over-time-september-2024/economic-labour-market-status-of-individuals-aged-50-and-over-trends-over-time-september-2024 (Accessed: 21 May 2025</w:t>
      </w:r>
      <w:r>
        <w:rPr>
          <w:rFonts w:ascii="avenir-regular-class" w:hAnsi="avenir-regular-class" w:eastAsia="avenir-regular-class" w:cs="avenir-regular-class"/>
          <w:color w:val="auto"/>
          <w:sz w:val="18"/>
          <w:szCs w:val="18"/>
          <w:shd w:val="clear" w:color="auto" w:fill="FBFBFB"/>
        </w:rPr>
        <w:t>).</w:t>
      </w:r>
    </w:p>
    <w:p w14:paraId="7EECFEB6">
      <w:pPr>
        <w:pStyle w:val="16"/>
        <w:numPr>
          <w:ilvl w:val="255"/>
          <w:numId w:val="0"/>
        </w:numPr>
        <w:rPr>
          <w:rFonts w:ascii="avenir-regular-class" w:hAnsi="avenir-regular-class" w:eastAsia="avenir-regular-class" w:cs="avenir-regular-class"/>
          <w:color w:val="auto"/>
          <w:sz w:val="18"/>
          <w:szCs w:val="18"/>
          <w:shd w:val="clear" w:color="auto" w:fill="FBFBFB"/>
        </w:rPr>
      </w:pPr>
    </w:p>
    <w:p w14:paraId="64F490F7">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HR Observor (2024) </w:t>
      </w:r>
      <w:r>
        <w:rPr>
          <w:rFonts w:ascii="Calibri" w:hAnsi="Calibri" w:eastAsia="avenir-regular-class" w:cs="Calibri"/>
          <w:i/>
          <w:iCs/>
          <w:color w:val="auto"/>
          <w:sz w:val="24"/>
          <w:szCs w:val="24"/>
          <w:shd w:val="clear" w:color="auto" w:fill="FBFBFB"/>
        </w:rPr>
        <w:t>How to Maximise Job Retention by Providing Real</w:t>
      </w:r>
      <w:r>
        <w:rPr>
          <w:rFonts w:ascii="Calibri" w:hAnsi="Calibri" w:eastAsia="avenir-regular-class" w:cs="Calibri"/>
          <w:i/>
          <w:iCs/>
          <w:color w:val="auto"/>
          <w:sz w:val="24"/>
          <w:szCs w:val="24"/>
          <w:shd w:val="clear" w:color="auto" w:fill="FBFBFB"/>
          <w:lang w:val="en-GB"/>
        </w:rPr>
        <w:t xml:space="preserve">istic </w:t>
      </w:r>
      <w:r>
        <w:rPr>
          <w:rFonts w:ascii="Calibri" w:hAnsi="Calibri" w:eastAsia="avenir-regular-class" w:cs="Calibri"/>
          <w:i/>
          <w:iCs/>
          <w:color w:val="auto"/>
          <w:sz w:val="24"/>
          <w:szCs w:val="24"/>
          <w:shd w:val="clear" w:color="auto" w:fill="FBFBFB"/>
        </w:rPr>
        <w:t xml:space="preserve">Job Previews. </w:t>
      </w:r>
      <w:r>
        <w:rPr>
          <w:rFonts w:ascii="Calibri" w:hAnsi="Calibri" w:eastAsia="avenir-regular-class" w:cs="Calibri"/>
          <w:color w:val="auto"/>
          <w:sz w:val="24"/>
          <w:szCs w:val="24"/>
          <w:shd w:val="clear" w:color="auto" w:fill="FBFBFB"/>
        </w:rPr>
        <w:t>Available at:  https://www.thehrobserver.com/indepth/how-to-maximise-job-retention-by-providing-realistic-job-previews/(Accessed: 29 May 2025).</w:t>
      </w:r>
    </w:p>
    <w:p w14:paraId="156A2F85">
      <w:pPr>
        <w:pStyle w:val="16"/>
        <w:numPr>
          <w:ilvl w:val="255"/>
          <w:numId w:val="0"/>
        </w:numPr>
        <w:rPr>
          <w:rFonts w:ascii="Calibri" w:hAnsi="Calibri" w:eastAsia="avenir-regular-class" w:cs="Calibri"/>
          <w:color w:val="auto"/>
          <w:sz w:val="24"/>
          <w:szCs w:val="24"/>
          <w:shd w:val="clear" w:color="auto" w:fill="FBFBFB"/>
        </w:rPr>
      </w:pPr>
    </w:p>
    <w:p w14:paraId="25ADC85A">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Segoe UI" w:cs="Calibri"/>
          <w:color w:val="auto"/>
          <w:sz w:val="24"/>
          <w:szCs w:val="24"/>
          <w:shd w:val="clear" w:color="auto" w:fill="FFFFFF"/>
        </w:rPr>
        <w:t>Marchington. (2021). </w:t>
      </w:r>
      <w:r>
        <w:rPr>
          <w:rFonts w:ascii="Calibri" w:hAnsi="Calibri" w:eastAsia="Segoe UI" w:cs="Calibri"/>
          <w:i/>
          <w:iCs/>
          <w:color w:val="auto"/>
          <w:sz w:val="24"/>
          <w:szCs w:val="24"/>
          <w:shd w:val="clear" w:color="auto" w:fill="FFFFFF"/>
        </w:rPr>
        <w:t xml:space="preserve">Human </w:t>
      </w:r>
      <w:r>
        <w:rPr>
          <w:rFonts w:ascii="Calibri" w:hAnsi="Calibri" w:eastAsia="Segoe UI" w:cs="Calibri"/>
          <w:i/>
          <w:iCs/>
          <w:color w:val="auto"/>
          <w:sz w:val="24"/>
          <w:szCs w:val="24"/>
          <w:shd w:val="clear" w:color="auto" w:fill="FFFFFF"/>
          <w:lang w:val="en-GB"/>
        </w:rPr>
        <w:t>R</w:t>
      </w:r>
      <w:r>
        <w:rPr>
          <w:rFonts w:ascii="Calibri" w:hAnsi="Calibri" w:eastAsia="Segoe UI" w:cs="Calibri"/>
          <w:i/>
          <w:iCs/>
          <w:color w:val="auto"/>
          <w:sz w:val="24"/>
          <w:szCs w:val="24"/>
          <w:shd w:val="clear" w:color="auto" w:fill="FFFFFF"/>
        </w:rPr>
        <w:t xml:space="preserve">esource </w:t>
      </w:r>
      <w:r>
        <w:rPr>
          <w:rFonts w:ascii="Calibri" w:hAnsi="Calibri" w:eastAsia="Segoe UI" w:cs="Calibri"/>
          <w:i/>
          <w:iCs/>
          <w:color w:val="auto"/>
          <w:sz w:val="24"/>
          <w:szCs w:val="24"/>
          <w:shd w:val="clear" w:color="auto" w:fill="FFFFFF"/>
          <w:lang w:val="en-GB"/>
        </w:rPr>
        <w:t>M</w:t>
      </w:r>
      <w:r>
        <w:rPr>
          <w:rFonts w:ascii="Calibri" w:hAnsi="Calibri" w:eastAsia="Segoe UI" w:cs="Calibri"/>
          <w:i/>
          <w:iCs/>
          <w:color w:val="auto"/>
          <w:sz w:val="24"/>
          <w:szCs w:val="24"/>
          <w:shd w:val="clear" w:color="auto" w:fill="FFFFFF"/>
        </w:rPr>
        <w:t xml:space="preserve">anagement at </w:t>
      </w:r>
      <w:r>
        <w:rPr>
          <w:rFonts w:ascii="Calibri" w:hAnsi="Calibri" w:eastAsia="Segoe UI" w:cs="Calibri"/>
          <w:i/>
          <w:iCs/>
          <w:color w:val="auto"/>
          <w:sz w:val="24"/>
          <w:szCs w:val="24"/>
          <w:shd w:val="clear" w:color="auto" w:fill="FFFFFF"/>
          <w:lang w:val="en-GB"/>
        </w:rPr>
        <w:t>W</w:t>
      </w:r>
      <w:r>
        <w:rPr>
          <w:rFonts w:ascii="Calibri" w:hAnsi="Calibri" w:eastAsia="Segoe UI" w:cs="Calibri"/>
          <w:i/>
          <w:iCs/>
          <w:color w:val="auto"/>
          <w:sz w:val="24"/>
          <w:szCs w:val="24"/>
          <w:shd w:val="clear" w:color="auto" w:fill="FFFFFF"/>
        </w:rPr>
        <w:t xml:space="preserve">ork : </w:t>
      </w:r>
      <w:r>
        <w:rPr>
          <w:rFonts w:ascii="Calibri" w:hAnsi="Calibri" w:eastAsia="Segoe UI" w:cs="Calibri"/>
          <w:i/>
          <w:iCs/>
          <w:color w:val="auto"/>
          <w:sz w:val="24"/>
          <w:szCs w:val="24"/>
          <w:shd w:val="clear" w:color="auto" w:fill="FFFFFF"/>
          <w:lang w:val="en-GB"/>
        </w:rPr>
        <w:t>T</w:t>
      </w:r>
      <w:r>
        <w:rPr>
          <w:rFonts w:ascii="Calibri" w:hAnsi="Calibri" w:eastAsia="Segoe UI" w:cs="Calibri"/>
          <w:i/>
          <w:iCs/>
          <w:color w:val="auto"/>
          <w:sz w:val="24"/>
          <w:szCs w:val="24"/>
          <w:shd w:val="clear" w:color="auto" w:fill="FFFFFF"/>
        </w:rPr>
        <w:t xml:space="preserve">he </w:t>
      </w:r>
      <w:r>
        <w:rPr>
          <w:rFonts w:ascii="Calibri" w:hAnsi="Calibri" w:eastAsia="Segoe UI" w:cs="Calibri"/>
          <w:i/>
          <w:iCs/>
          <w:color w:val="auto"/>
          <w:sz w:val="24"/>
          <w:szCs w:val="24"/>
          <w:shd w:val="clear" w:color="auto" w:fill="FFFFFF"/>
          <w:lang w:val="en-GB"/>
        </w:rPr>
        <w:t>D</w:t>
      </w:r>
      <w:r>
        <w:rPr>
          <w:rFonts w:ascii="Calibri" w:hAnsi="Calibri" w:eastAsia="Segoe UI" w:cs="Calibri"/>
          <w:i/>
          <w:iCs/>
          <w:color w:val="auto"/>
          <w:sz w:val="24"/>
          <w:szCs w:val="24"/>
          <w:shd w:val="clear" w:color="auto" w:fill="FFFFFF"/>
        </w:rPr>
        <w:t xml:space="preserve">efinitive </w:t>
      </w:r>
      <w:r>
        <w:rPr>
          <w:rFonts w:ascii="Calibri" w:hAnsi="Calibri" w:eastAsia="Segoe UI" w:cs="Calibri"/>
          <w:i/>
          <w:iCs/>
          <w:color w:val="auto"/>
          <w:sz w:val="24"/>
          <w:szCs w:val="24"/>
          <w:shd w:val="clear" w:color="auto" w:fill="FFFFFF"/>
          <w:lang w:val="en-GB"/>
        </w:rPr>
        <w:t>G</w:t>
      </w:r>
      <w:r>
        <w:rPr>
          <w:rFonts w:ascii="Calibri" w:hAnsi="Calibri" w:eastAsia="Segoe UI" w:cs="Calibri"/>
          <w:i/>
          <w:iCs/>
          <w:color w:val="auto"/>
          <w:sz w:val="24"/>
          <w:szCs w:val="24"/>
          <w:shd w:val="clear" w:color="auto" w:fill="FFFFFF"/>
        </w:rPr>
        <w:t>uide.</w:t>
      </w:r>
      <w:r>
        <w:rPr>
          <w:rFonts w:ascii="Calibri" w:hAnsi="Calibri" w:eastAsia="Segoe UI" w:cs="Calibri"/>
          <w:color w:val="auto"/>
          <w:sz w:val="24"/>
          <w:szCs w:val="24"/>
          <w:shd w:val="clear" w:color="auto" w:fill="FFFFFF"/>
        </w:rPr>
        <w:t> (Seventh edition.). Kogan Page.</w:t>
      </w:r>
    </w:p>
    <w:p w14:paraId="16EBDFAB">
      <w:pPr>
        <w:pStyle w:val="16"/>
        <w:numPr>
          <w:ilvl w:val="255"/>
          <w:numId w:val="0"/>
        </w:numPr>
        <w:rPr>
          <w:rFonts w:ascii="Calibri" w:hAnsi="Calibri" w:eastAsia="avenir-regular-class" w:cs="Calibri"/>
          <w:color w:val="auto"/>
          <w:sz w:val="24"/>
          <w:szCs w:val="24"/>
          <w:shd w:val="clear" w:color="auto" w:fill="FBFBFB"/>
        </w:rPr>
      </w:pPr>
    </w:p>
    <w:p w14:paraId="71F054B9">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Office for National Statistics (2025)</w:t>
      </w:r>
      <w:r>
        <w:rPr>
          <w:rFonts w:ascii="Calibri" w:hAnsi="Calibri" w:eastAsia="avenir-regular-class" w:cs="Calibri"/>
          <w:i/>
          <w:iCs/>
          <w:color w:val="auto"/>
          <w:sz w:val="24"/>
          <w:szCs w:val="24"/>
          <w:shd w:val="clear" w:color="auto" w:fill="FBFBFB"/>
        </w:rPr>
        <w:t> Labour Market Overview, UK: April 2025.</w:t>
      </w:r>
      <w:r>
        <w:rPr>
          <w:rFonts w:ascii="Calibri" w:hAnsi="Calibri" w:eastAsia="avenir-regular-class" w:cs="Calibri"/>
          <w:color w:val="auto"/>
          <w:sz w:val="24"/>
          <w:szCs w:val="24"/>
          <w:shd w:val="clear" w:color="auto" w:fill="FBFBFB"/>
        </w:rPr>
        <w:t xml:space="preserve"> Available at: https://www.ons.gov.uk/employmentandlabourmarket/peopleinwork/employmentandemployeetypes/bulletins/uklabourmarket/april2025 (Accessed: 21 May 2025).</w:t>
      </w:r>
    </w:p>
    <w:p w14:paraId="2BEF207D">
      <w:pPr>
        <w:pStyle w:val="16"/>
        <w:numPr>
          <w:ilvl w:val="255"/>
          <w:numId w:val="0"/>
        </w:numPr>
        <w:rPr>
          <w:rFonts w:ascii="Calibri" w:hAnsi="Calibri" w:eastAsia="avenir-regular-class" w:cs="Calibri"/>
          <w:color w:val="auto"/>
          <w:sz w:val="24"/>
          <w:szCs w:val="24"/>
          <w:shd w:val="clear" w:color="auto" w:fill="FBFBFB"/>
        </w:rPr>
      </w:pPr>
    </w:p>
    <w:p w14:paraId="0FBE28D0">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People Management (2019)</w:t>
      </w:r>
      <w:r>
        <w:rPr>
          <w:rFonts w:ascii="Calibri" w:hAnsi="Calibri" w:eastAsia="avenir-regular-class" w:cs="Calibri"/>
          <w:i/>
          <w:iCs/>
          <w:color w:val="auto"/>
          <w:sz w:val="24"/>
          <w:szCs w:val="24"/>
          <w:shd w:val="clear" w:color="auto" w:fill="FBFBFB"/>
        </w:rPr>
        <w:t> How to Attract and Retain the Best Talent</w:t>
      </w:r>
      <w:r>
        <w:rPr>
          <w:rFonts w:ascii="Calibri" w:hAnsi="Calibri" w:eastAsia="avenir-regular-class" w:cs="Calibri"/>
          <w:color w:val="auto"/>
          <w:sz w:val="24"/>
          <w:szCs w:val="24"/>
          <w:shd w:val="clear" w:color="auto" w:fill="FBFBFB"/>
        </w:rPr>
        <w:t>. Available at: https://pmjobs.cipd.co.uk/article/how-to-attract-and-retain-the-best-talent (Accessed: 20 May 2025).</w:t>
      </w:r>
    </w:p>
    <w:p w14:paraId="0D307F65">
      <w:pPr>
        <w:pStyle w:val="16"/>
        <w:numPr>
          <w:ilvl w:val="255"/>
          <w:numId w:val="0"/>
        </w:numPr>
        <w:rPr>
          <w:rFonts w:ascii="Calibri" w:hAnsi="Calibri" w:eastAsia="avenir-regular-class" w:cs="Calibri"/>
          <w:color w:val="auto"/>
          <w:sz w:val="24"/>
          <w:szCs w:val="24"/>
          <w:shd w:val="clear" w:color="auto" w:fill="FBFBFB"/>
        </w:rPr>
      </w:pPr>
    </w:p>
    <w:p w14:paraId="1893F247">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People Management (2022</w:t>
      </w:r>
      <w:r>
        <w:rPr>
          <w:rFonts w:hint="default" w:ascii="Calibri" w:hAnsi="Calibri" w:eastAsia="avenir-regular-class" w:cs="Calibri"/>
          <w:color w:val="auto"/>
          <w:sz w:val="24"/>
          <w:szCs w:val="24"/>
          <w:shd w:val="clear" w:color="auto" w:fill="FBFBFB"/>
          <w:lang w:val="en-GB"/>
        </w:rPr>
        <w:t>a</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High Employee Turnover Damaging Company Culture, Research Suggests</w:t>
      </w:r>
      <w:r>
        <w:rPr>
          <w:rFonts w:ascii="Calibri" w:hAnsi="Calibri" w:eastAsia="avenir-regular-class" w:cs="Calibri"/>
          <w:color w:val="auto"/>
          <w:sz w:val="24"/>
          <w:szCs w:val="24"/>
          <w:shd w:val="clear" w:color="auto" w:fill="FBFBFB"/>
        </w:rPr>
        <w:t>. Available at: https://www.peoplemanagement.co.uk/article/1795419/high-employee-turnover-damaging-company-culture-research-suggests (Accessed: 30 May 2025).</w:t>
      </w:r>
    </w:p>
    <w:p w14:paraId="7EC24430">
      <w:pPr>
        <w:pStyle w:val="16"/>
        <w:numPr>
          <w:ilvl w:val="255"/>
          <w:numId w:val="0"/>
        </w:numPr>
        <w:rPr>
          <w:rFonts w:ascii="Calibri" w:hAnsi="Calibri" w:eastAsia="avenir-regular-class" w:cs="Calibri"/>
          <w:color w:val="auto"/>
          <w:sz w:val="24"/>
          <w:szCs w:val="24"/>
          <w:shd w:val="clear" w:color="auto" w:fill="FBFBFB"/>
        </w:rPr>
      </w:pPr>
    </w:p>
    <w:p w14:paraId="7DBEE0B1">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People Management (2022</w:t>
      </w:r>
      <w:r>
        <w:rPr>
          <w:rFonts w:hint="default" w:ascii="Calibri" w:hAnsi="Calibri" w:eastAsia="avenir-regular-class" w:cs="Calibri"/>
          <w:color w:val="auto"/>
          <w:sz w:val="24"/>
          <w:szCs w:val="24"/>
          <w:shd w:val="clear" w:color="auto" w:fill="FBFBFB"/>
          <w:lang w:val="en-GB"/>
        </w:rPr>
        <w:t>b</w:t>
      </w:r>
      <w:r>
        <w:rPr>
          <w:rFonts w:ascii="Calibri" w:hAnsi="Calibri" w:eastAsia="avenir-regular-class" w:cs="Calibri"/>
          <w:color w:val="auto"/>
          <w:sz w:val="24"/>
          <w:szCs w:val="24"/>
          <w:shd w:val="clear" w:color="auto" w:fill="FBFBFB"/>
        </w:rPr>
        <w:t>) </w:t>
      </w:r>
      <w:r>
        <w:rPr>
          <w:rFonts w:ascii="Calibri" w:hAnsi="Calibri" w:eastAsia="avenir-regular-class" w:cs="Calibri"/>
          <w:i/>
          <w:iCs/>
          <w:color w:val="auto"/>
          <w:sz w:val="24"/>
          <w:szCs w:val="24"/>
          <w:shd w:val="clear" w:color="auto" w:fill="FBFBFB"/>
        </w:rPr>
        <w:t>How to Futureproof your Business with Effective Workforce Planning</w:t>
      </w:r>
      <w:r>
        <w:rPr>
          <w:rFonts w:ascii="Calibri" w:hAnsi="Calibri" w:eastAsia="avenir-regular-class" w:cs="Calibri"/>
          <w:color w:val="auto"/>
          <w:sz w:val="24"/>
          <w:szCs w:val="24"/>
          <w:shd w:val="clear" w:color="auto" w:fill="FBFBFB"/>
        </w:rPr>
        <w:t>. Available at: https://www.peoplemanagement.co.uk/article/1795549/futureproof-business-effective-workforce-planning (Accessed: 21 May 2025).</w:t>
      </w:r>
    </w:p>
    <w:p w14:paraId="1EBEDEDD">
      <w:pPr>
        <w:pStyle w:val="16"/>
        <w:numPr>
          <w:ilvl w:val="255"/>
          <w:numId w:val="0"/>
        </w:numPr>
        <w:rPr>
          <w:rFonts w:ascii="Calibri" w:hAnsi="Calibri" w:eastAsia="avenir-regular-class" w:cs="Calibri"/>
          <w:color w:val="auto"/>
          <w:sz w:val="24"/>
          <w:szCs w:val="24"/>
          <w:shd w:val="clear" w:color="auto" w:fill="FBFBFB"/>
        </w:rPr>
      </w:pPr>
    </w:p>
    <w:p w14:paraId="1B7881CE">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People Management (2020) </w:t>
      </w:r>
      <w:r>
        <w:rPr>
          <w:rFonts w:ascii="Calibri" w:hAnsi="Calibri" w:eastAsia="avenir-regular-class" w:cs="Calibri"/>
          <w:i/>
          <w:iCs/>
          <w:color w:val="auto"/>
          <w:sz w:val="24"/>
          <w:szCs w:val="24"/>
          <w:shd w:val="clear" w:color="auto" w:fill="FBFBFB"/>
        </w:rPr>
        <w:t> How to Get Onboarding Right. </w:t>
      </w:r>
      <w:r>
        <w:rPr>
          <w:rFonts w:ascii="Calibri" w:hAnsi="Calibri" w:eastAsia="avenir-regular-class" w:cs="Calibri"/>
          <w:color w:val="auto"/>
          <w:sz w:val="24"/>
          <w:szCs w:val="24"/>
          <w:shd w:val="clear" w:color="auto" w:fill="FBFBFB"/>
        </w:rPr>
        <w:t>Available at: https://www.peoplemanagement.co.uk/article/1742140/how-get-onboarding-right (Accessed: 30 May 2025).</w:t>
      </w:r>
    </w:p>
    <w:p w14:paraId="77B306B8">
      <w:pPr>
        <w:pStyle w:val="16"/>
        <w:numPr>
          <w:ilvl w:val="255"/>
          <w:numId w:val="0"/>
        </w:numPr>
        <w:rPr>
          <w:rFonts w:ascii="Calibri" w:hAnsi="Calibri" w:eastAsia="avenir-regular-class" w:cs="Calibri"/>
          <w:color w:val="auto"/>
          <w:sz w:val="24"/>
          <w:szCs w:val="24"/>
          <w:shd w:val="clear" w:color="auto" w:fill="FBFBFB"/>
        </w:rPr>
      </w:pPr>
    </w:p>
    <w:p w14:paraId="2680F14C">
      <w:pPr>
        <w:pStyle w:val="16"/>
        <w:numPr>
          <w:ilvl w:val="255"/>
          <w:numId w:val="0"/>
        </w:numPr>
        <w:rPr>
          <w:rFonts w:hint="default" w:ascii="Calibri" w:hAnsi="Calibri" w:eastAsia="avenir-regular-class" w:cs="Calibri"/>
          <w:color w:val="auto"/>
          <w:sz w:val="24"/>
          <w:szCs w:val="24"/>
          <w:shd w:val="clear" w:color="auto" w:fill="FBFBFB"/>
        </w:rPr>
      </w:pPr>
      <w:r>
        <w:rPr>
          <w:rFonts w:hint="default" w:ascii="Calibri" w:hAnsi="Calibri" w:eastAsia="avenir-regular-class" w:cs="Calibri"/>
          <w:i w:val="0"/>
          <w:iCs w:val="0"/>
          <w:caps w:val="0"/>
          <w:color w:val="auto"/>
          <w:spacing w:val="0"/>
          <w:sz w:val="24"/>
          <w:szCs w:val="24"/>
          <w:shd w:val="clear" w:fill="FBFBFB"/>
        </w:rPr>
        <w:t>People Management (2023) </w:t>
      </w:r>
      <w:r>
        <w:rPr>
          <w:rFonts w:hint="default" w:ascii="Calibri" w:hAnsi="Calibri" w:eastAsia="avenir-regular-class" w:cs="Calibri"/>
          <w:i/>
          <w:iCs/>
          <w:caps w:val="0"/>
          <w:color w:val="auto"/>
          <w:spacing w:val="0"/>
          <w:sz w:val="24"/>
          <w:szCs w:val="24"/>
          <w:bdr w:val="none" w:color="auto" w:sz="0" w:space="0"/>
          <w:shd w:val="clear" w:fill="FBFBFB"/>
        </w:rPr>
        <w:t>What to Consider When Employing Part Time, Fixed term and Temporary Workers.</w:t>
      </w:r>
      <w:r>
        <w:rPr>
          <w:rFonts w:hint="default" w:ascii="Calibri" w:hAnsi="Calibri" w:eastAsia="avenir-regular-class" w:cs="Calibri"/>
          <w:i w:val="0"/>
          <w:iCs w:val="0"/>
          <w:caps w:val="0"/>
          <w:color w:val="auto"/>
          <w:spacing w:val="0"/>
          <w:sz w:val="24"/>
          <w:szCs w:val="24"/>
          <w:shd w:val="clear" w:fill="FBFBFB"/>
        </w:rPr>
        <w:t> Available at: https://www.peoplemanagement.co.uk/article/1828784/consider-when-employing-part-time-fixed-term-temporary-workers (Accessed: 5 June 2025).</w:t>
      </w:r>
    </w:p>
    <w:p w14:paraId="7918742E">
      <w:pPr>
        <w:pStyle w:val="16"/>
        <w:numPr>
          <w:ilvl w:val="255"/>
          <w:numId w:val="0"/>
        </w:numPr>
        <w:rPr>
          <w:rFonts w:ascii="Calibri" w:hAnsi="Calibri" w:eastAsia="avenir-regular-class" w:cs="Calibri"/>
          <w:color w:val="auto"/>
          <w:sz w:val="24"/>
          <w:szCs w:val="24"/>
          <w:shd w:val="clear" w:color="auto" w:fill="FBFBFB"/>
        </w:rPr>
      </w:pPr>
    </w:p>
    <w:p w14:paraId="3A2DF954">
      <w:pPr>
        <w:pStyle w:val="16"/>
        <w:numPr>
          <w:ilvl w:val="255"/>
          <w:numId w:val="0"/>
        </w:numPr>
        <w:rPr>
          <w:rFonts w:ascii="Calibri" w:hAnsi="Calibri" w:eastAsia="avenir-regular-class" w:cs="Calibri"/>
          <w:color w:val="auto"/>
          <w:sz w:val="24"/>
          <w:szCs w:val="24"/>
          <w:shd w:val="clear" w:color="auto" w:fill="FBFBFB"/>
        </w:rPr>
      </w:pPr>
      <w:r>
        <w:rPr>
          <w:rFonts w:ascii="Calibri" w:hAnsi="Calibri" w:eastAsia="avenir-regular-class" w:cs="Calibri"/>
          <w:color w:val="auto"/>
          <w:sz w:val="24"/>
          <w:szCs w:val="24"/>
          <w:shd w:val="clear" w:color="auto" w:fill="FBFBFB"/>
        </w:rPr>
        <w:t>People Management (2024) </w:t>
      </w:r>
      <w:r>
        <w:rPr>
          <w:rFonts w:ascii="Calibri" w:hAnsi="Calibri" w:eastAsia="avenir-regular-class" w:cs="Calibri"/>
          <w:i/>
          <w:iCs/>
          <w:color w:val="auto"/>
          <w:sz w:val="24"/>
          <w:szCs w:val="24"/>
          <w:shd w:val="clear" w:color="auto" w:fill="FBFBFB"/>
        </w:rPr>
        <w:t xml:space="preserve">Why </w:t>
      </w:r>
      <w:r>
        <w:rPr>
          <w:rFonts w:ascii="Calibri" w:hAnsi="Calibri" w:eastAsia="avenir-regular-class" w:cs="Calibri"/>
          <w:i/>
          <w:iCs/>
          <w:color w:val="auto"/>
          <w:sz w:val="24"/>
          <w:szCs w:val="24"/>
          <w:shd w:val="clear" w:color="auto" w:fill="FBFBFB"/>
          <w:lang w:val="en-GB"/>
        </w:rPr>
        <w:t>d</w:t>
      </w:r>
      <w:r>
        <w:rPr>
          <w:rFonts w:ascii="Calibri" w:hAnsi="Calibri" w:eastAsia="avenir-regular-class" w:cs="Calibri"/>
          <w:i/>
          <w:iCs/>
          <w:color w:val="auto"/>
          <w:sz w:val="24"/>
          <w:szCs w:val="24"/>
          <w:shd w:val="clear" w:color="auto" w:fill="FBFBFB"/>
        </w:rPr>
        <w:t>oes HR Struggle with Strategic Workforce Planning</w:t>
      </w:r>
      <w:r>
        <w:rPr>
          <w:rFonts w:ascii="Calibri" w:hAnsi="Calibri" w:eastAsia="avenir-regular-class" w:cs="Calibri"/>
          <w:color w:val="auto"/>
          <w:sz w:val="24"/>
          <w:szCs w:val="24"/>
          <w:shd w:val="clear" w:color="auto" w:fill="FBFBFB"/>
        </w:rPr>
        <w:t>. Available at: https://www.peoplemanagement.co.uk/article/1885722/why-does-hr-struggle-strategic-workforce-planning (Accessed: 21 May 2025).</w:t>
      </w:r>
    </w:p>
    <w:p w14:paraId="10C2E5A8">
      <w:pPr>
        <w:pStyle w:val="16"/>
        <w:numPr>
          <w:ilvl w:val="255"/>
          <w:numId w:val="0"/>
        </w:numPr>
        <w:rPr>
          <w:rFonts w:ascii="avenir-regular-class" w:hAnsi="avenir-regular-class" w:eastAsia="avenir-regular-class" w:cs="avenir-regular-class"/>
          <w:color w:val="auto"/>
          <w:sz w:val="18"/>
          <w:szCs w:val="18"/>
          <w:shd w:val="clear" w:color="auto" w:fill="FBFBFB"/>
        </w:rPr>
      </w:pPr>
    </w:p>
    <w:p w14:paraId="1FF12537">
      <w:pPr>
        <w:pStyle w:val="16"/>
        <w:numPr>
          <w:ilvl w:val="255"/>
          <w:numId w:val="0"/>
        </w:numPr>
        <w:rPr>
          <w:rFonts w:ascii="Calibri" w:hAnsi="Calibri" w:eastAsia="avenir-regular-class" w:cs="Calibri"/>
          <w:color w:val="auto"/>
          <w:sz w:val="24"/>
          <w:szCs w:val="24"/>
          <w:shd w:val="clear" w:color="auto" w:fill="FBFBFB"/>
          <w:lang w:val="en-GB"/>
        </w:rPr>
      </w:pPr>
      <w:r>
        <w:rPr>
          <w:rFonts w:ascii="Calibri" w:hAnsi="Calibri" w:eastAsia="avenir-regular-class" w:cs="Calibri"/>
          <w:color w:val="auto"/>
          <w:sz w:val="24"/>
          <w:szCs w:val="24"/>
          <w:shd w:val="clear" w:color="auto" w:fill="FBFBFB"/>
          <w:lang w:val="en-GB"/>
        </w:rPr>
        <w:t xml:space="preserve">Taylor, S. and Woodhams, C. (2022) </w:t>
      </w:r>
      <w:r>
        <w:rPr>
          <w:rFonts w:ascii="Calibri" w:hAnsi="Calibri" w:eastAsia="avenir-regular-class" w:cs="Calibri"/>
          <w:i/>
          <w:iCs/>
          <w:color w:val="auto"/>
          <w:sz w:val="24"/>
          <w:szCs w:val="24"/>
          <w:shd w:val="clear" w:color="auto" w:fill="FBFBFB"/>
          <w:lang w:val="en-GB"/>
        </w:rPr>
        <w:t>Human Resource Management</w:t>
      </w:r>
      <w:r>
        <w:rPr>
          <w:rFonts w:ascii="Calibri" w:hAnsi="Calibri" w:eastAsia="avenir-regular-class" w:cs="Calibri"/>
          <w:color w:val="auto"/>
          <w:sz w:val="24"/>
          <w:szCs w:val="24"/>
          <w:shd w:val="clear" w:color="auto" w:fill="FBFBFB"/>
          <w:lang w:val="en-GB"/>
        </w:rPr>
        <w:t>. 3</w:t>
      </w:r>
      <w:r>
        <w:rPr>
          <w:rFonts w:ascii="Calibri" w:hAnsi="Calibri" w:eastAsia="avenir-regular-class" w:cs="Calibri"/>
          <w:color w:val="auto"/>
          <w:sz w:val="24"/>
          <w:szCs w:val="24"/>
          <w:shd w:val="clear" w:color="auto" w:fill="FBFBFB"/>
          <w:vertAlign w:val="superscript"/>
          <w:lang w:val="en-GB"/>
        </w:rPr>
        <w:t>rd</w:t>
      </w:r>
      <w:r>
        <w:rPr>
          <w:rFonts w:ascii="Calibri" w:hAnsi="Calibri" w:eastAsia="avenir-regular-class" w:cs="Calibri"/>
          <w:color w:val="auto"/>
          <w:sz w:val="24"/>
          <w:szCs w:val="24"/>
          <w:shd w:val="clear" w:color="auto" w:fill="FBFBFB"/>
          <w:lang w:val="en-GB"/>
        </w:rPr>
        <w:t xml:space="preserve"> Edition. London: Kogan Page.</w:t>
      </w:r>
    </w:p>
    <w:p w14:paraId="012D77E4">
      <w:pPr>
        <w:pStyle w:val="16"/>
        <w:numPr>
          <w:ilvl w:val="255"/>
          <w:numId w:val="0"/>
        </w:numPr>
        <w:rPr>
          <w:rFonts w:ascii="Calibri" w:hAnsi="Calibri"/>
          <w:b/>
          <w:bCs/>
          <w:color w:val="auto"/>
          <w:sz w:val="24"/>
          <w:szCs w:val="24"/>
          <w:u w:color="004147"/>
          <w:lang w:val="en-GB"/>
        </w:rPr>
      </w:pPr>
    </w:p>
    <w:p w14:paraId="43872AF7">
      <w:pPr>
        <w:pStyle w:val="16"/>
        <w:numPr>
          <w:ilvl w:val="255"/>
          <w:numId w:val="0"/>
        </w:numPr>
        <w:rPr>
          <w:rFonts w:ascii="Calibri" w:hAnsi="Calibri"/>
          <w:color w:val="auto"/>
          <w:sz w:val="24"/>
          <w:szCs w:val="24"/>
          <w:u w:color="004147"/>
          <w:lang w:val="en-GB"/>
        </w:rPr>
      </w:pPr>
      <w:r>
        <w:rPr>
          <w:rFonts w:ascii="Calibri" w:hAnsi="Calibri" w:eastAsia="avenir-regular-class" w:cs="Calibri"/>
          <w:color w:val="auto"/>
          <w:sz w:val="24"/>
          <w:szCs w:val="24"/>
          <w:shd w:val="clear" w:color="auto" w:fill="FBFBFB"/>
        </w:rPr>
        <w:t>Taylor, S. and Woodhams, C. (2022) </w:t>
      </w:r>
      <w:r>
        <w:rPr>
          <w:rFonts w:ascii="Calibri" w:hAnsi="Calibri" w:eastAsia="avenir-regular-class" w:cs="Calibri"/>
          <w:i/>
          <w:iCs/>
          <w:color w:val="auto"/>
          <w:sz w:val="24"/>
          <w:szCs w:val="24"/>
          <w:shd w:val="clear" w:color="auto" w:fill="FBFBFB"/>
        </w:rPr>
        <w:t>Studying Huma</w:t>
      </w:r>
      <w:r>
        <w:rPr>
          <w:rFonts w:ascii="Calibri" w:hAnsi="Calibri" w:eastAsia="avenir-regular-class" w:cs="Calibri"/>
          <w:i/>
          <w:iCs/>
          <w:color w:val="auto"/>
          <w:sz w:val="24"/>
          <w:szCs w:val="24"/>
          <w:shd w:val="clear" w:color="auto" w:fill="FBFBFB"/>
          <w:lang w:val="en-GB"/>
        </w:rPr>
        <w:t>n</w:t>
      </w:r>
      <w:r>
        <w:rPr>
          <w:rFonts w:ascii="Calibri" w:hAnsi="Calibri" w:eastAsia="avenir-regular-class" w:cs="Calibri"/>
          <w:i/>
          <w:iCs/>
          <w:color w:val="auto"/>
          <w:sz w:val="24"/>
          <w:szCs w:val="24"/>
          <w:shd w:val="clear" w:color="auto" w:fill="FBFBFB"/>
        </w:rPr>
        <w:t xml:space="preserve"> Resources</w:t>
      </w:r>
      <w:r>
        <w:rPr>
          <w:rFonts w:ascii="Calibri" w:hAnsi="Calibri" w:eastAsia="avenir-regular-class" w:cs="Calibri"/>
          <w:color w:val="auto"/>
          <w:sz w:val="24"/>
          <w:szCs w:val="24"/>
          <w:shd w:val="clear" w:color="auto" w:fill="FBFBFB"/>
        </w:rPr>
        <w:t>. 3rd Edition. London: Kogan Page.</w:t>
      </w:r>
    </w:p>
    <w:p w14:paraId="33880FD6">
      <w:pPr>
        <w:pStyle w:val="16"/>
        <w:numPr>
          <w:ilvl w:val="255"/>
          <w:numId w:val="0"/>
        </w:numPr>
        <w:rPr>
          <w:rFonts w:ascii="Calibri" w:hAnsi="Calibri"/>
          <w:color w:val="auto"/>
          <w:sz w:val="24"/>
          <w:szCs w:val="24"/>
          <w:u w:color="004147"/>
          <w:lang w:val="en-GB"/>
        </w:rPr>
      </w:pPr>
    </w:p>
    <w:p w14:paraId="05D450E0">
      <w:pPr>
        <w:pStyle w:val="16"/>
        <w:numPr>
          <w:ilvl w:val="255"/>
          <w:numId w:val="0"/>
        </w:numPr>
        <w:rPr>
          <w:rFonts w:ascii="Calibri" w:hAnsi="Calibri"/>
          <w:color w:val="auto"/>
          <w:sz w:val="24"/>
          <w:szCs w:val="24"/>
          <w:u w:color="004147"/>
          <w:lang w:val="en-GB"/>
        </w:rPr>
      </w:pPr>
    </w:p>
    <w:p w14:paraId="3D2F4378">
      <w:pPr>
        <w:pStyle w:val="16"/>
        <w:numPr>
          <w:ilvl w:val="255"/>
          <w:numId w:val="0"/>
        </w:numPr>
        <w:rPr>
          <w:rFonts w:ascii="Calibri" w:hAnsi="Calibri"/>
          <w:color w:val="auto"/>
          <w:sz w:val="24"/>
          <w:szCs w:val="24"/>
          <w:u w:color="004147"/>
          <w:lang w:val="en-GB"/>
        </w:rPr>
      </w:pPr>
    </w:p>
    <w:p w14:paraId="593C1EDF">
      <w:pPr>
        <w:pStyle w:val="16"/>
        <w:numPr>
          <w:ilvl w:val="255"/>
          <w:numId w:val="0"/>
        </w:numPr>
        <w:rPr>
          <w:rFonts w:ascii="Calibri" w:hAnsi="Calibri"/>
          <w:color w:val="auto"/>
          <w:sz w:val="24"/>
          <w:szCs w:val="24"/>
          <w:u w:color="004147"/>
          <w:lang w:val="en-GB"/>
        </w:rPr>
      </w:pPr>
    </w:p>
    <w:p w14:paraId="72792767">
      <w:pPr>
        <w:pStyle w:val="16"/>
        <w:numPr>
          <w:ilvl w:val="255"/>
          <w:numId w:val="0"/>
        </w:numPr>
        <w:rPr>
          <w:rFonts w:ascii="Calibri" w:hAnsi="Calibri"/>
          <w:color w:val="auto"/>
          <w:sz w:val="24"/>
          <w:szCs w:val="24"/>
          <w:u w:color="004147"/>
          <w:lang w:val="en-GB"/>
        </w:rPr>
      </w:pPr>
    </w:p>
    <w:p w14:paraId="2CE984D1">
      <w:pPr>
        <w:pStyle w:val="16"/>
        <w:numPr>
          <w:ilvl w:val="255"/>
          <w:numId w:val="0"/>
        </w:numPr>
        <w:rPr>
          <w:rFonts w:ascii="Calibri" w:hAnsi="Calibri"/>
          <w:color w:val="auto"/>
          <w:sz w:val="24"/>
          <w:szCs w:val="24"/>
          <w:u w:color="004147"/>
          <w:lang w:val="en-GB"/>
        </w:rPr>
      </w:pPr>
    </w:p>
    <w:p w14:paraId="15991D12">
      <w:pPr>
        <w:pStyle w:val="16"/>
        <w:numPr>
          <w:ilvl w:val="255"/>
          <w:numId w:val="0"/>
        </w:numPr>
        <w:rPr>
          <w:rFonts w:ascii="Calibri" w:hAnsi="Calibri"/>
          <w:color w:val="auto"/>
          <w:sz w:val="24"/>
          <w:szCs w:val="24"/>
          <w:u w:color="004147"/>
          <w:lang w:val="en-GB"/>
        </w:rPr>
      </w:pPr>
    </w:p>
    <w:p w14:paraId="2DFCF888">
      <w:pPr>
        <w:pStyle w:val="16"/>
        <w:numPr>
          <w:ilvl w:val="255"/>
          <w:numId w:val="0"/>
        </w:numPr>
        <w:rPr>
          <w:rFonts w:ascii="Calibri" w:hAnsi="Calibri"/>
          <w:color w:val="auto"/>
          <w:sz w:val="24"/>
          <w:szCs w:val="24"/>
          <w:u w:color="004147"/>
          <w:lang w:val="en-GB"/>
        </w:rPr>
      </w:pPr>
    </w:p>
    <w:p w14:paraId="5CD74DB3">
      <w:pPr>
        <w:pStyle w:val="16"/>
        <w:numPr>
          <w:ilvl w:val="255"/>
          <w:numId w:val="0"/>
        </w:numPr>
        <w:rPr>
          <w:rFonts w:ascii="Calibri" w:hAnsi="Calibri"/>
          <w:color w:val="auto"/>
          <w:sz w:val="24"/>
          <w:szCs w:val="24"/>
          <w:u w:color="004147"/>
          <w:lang w:val="en-GB"/>
        </w:rPr>
      </w:pPr>
    </w:p>
    <w:p w14:paraId="4ACCB321">
      <w:pPr>
        <w:pStyle w:val="16"/>
        <w:numPr>
          <w:ilvl w:val="255"/>
          <w:numId w:val="0"/>
        </w:numPr>
        <w:rPr>
          <w:rFonts w:ascii="Calibri" w:hAnsi="Calibri"/>
          <w:color w:val="auto"/>
          <w:sz w:val="24"/>
          <w:szCs w:val="24"/>
          <w:u w:color="004147"/>
          <w:lang w:val="en-GB"/>
        </w:rPr>
      </w:pPr>
    </w:p>
    <w:p w14:paraId="2A00D06E">
      <w:pPr>
        <w:pStyle w:val="16"/>
        <w:numPr>
          <w:ilvl w:val="255"/>
          <w:numId w:val="0"/>
        </w:numPr>
        <w:rPr>
          <w:rFonts w:ascii="Calibri" w:hAnsi="Calibri"/>
          <w:color w:val="auto"/>
          <w:sz w:val="24"/>
          <w:szCs w:val="24"/>
          <w:u w:color="004147"/>
          <w:lang w:val="en-GB"/>
        </w:rPr>
      </w:pPr>
    </w:p>
    <w:p w14:paraId="7C48E4D3">
      <w:pPr>
        <w:pStyle w:val="16"/>
        <w:numPr>
          <w:ilvl w:val="255"/>
          <w:numId w:val="0"/>
        </w:numPr>
        <w:rPr>
          <w:rFonts w:ascii="Calibri" w:hAnsi="Calibri"/>
          <w:color w:val="auto"/>
          <w:sz w:val="24"/>
          <w:szCs w:val="24"/>
          <w:u w:color="004147"/>
          <w:lang w:val="en-GB"/>
        </w:rPr>
      </w:pPr>
    </w:p>
    <w:p w14:paraId="137F5CD4">
      <w:pPr>
        <w:pStyle w:val="16"/>
        <w:numPr>
          <w:ilvl w:val="255"/>
          <w:numId w:val="0"/>
        </w:numPr>
        <w:rPr>
          <w:rFonts w:ascii="Calibri" w:hAnsi="Calibri"/>
          <w:color w:val="auto"/>
          <w:sz w:val="24"/>
          <w:szCs w:val="24"/>
          <w:u w:color="004147"/>
          <w:lang w:val="en-GB"/>
        </w:rPr>
      </w:pPr>
    </w:p>
    <w:p w14:paraId="1818F354">
      <w:pPr>
        <w:pStyle w:val="16"/>
        <w:numPr>
          <w:ilvl w:val="255"/>
          <w:numId w:val="0"/>
        </w:numPr>
        <w:rPr>
          <w:rFonts w:ascii="Calibri" w:hAnsi="Calibri"/>
          <w:color w:val="auto"/>
          <w:sz w:val="24"/>
          <w:szCs w:val="24"/>
          <w:u w:color="004147"/>
          <w:lang w:val="en-GB"/>
        </w:rPr>
      </w:pPr>
    </w:p>
    <w:p w14:paraId="103BADD8">
      <w:pPr>
        <w:pStyle w:val="16"/>
        <w:numPr>
          <w:ilvl w:val="255"/>
          <w:numId w:val="0"/>
        </w:numPr>
        <w:rPr>
          <w:rFonts w:ascii="Calibri" w:hAnsi="Calibri"/>
          <w:color w:val="auto"/>
          <w:sz w:val="24"/>
          <w:szCs w:val="24"/>
          <w:u w:color="004147"/>
          <w:lang w:val="en-GB"/>
        </w:rPr>
      </w:pPr>
    </w:p>
    <w:p w14:paraId="5C88E027">
      <w:pPr>
        <w:pStyle w:val="16"/>
        <w:numPr>
          <w:ilvl w:val="255"/>
          <w:numId w:val="0"/>
        </w:numPr>
        <w:rPr>
          <w:rFonts w:ascii="Calibri" w:hAnsi="Calibri"/>
          <w:color w:val="auto"/>
          <w:sz w:val="24"/>
          <w:szCs w:val="24"/>
          <w:u w:color="004147"/>
          <w:lang w:val="en-GB"/>
        </w:rPr>
      </w:pPr>
    </w:p>
    <w:p w14:paraId="0A0C2A36">
      <w:pPr>
        <w:pStyle w:val="16"/>
        <w:numPr>
          <w:ilvl w:val="255"/>
          <w:numId w:val="0"/>
        </w:numPr>
        <w:rPr>
          <w:rFonts w:ascii="Calibri" w:hAnsi="Calibri"/>
          <w:color w:val="auto"/>
          <w:sz w:val="24"/>
          <w:szCs w:val="24"/>
          <w:u w:color="004147"/>
          <w:lang w:val="en-GB"/>
        </w:rPr>
      </w:pPr>
    </w:p>
    <w:p w14:paraId="0FBC1EA1">
      <w:pPr>
        <w:pStyle w:val="16"/>
        <w:numPr>
          <w:ilvl w:val="255"/>
          <w:numId w:val="0"/>
        </w:numPr>
        <w:rPr>
          <w:rFonts w:ascii="Calibri" w:hAnsi="Calibri"/>
          <w:color w:val="auto"/>
          <w:sz w:val="24"/>
          <w:szCs w:val="24"/>
          <w:u w:color="004147"/>
          <w:lang w:val="en-GB"/>
        </w:rPr>
      </w:pPr>
    </w:p>
    <w:p w14:paraId="3EEFC521">
      <w:pPr>
        <w:pStyle w:val="16"/>
        <w:numPr>
          <w:ilvl w:val="255"/>
          <w:numId w:val="0"/>
        </w:numPr>
        <w:rPr>
          <w:rFonts w:ascii="Calibri" w:hAnsi="Calibri" w:cs="Calibri"/>
          <w:i/>
          <w:iCs/>
          <w:color w:val="auto"/>
          <w:sz w:val="24"/>
          <w:szCs w:val="24"/>
          <w:lang w:val="en-GB"/>
        </w:rPr>
      </w:pPr>
    </w:p>
    <w:sectPr>
      <w:pgSz w:w="11900" w:h="16840"/>
      <w:pgMar w:top="1440" w:right="1440" w:bottom="1440" w:left="1440" w:header="708" w:footer="708"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Unicode MS">
    <w:altName w:val="SimSun"/>
    <w:panose1 w:val="020B0604020202020204"/>
    <w:charset w:val="86"/>
    <w:family w:val="roman"/>
    <w:pitch w:val="default"/>
    <w:sig w:usb0="00000000" w:usb1="00000000" w:usb2="00000000" w:usb3="00000000" w:csb0="00000000" w:csb1="00000000"/>
  </w:font>
  <w:font w:name="Helvetica Neue">
    <w:altName w:val="Times New Roman"/>
    <w:panose1 w:val="00000000000000000000"/>
    <w:charset w:val="00"/>
    <w:family w:val="roman"/>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Georgia">
    <w:panose1 w:val="02040502050405020303"/>
    <w:charset w:val="00"/>
    <w:family w:val="roman"/>
    <w:pitch w:val="default"/>
    <w:sig w:usb0="00000287" w:usb1="00000000" w:usb2="00000000" w:usb3="00000000" w:csb0="2000009F" w:csb1="00000000"/>
  </w:font>
  <w:font w:name="Trebuchet MS">
    <w:panose1 w:val="020B0603020202020204"/>
    <w:charset w:val="00"/>
    <w:family w:val="swiss"/>
    <w:pitch w:val="default"/>
    <w:sig w:usb0="00000687" w:usb1="00000000" w:usb2="00000000" w:usb3="00000000" w:csb0="2000009F" w:csb1="00000000"/>
  </w:font>
  <w:font w:name="avenir-regular-class">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SimSun-ExtB">
    <w:panose1 w:val="02010609060101010101"/>
    <w:charset w:val="86"/>
    <w:family w:val="auto"/>
    <w:pitch w:val="default"/>
    <w:sig w:usb0="00000001" w:usb1="02000000" w:usb2="00000000"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noLineBreaksAfter w:lang="zh-CN" w:val="‘“(〔[{〈《「『【⦅〘〖«〝︵︷︹︻︽︿﹁﹃﹇﹙﹛﹝｢"/>
  <w:noLineBreaksBefore w:lang="zh-CN" w:va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374"/>
    <w:rsid w:val="00007881"/>
    <w:rsid w:val="0003718E"/>
    <w:rsid w:val="000C5DED"/>
    <w:rsid w:val="00116C04"/>
    <w:rsid w:val="001E634A"/>
    <w:rsid w:val="002552C3"/>
    <w:rsid w:val="002872CD"/>
    <w:rsid w:val="002A1F9B"/>
    <w:rsid w:val="00345868"/>
    <w:rsid w:val="00456433"/>
    <w:rsid w:val="004D0651"/>
    <w:rsid w:val="00521374"/>
    <w:rsid w:val="00735961"/>
    <w:rsid w:val="00737374"/>
    <w:rsid w:val="0076520C"/>
    <w:rsid w:val="007A4D35"/>
    <w:rsid w:val="008127CB"/>
    <w:rsid w:val="00834875"/>
    <w:rsid w:val="008642FD"/>
    <w:rsid w:val="008E0B93"/>
    <w:rsid w:val="00956355"/>
    <w:rsid w:val="009C4F3B"/>
    <w:rsid w:val="00A06C97"/>
    <w:rsid w:val="00A22FBA"/>
    <w:rsid w:val="00A531C4"/>
    <w:rsid w:val="00B34E12"/>
    <w:rsid w:val="00B820FD"/>
    <w:rsid w:val="00BE788A"/>
    <w:rsid w:val="00BF2AC5"/>
    <w:rsid w:val="00C0627B"/>
    <w:rsid w:val="00C3454B"/>
    <w:rsid w:val="00CE454B"/>
    <w:rsid w:val="00D15606"/>
    <w:rsid w:val="00D96664"/>
    <w:rsid w:val="00E53484"/>
    <w:rsid w:val="00F15371"/>
    <w:rsid w:val="00FF7863"/>
    <w:rsid w:val="01D73E25"/>
    <w:rsid w:val="04616D4B"/>
    <w:rsid w:val="04BA750E"/>
    <w:rsid w:val="04D27D3C"/>
    <w:rsid w:val="0639074C"/>
    <w:rsid w:val="06AD0181"/>
    <w:rsid w:val="082F0A74"/>
    <w:rsid w:val="085C2446"/>
    <w:rsid w:val="092E1D2C"/>
    <w:rsid w:val="0AEB5DFF"/>
    <w:rsid w:val="0AF44688"/>
    <w:rsid w:val="0D4241B8"/>
    <w:rsid w:val="0D4C3165"/>
    <w:rsid w:val="0E0A7659"/>
    <w:rsid w:val="0F262DE9"/>
    <w:rsid w:val="115A0E16"/>
    <w:rsid w:val="11CE79E9"/>
    <w:rsid w:val="1238091E"/>
    <w:rsid w:val="12CC2A49"/>
    <w:rsid w:val="12E3598A"/>
    <w:rsid w:val="13F2672C"/>
    <w:rsid w:val="145E4D9F"/>
    <w:rsid w:val="157E428B"/>
    <w:rsid w:val="160000DD"/>
    <w:rsid w:val="16C2647E"/>
    <w:rsid w:val="17925306"/>
    <w:rsid w:val="1849250F"/>
    <w:rsid w:val="18C07FBF"/>
    <w:rsid w:val="1B6E13F2"/>
    <w:rsid w:val="1BA1719A"/>
    <w:rsid w:val="1BD74BD8"/>
    <w:rsid w:val="1C973BE9"/>
    <w:rsid w:val="1D831B40"/>
    <w:rsid w:val="1E040EBA"/>
    <w:rsid w:val="1E9D33E9"/>
    <w:rsid w:val="1EA0715A"/>
    <w:rsid w:val="1F5F678E"/>
    <w:rsid w:val="1FB027EF"/>
    <w:rsid w:val="1FE05593"/>
    <w:rsid w:val="1FF11EA8"/>
    <w:rsid w:val="20B378F7"/>
    <w:rsid w:val="222E0BE7"/>
    <w:rsid w:val="235834BF"/>
    <w:rsid w:val="23E427C1"/>
    <w:rsid w:val="25874A87"/>
    <w:rsid w:val="25CA5F96"/>
    <w:rsid w:val="2612195B"/>
    <w:rsid w:val="261F5F6C"/>
    <w:rsid w:val="26305976"/>
    <w:rsid w:val="27B55939"/>
    <w:rsid w:val="281A017F"/>
    <w:rsid w:val="289406A2"/>
    <w:rsid w:val="29466031"/>
    <w:rsid w:val="2982076C"/>
    <w:rsid w:val="29874F67"/>
    <w:rsid w:val="2C481F3A"/>
    <w:rsid w:val="2C9027C2"/>
    <w:rsid w:val="2DA92C79"/>
    <w:rsid w:val="2E11295B"/>
    <w:rsid w:val="2E4436E4"/>
    <w:rsid w:val="2EEA004F"/>
    <w:rsid w:val="2F9A4761"/>
    <w:rsid w:val="305F65E8"/>
    <w:rsid w:val="30C05F91"/>
    <w:rsid w:val="30D646C7"/>
    <w:rsid w:val="30F14B09"/>
    <w:rsid w:val="315E7B1E"/>
    <w:rsid w:val="318C0AB5"/>
    <w:rsid w:val="33B574DD"/>
    <w:rsid w:val="344F470B"/>
    <w:rsid w:val="346E1392"/>
    <w:rsid w:val="34DA2928"/>
    <w:rsid w:val="359647DF"/>
    <w:rsid w:val="35B00F49"/>
    <w:rsid w:val="35B12D3D"/>
    <w:rsid w:val="35C01FE6"/>
    <w:rsid w:val="378217DC"/>
    <w:rsid w:val="37DD51B9"/>
    <w:rsid w:val="38AC0FD0"/>
    <w:rsid w:val="3A812FB6"/>
    <w:rsid w:val="3ACA282F"/>
    <w:rsid w:val="3BBE24DE"/>
    <w:rsid w:val="3C5553C9"/>
    <w:rsid w:val="3CDC01E8"/>
    <w:rsid w:val="3D8D64B0"/>
    <w:rsid w:val="3E096602"/>
    <w:rsid w:val="3E612AEF"/>
    <w:rsid w:val="3F0F0A25"/>
    <w:rsid w:val="3F722798"/>
    <w:rsid w:val="41E8276B"/>
    <w:rsid w:val="42CC79A8"/>
    <w:rsid w:val="433F1D9A"/>
    <w:rsid w:val="47BD6FCC"/>
    <w:rsid w:val="49445BE1"/>
    <w:rsid w:val="4B026AB9"/>
    <w:rsid w:val="4E0651E8"/>
    <w:rsid w:val="4E7E610F"/>
    <w:rsid w:val="4EB5265B"/>
    <w:rsid w:val="4F213E73"/>
    <w:rsid w:val="4FBB774F"/>
    <w:rsid w:val="4FBE52E9"/>
    <w:rsid w:val="50B019F5"/>
    <w:rsid w:val="52B2016E"/>
    <w:rsid w:val="53185172"/>
    <w:rsid w:val="53706829"/>
    <w:rsid w:val="537173D8"/>
    <w:rsid w:val="53B27DB8"/>
    <w:rsid w:val="541240CA"/>
    <w:rsid w:val="555E3F91"/>
    <w:rsid w:val="55A41A91"/>
    <w:rsid w:val="56CD32C1"/>
    <w:rsid w:val="576C2E54"/>
    <w:rsid w:val="58D37421"/>
    <w:rsid w:val="58EE016A"/>
    <w:rsid w:val="59A8085C"/>
    <w:rsid w:val="5AA20F1F"/>
    <w:rsid w:val="5C5947E4"/>
    <w:rsid w:val="5E2E7A5D"/>
    <w:rsid w:val="611C6055"/>
    <w:rsid w:val="615758E1"/>
    <w:rsid w:val="61787D03"/>
    <w:rsid w:val="636B06D0"/>
    <w:rsid w:val="63730C40"/>
    <w:rsid w:val="638D3374"/>
    <w:rsid w:val="63DF7E2D"/>
    <w:rsid w:val="64471332"/>
    <w:rsid w:val="64A93306"/>
    <w:rsid w:val="672E45B2"/>
    <w:rsid w:val="6751169F"/>
    <w:rsid w:val="67E33AD0"/>
    <w:rsid w:val="67E532EF"/>
    <w:rsid w:val="691114E7"/>
    <w:rsid w:val="699763FB"/>
    <w:rsid w:val="69AB1EBA"/>
    <w:rsid w:val="6C3C4A70"/>
    <w:rsid w:val="6EBD0676"/>
    <w:rsid w:val="6FC06DB2"/>
    <w:rsid w:val="712C16B1"/>
    <w:rsid w:val="72DC6E5B"/>
    <w:rsid w:val="72FD3138"/>
    <w:rsid w:val="730C6636"/>
    <w:rsid w:val="769C51A0"/>
    <w:rsid w:val="78797912"/>
    <w:rsid w:val="78F71022"/>
    <w:rsid w:val="7ADF613C"/>
    <w:rsid w:val="7B0F1164"/>
    <w:rsid w:val="7BAC12BA"/>
    <w:rsid w:val="7C2B04C8"/>
    <w:rsid w:val="7C971A1B"/>
    <w:rsid w:val="7F4732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Arial Unicode MS" w:cs="Times New Roman"/>
      <w:sz w:val="24"/>
      <w:szCs w:val="24"/>
      <w:lang w:val="en-US"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annotation reference"/>
    <w:basedOn w:val="2"/>
    <w:qFormat/>
    <w:uiPriority w:val="0"/>
    <w:rPr>
      <w:sz w:val="16"/>
      <w:szCs w:val="16"/>
    </w:rPr>
  </w:style>
  <w:style w:type="paragraph" w:styleId="5">
    <w:name w:val="annotation text"/>
    <w:basedOn w:val="1"/>
    <w:link w:val="22"/>
    <w:qFormat/>
    <w:uiPriority w:val="0"/>
    <w:rPr>
      <w:sz w:val="20"/>
      <w:szCs w:val="20"/>
    </w:rPr>
  </w:style>
  <w:style w:type="paragraph" w:styleId="6">
    <w:name w:val="annotation subject"/>
    <w:basedOn w:val="5"/>
    <w:next w:val="5"/>
    <w:link w:val="23"/>
    <w:qFormat/>
    <w:uiPriority w:val="0"/>
    <w:rPr>
      <w:b/>
      <w:bCs/>
    </w:rPr>
  </w:style>
  <w:style w:type="character" w:styleId="7">
    <w:name w:val="Emphasis"/>
    <w:basedOn w:val="2"/>
    <w:qFormat/>
    <w:uiPriority w:val="0"/>
    <w:rPr>
      <w:i/>
      <w:iCs/>
    </w:rPr>
  </w:style>
  <w:style w:type="character" w:styleId="8">
    <w:name w:val="FollowedHyperlink"/>
    <w:basedOn w:val="2"/>
    <w:qFormat/>
    <w:uiPriority w:val="0"/>
    <w:rPr>
      <w:color w:val="800080"/>
      <w:u w:val="single"/>
    </w:rPr>
  </w:style>
  <w:style w:type="paragraph" w:styleId="9">
    <w:name w:val="footer"/>
    <w:basedOn w:val="1"/>
    <w:link w:val="21"/>
    <w:qFormat/>
    <w:uiPriority w:val="0"/>
    <w:pPr>
      <w:tabs>
        <w:tab w:val="center" w:pos="4513"/>
        <w:tab w:val="right" w:pos="9026"/>
      </w:tabs>
    </w:pPr>
  </w:style>
  <w:style w:type="paragraph" w:styleId="10">
    <w:name w:val="header"/>
    <w:basedOn w:val="1"/>
    <w:link w:val="20"/>
    <w:qFormat/>
    <w:uiPriority w:val="0"/>
    <w:pPr>
      <w:tabs>
        <w:tab w:val="center" w:pos="4513"/>
        <w:tab w:val="right" w:pos="9026"/>
      </w:tabs>
    </w:pPr>
  </w:style>
  <w:style w:type="character" w:styleId="11">
    <w:name w:val="Hyperlink"/>
    <w:qFormat/>
    <w:uiPriority w:val="0"/>
    <w:rPr>
      <w:u w:val="single"/>
    </w:rPr>
  </w:style>
  <w:style w:type="paragraph" w:styleId="12">
    <w:name w:val="Normal (Web)"/>
    <w:qFormat/>
    <w:uiPriority w:val="0"/>
    <w:pPr>
      <w:spacing w:before="100" w:after="100"/>
    </w:pPr>
    <w:rPr>
      <w:rFonts w:ascii="Times New Roman" w:hAnsi="Times New Roman" w:eastAsia="Arial Unicode MS" w:cs="Arial Unicode MS"/>
      <w:color w:val="000000"/>
      <w:sz w:val="24"/>
      <w:szCs w:val="24"/>
      <w:u w:color="000000"/>
      <w:lang w:val="en-US" w:eastAsia="zh-CN" w:bidi="ar-SA"/>
    </w:rPr>
  </w:style>
  <w:style w:type="table" w:customStyle="1" w:styleId="13">
    <w:name w:val="Table Normal1"/>
    <w:qFormat/>
    <w:uiPriority w:val="0"/>
    <w:tblPr>
      <w:tblCellMar>
        <w:top w:w="0" w:type="dxa"/>
        <w:left w:w="0" w:type="dxa"/>
        <w:bottom w:w="0" w:type="dxa"/>
        <w:right w:w="0" w:type="dxa"/>
      </w:tblCellMar>
    </w:tblPr>
  </w:style>
  <w:style w:type="paragraph" w:customStyle="1" w:styleId="14">
    <w:name w:val="Header &amp; Footer"/>
    <w:qFormat/>
    <w:uiPriority w:val="0"/>
    <w:pPr>
      <w:tabs>
        <w:tab w:val="right" w:pos="9020"/>
      </w:tabs>
    </w:pPr>
    <w:rPr>
      <w:rFonts w:ascii="Helvetica Neue" w:hAnsi="Helvetica Neue" w:eastAsia="Arial Unicode MS" w:cs="Arial Unicode MS"/>
      <w:color w:val="000000"/>
      <w:sz w:val="24"/>
      <w:szCs w:val="24"/>
      <w:lang w:val="en-GB" w:eastAsia="zh-CN" w:bidi="ar-SA"/>
    </w:rPr>
  </w:style>
  <w:style w:type="paragraph" w:customStyle="1" w:styleId="15">
    <w:name w:val="Body"/>
    <w:qFormat/>
    <w:uiPriority w:val="0"/>
    <w:rPr>
      <w:rFonts w:ascii="Aptos" w:hAnsi="Aptos" w:eastAsia="Aptos" w:cs="Aptos"/>
      <w:color w:val="000000"/>
      <w:kern w:val="2"/>
      <w:sz w:val="24"/>
      <w:szCs w:val="24"/>
      <w:u w:color="000000"/>
      <w:lang w:val="en-GB" w:eastAsia="zh-CN" w:bidi="ar-SA"/>
    </w:rPr>
  </w:style>
  <w:style w:type="paragraph" w:customStyle="1" w:styleId="16">
    <w:name w:val="Body A"/>
    <w:qFormat/>
    <w:uiPriority w:val="0"/>
    <w:pPr>
      <w:spacing w:line="256" w:lineRule="auto"/>
    </w:pPr>
    <w:rPr>
      <w:rFonts w:ascii="Arial" w:hAnsi="Arial" w:eastAsia="Arial Unicode MS" w:cs="Arial Unicode MS"/>
      <w:color w:val="000000"/>
      <w:sz w:val="22"/>
      <w:szCs w:val="22"/>
      <w:u w:color="000000"/>
      <w:lang w:val="en-US" w:eastAsia="zh-CN" w:bidi="ar-SA"/>
    </w:rPr>
  </w:style>
  <w:style w:type="paragraph" w:customStyle="1" w:styleId="17">
    <w:name w:val="List parag"/>
    <w:qFormat/>
    <w:uiPriority w:val="0"/>
    <w:pPr>
      <w:spacing w:before="100" w:after="120" w:line="264" w:lineRule="auto"/>
    </w:pPr>
    <w:rPr>
      <w:rFonts w:ascii="Arial" w:hAnsi="Arial" w:eastAsia="Arial Unicode MS" w:cs="Arial Unicode MS"/>
      <w:color w:val="000000"/>
      <w:sz w:val="22"/>
      <w:szCs w:val="22"/>
      <w:u w:color="000000"/>
      <w:lang w:val="en-US" w:eastAsia="zh-CN" w:bidi="ar-SA"/>
    </w:rPr>
  </w:style>
  <w:style w:type="paragraph" w:customStyle="1" w:styleId="18">
    <w:name w:val="Heading"/>
    <w:next w:val="15"/>
    <w:qFormat/>
    <w:uiPriority w:val="0"/>
    <w:pPr>
      <w:spacing w:before="120" w:after="360" w:line="264" w:lineRule="auto"/>
      <w:outlineLvl w:val="0"/>
    </w:pPr>
    <w:rPr>
      <w:rFonts w:ascii="Georgia" w:hAnsi="Georgia" w:eastAsia="Arial Unicode MS" w:cs="Arial Unicode MS"/>
      <w:i/>
      <w:iCs/>
      <w:color w:val="004147"/>
      <w:sz w:val="48"/>
      <w:szCs w:val="48"/>
      <w:u w:color="004147"/>
      <w:lang w:val="it-IT" w:eastAsia="zh-CN" w:bidi="ar-SA"/>
    </w:rPr>
  </w:style>
  <w:style w:type="paragraph" w:customStyle="1" w:styleId="19">
    <w:name w:val="Nornal"/>
    <w:qFormat/>
    <w:uiPriority w:val="0"/>
    <w:pPr>
      <w:spacing w:after="160" w:line="264" w:lineRule="auto"/>
    </w:pPr>
    <w:rPr>
      <w:rFonts w:ascii="Arial" w:hAnsi="Arial" w:eastAsia="Arial" w:cs="Arial"/>
      <w:color w:val="000000"/>
      <w:sz w:val="22"/>
      <w:szCs w:val="22"/>
      <w:u w:color="000000"/>
      <w:lang w:val="en-US" w:eastAsia="zh-CN" w:bidi="ar-SA"/>
    </w:rPr>
  </w:style>
  <w:style w:type="character" w:customStyle="1" w:styleId="20">
    <w:name w:val="Header Char"/>
    <w:basedOn w:val="2"/>
    <w:link w:val="10"/>
    <w:qFormat/>
    <w:uiPriority w:val="0"/>
    <w:rPr>
      <w:rFonts w:eastAsia="Arial Unicode MS"/>
      <w:sz w:val="24"/>
      <w:szCs w:val="24"/>
      <w:lang w:val="en-US" w:eastAsia="en-US"/>
    </w:rPr>
  </w:style>
  <w:style w:type="character" w:customStyle="1" w:styleId="21">
    <w:name w:val="Footer Char"/>
    <w:basedOn w:val="2"/>
    <w:link w:val="9"/>
    <w:qFormat/>
    <w:uiPriority w:val="0"/>
    <w:rPr>
      <w:rFonts w:eastAsia="Arial Unicode MS"/>
      <w:sz w:val="24"/>
      <w:szCs w:val="24"/>
      <w:lang w:val="en-US" w:eastAsia="en-US"/>
    </w:rPr>
  </w:style>
  <w:style w:type="character" w:customStyle="1" w:styleId="22">
    <w:name w:val="Comment Text Char"/>
    <w:basedOn w:val="2"/>
    <w:link w:val="5"/>
    <w:qFormat/>
    <w:uiPriority w:val="0"/>
    <w:rPr>
      <w:rFonts w:eastAsia="Arial Unicode MS"/>
      <w:lang w:val="en-US" w:eastAsia="en-US"/>
    </w:rPr>
  </w:style>
  <w:style w:type="character" w:customStyle="1" w:styleId="23">
    <w:name w:val="Comment Subject Char"/>
    <w:basedOn w:val="22"/>
    <w:link w:val="6"/>
    <w:qFormat/>
    <w:uiPriority w:val="0"/>
    <w:rPr>
      <w:rFonts w:eastAsia="Arial Unicode MS"/>
      <w:b/>
      <w:bCs/>
      <w:lang w:val="en-US" w:eastAsia="en-US"/>
    </w:rPr>
  </w:style>
  <w:style w:type="character" w:customStyle="1" w:styleId="24">
    <w:name w:val="Unresolved Mention"/>
    <w:basedOn w:val="2"/>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spPr>
      <a:bodyPr rot="0" spcFirstLastPara="1" vertOverflow="overflow" horzOverflow="overflow" vert="horz" wrap="square" lIns="45719" tIns="45719" rIns="45719" bIns="45719" numCol="1" spcCol="38100" rtlCol="0" anchor="ctr">
        <a:spAutoFit/>
      </a:bodyPr>
      <a:lstStyle/>
      <a:style>
        <a:lnRef idx="0">
          <a:srgbClr val="FFFFFF"/>
        </a:lnRef>
        <a:fillRef idx="0">
          <a:srgbClr val="FFFFFF"/>
        </a:fillRef>
        <a:effectRef idx="0">
          <a:srgbClr val="FFFFFF"/>
        </a:effectRef>
        <a:fontRef idx="none"/>
      </a:style>
    </a:spDef>
    <a:lnDef>
      <a:spPr>
        <a:noFill/>
        <a:ln w="12700" cap="flat">
          <a:solidFill>
            <a:schemeClr val="accent1"/>
          </a:solidFill>
          <a:prstDash val="solid"/>
          <a:miter lim="800000"/>
        </a:ln>
      </a:spPr>
      <a:bodyPr rot="0" spcFirstLastPara="1" vertOverflow="overflow" horzOverflow="overflow" vert="horz" wrap="square" lIns="91439" tIns="45719" rIns="91439" bIns="45719" numCol="1" spcCol="38100" rtlCol="0" anchor="t">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9" tIns="45719" rIns="45719" bIns="45719" numCol="1" spcCol="38100" rtlCol="0" anchor="t">
        <a:spAutoFit/>
      </a:bodyPr>
      <a:lstStyle/>
      <a:style>
        <a:lnRef idx="0">
          <a:srgbClr val="FFFFFF"/>
        </a:lnRef>
        <a:fillRef idx="0">
          <a:srgbClr val="FFFFFF"/>
        </a:fillRef>
        <a:effectRef idx="0">
          <a:srgbClr val="FFFFFF"/>
        </a:effectRef>
        <a:fontRef idx="none"/>
      </a:style>
    </a:txDef>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19</Pages>
  <Words>5208</Words>
  <Characters>31155</Characters>
  <Lines>717</Lines>
  <Paragraphs>124</Paragraphs>
  <TotalTime>114</TotalTime>
  <ScaleCrop>false</ScaleCrop>
  <LinksUpToDate>false</LinksUpToDate>
  <CharactersWithSpaces>36342</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2025-06-04T12:34:00Z</dcterms:created>
  <dc:creator>andrea.matthews</dc:creator>
  <cp:lastModifiedBy>WPS_1727684645</cp:lastModifiedBy>
  <dcterms:modified xsi:type="dcterms:W3CDTF">2025-06-05T16:08:00Z</dcterms:modified>
  <cp:revision>35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1033-12.2.0.21179</vt:lpwstr>
  </property>
  <property fmtid="{D5CDD505-2E9C-101B-9397-08002B2CF9AE}" pid="3" name="ICV">
    <vt:lpwstr>E43AF8ED04134C949ADA6B0774540500_13</vt:lpwstr>
  </property>
  <property fmtid="{D5CDD505-2E9C-101B-9397-08002B2CF9AE}" pid="4" name="GrammarlyDocumentId">
    <vt:lpwstr>cb722638-ec1f-4951-ad4c-d0d140c01d34</vt:lpwstr>
  </property>
</Properties>
</file>