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sz w:val="32"/>
          <w:szCs w:val="32"/>
        </w:rPr>
      </w:pPr>
      <w:r>
        <w:rPr>
          <w:rFonts w:hint="default" w:ascii="Times New Roman" w:hAnsi="Times New Roman" w:cs="Times New Roman"/>
          <w:sz w:val="32"/>
          <w:szCs w:val="32"/>
        </w:rPr>
        <w:t>What does second language learning involve?</w:t>
      </w:r>
    </w:p>
    <w:p>
      <w:pPr>
        <w:jc w:val="both"/>
        <w:rPr>
          <w:rFonts w:hint="eastAsia" w:ascii="Segoe UI" w:hAnsi="Segoe UI" w:eastAsia="Segoe UI" w:cs="Segoe UI"/>
          <w:i w:val="0"/>
          <w:iCs w:val="0"/>
          <w:caps w:val="0"/>
          <w:color w:val="101214"/>
          <w:spacing w:val="0"/>
          <w:sz w:val="21"/>
          <w:szCs w:val="21"/>
        </w:rPr>
      </w:pPr>
    </w:p>
    <w:p>
      <w:pPr>
        <w:jc w:val="both"/>
        <w:rPr>
          <w:rFonts w:hint="default" w:ascii="Segoe UI" w:hAnsi="Segoe UI" w:eastAsia="Segoe UI" w:cs="Segoe UI"/>
          <w:i w:val="0"/>
          <w:iCs w:val="0"/>
          <w:caps w:val="0"/>
          <w:color w:val="101214"/>
          <w:spacing w:val="0"/>
          <w:sz w:val="21"/>
          <w:szCs w:val="21"/>
          <w:shd w:val="clear" w:fill="FFFFFF"/>
        </w:rPr>
      </w:pPr>
      <w:r>
        <w:rPr>
          <w:rFonts w:hint="eastAsia" w:ascii="Segoe UI" w:hAnsi="Segoe UI" w:eastAsia="Segoe UI" w:cs="Segoe UI"/>
          <w:i w:val="0"/>
          <w:iCs w:val="0"/>
          <w:caps w:val="0"/>
          <w:color w:val="101214"/>
          <w:spacing w:val="0"/>
          <w:sz w:val="21"/>
          <w:szCs w:val="21"/>
        </w:rPr>
        <w:t>Abstract: Second language acquisition is a difficult process. There are many factors that affect second language learning.</w:t>
      </w:r>
      <w:r>
        <w:rPr>
          <w:rFonts w:hint="default" w:ascii="Segoe UI" w:hAnsi="Segoe UI" w:eastAsia="Segoe UI" w:cs="Segoe UI"/>
          <w:i w:val="0"/>
          <w:iCs w:val="0"/>
          <w:caps w:val="0"/>
          <w:color w:val="101214"/>
          <w:spacing w:val="0"/>
          <w:sz w:val="21"/>
          <w:szCs w:val="21"/>
          <w:shd w:val="clear" w:fill="FFFFFF"/>
        </w:rPr>
        <w:t xml:space="preserve"> It is the differences in these factors among learners that directly lead to the differences in second language</w:t>
      </w:r>
      <w:r>
        <w:rPr>
          <w:rFonts w:hint="eastAsia" w:ascii="Segoe UI" w:hAnsi="Segoe UI" w:eastAsia="宋体" w:cs="Segoe UI"/>
          <w:i w:val="0"/>
          <w:iCs w:val="0"/>
          <w:caps w:val="0"/>
          <w:color w:val="101214"/>
          <w:spacing w:val="0"/>
          <w:sz w:val="21"/>
          <w:szCs w:val="21"/>
          <w:shd w:val="clear" w:fill="FFFFFF"/>
          <w:lang w:val="en-US" w:eastAsia="zh-CN"/>
        </w:rPr>
        <w:t xml:space="preserve"> </w:t>
      </w:r>
      <w:r>
        <w:rPr>
          <w:rFonts w:hint="default" w:ascii="Segoe UI" w:hAnsi="Segoe UI" w:eastAsia="Segoe UI" w:cs="Segoe UI"/>
          <w:i w:val="0"/>
          <w:iCs w:val="0"/>
          <w:caps w:val="0"/>
          <w:color w:val="101214"/>
          <w:spacing w:val="0"/>
          <w:sz w:val="21"/>
          <w:szCs w:val="21"/>
          <w:shd w:val="clear" w:fill="FFFFFF"/>
        </w:rPr>
        <w:t>acquisition</w:t>
      </w:r>
      <w:r>
        <w:rPr>
          <w:rFonts w:hint="eastAsia" w:ascii="Segoe UI" w:hAnsi="Segoe UI" w:eastAsia="宋体" w:cs="Segoe UI"/>
          <w:i w:val="0"/>
          <w:iCs w:val="0"/>
          <w:caps w:val="0"/>
          <w:color w:val="101214"/>
          <w:spacing w:val="0"/>
          <w:sz w:val="21"/>
          <w:szCs w:val="21"/>
          <w:shd w:val="clear" w:fill="FFFFFF"/>
          <w:lang w:val="en-US" w:eastAsia="zh-CN"/>
        </w:rPr>
        <w:t xml:space="preserve"> </w:t>
      </w:r>
      <w:r>
        <w:rPr>
          <w:rFonts w:hint="default" w:ascii="Segoe UI" w:hAnsi="Segoe UI" w:eastAsia="Segoe UI" w:cs="Segoe UI"/>
          <w:i w:val="0"/>
          <w:iCs w:val="0"/>
          <w:caps w:val="0"/>
          <w:color w:val="101214"/>
          <w:spacing w:val="0"/>
          <w:sz w:val="21"/>
          <w:szCs w:val="21"/>
          <w:shd w:val="clear" w:fill="FFFFFF"/>
        </w:rPr>
        <w:t>results. Therefore, understanding these influencing factors is of great help to second language learning.</w:t>
      </w:r>
    </w:p>
    <w:p>
      <w:pPr>
        <w:ind w:firstLine="210" w:firstLineChars="100"/>
        <w:jc w:val="both"/>
        <w:rPr>
          <w:rFonts w:hint="eastAsia" w:ascii="Segoe UI" w:hAnsi="Segoe UI" w:eastAsia="宋体" w:cs="Segoe UI"/>
          <w:i w:val="0"/>
          <w:iCs w:val="0"/>
          <w:caps w:val="0"/>
          <w:color w:val="101214"/>
          <w:spacing w:val="0"/>
          <w:sz w:val="21"/>
          <w:szCs w:val="21"/>
          <w:lang w:val="en-US" w:eastAsia="zh-CN"/>
        </w:rPr>
      </w:pPr>
      <w:r>
        <w:rPr>
          <w:rFonts w:hint="eastAsia" w:ascii="Segoe UI" w:hAnsi="Segoe UI" w:eastAsia="宋体" w:cs="Segoe UI"/>
          <w:i w:val="0"/>
          <w:iCs w:val="0"/>
          <w:color w:val="101214"/>
          <w:spacing w:val="0"/>
          <w:sz w:val="21"/>
          <w:szCs w:val="21"/>
          <w:shd w:val="clear" w:fill="FFFFFF"/>
          <w:lang w:val="en-US" w:eastAsia="zh-CN"/>
        </w:rPr>
        <w:t>K</w:t>
      </w:r>
      <w:r>
        <w:rPr>
          <w:rFonts w:hint="eastAsia" w:ascii="Segoe UI" w:hAnsi="Segoe UI" w:eastAsia="宋体" w:cs="Segoe UI"/>
          <w:i w:val="0"/>
          <w:iCs w:val="0"/>
          <w:caps w:val="0"/>
          <w:color w:val="101214"/>
          <w:spacing w:val="0"/>
          <w:sz w:val="21"/>
          <w:szCs w:val="21"/>
          <w:shd w:val="clear" w:fill="FFFFFF"/>
          <w:lang w:val="en-US" w:eastAsia="zh-CN"/>
        </w:rPr>
        <w:t>eywords：</w:t>
      </w:r>
      <w:r>
        <w:rPr>
          <w:rFonts w:hint="eastAsia" w:ascii="Segoe UI" w:hAnsi="Segoe UI" w:eastAsia="Segoe UI" w:cs="Segoe UI"/>
          <w:i w:val="0"/>
          <w:iCs w:val="0"/>
          <w:caps w:val="0"/>
          <w:color w:val="101214"/>
          <w:spacing w:val="0"/>
          <w:sz w:val="21"/>
          <w:szCs w:val="21"/>
        </w:rPr>
        <w:t>Second language acquisition</w:t>
      </w:r>
      <w:r>
        <w:rPr>
          <w:rFonts w:hint="eastAsia" w:ascii="Segoe UI" w:hAnsi="Segoe UI" w:eastAsia="宋体" w:cs="Segoe UI"/>
          <w:i w:val="0"/>
          <w:iCs w:val="0"/>
          <w:caps w:val="0"/>
          <w:color w:val="101214"/>
          <w:spacing w:val="0"/>
          <w:sz w:val="21"/>
          <w:szCs w:val="21"/>
          <w:lang w:eastAsia="zh-CN"/>
        </w:rPr>
        <w:t>，</w:t>
      </w:r>
      <w:r>
        <w:rPr>
          <w:rFonts w:hint="eastAsia" w:ascii="Segoe UI" w:hAnsi="Segoe UI" w:eastAsia="宋体" w:cs="Segoe UI"/>
          <w:i w:val="0"/>
          <w:iCs w:val="0"/>
          <w:caps w:val="0"/>
          <w:color w:val="101214"/>
          <w:spacing w:val="0"/>
          <w:sz w:val="21"/>
          <w:szCs w:val="21"/>
          <w:lang w:val="en-US" w:eastAsia="zh-CN"/>
        </w:rPr>
        <w:t>factors，help</w:t>
      </w:r>
    </w:p>
    <w:p>
      <w:pPr>
        <w:ind w:firstLine="210" w:firstLineChars="100"/>
        <w:jc w:val="both"/>
        <w:rPr>
          <w:rFonts w:hint="eastAsia" w:ascii="Segoe UI" w:hAnsi="Segoe UI" w:eastAsia="宋体" w:cs="Segoe UI"/>
          <w:i w:val="0"/>
          <w:iCs w:val="0"/>
          <w:caps w:val="0"/>
          <w:color w:val="101214"/>
          <w:spacing w:val="0"/>
          <w:sz w:val="21"/>
          <w:szCs w:val="21"/>
          <w:lang w:val="en-US" w:eastAsia="zh-CN"/>
        </w:rPr>
      </w:pPr>
    </w:p>
    <w:p>
      <w:pPr>
        <w:numPr>
          <w:numId w:val="0"/>
        </w:numPr>
        <w:jc w:val="both"/>
        <w:rPr>
          <w:rFonts w:hint="eastAsia" w:ascii="Segoe UI" w:hAnsi="Segoe UI" w:eastAsia="Segoe UI" w:cs="Segoe UI"/>
          <w:i w:val="0"/>
          <w:iCs w:val="0"/>
          <w:caps w:val="0"/>
          <w:color w:val="101214"/>
          <w:spacing w:val="0"/>
          <w:sz w:val="32"/>
          <w:szCs w:val="32"/>
          <w:shd w:val="clear" w:fill="FFFFFF"/>
        </w:rPr>
      </w:pPr>
      <w:r>
        <w:rPr>
          <w:rFonts w:hint="eastAsia" w:ascii="Segoe UI" w:hAnsi="Segoe UI" w:eastAsia="宋体" w:cs="Segoe UI"/>
          <w:i w:val="0"/>
          <w:iCs w:val="0"/>
          <w:caps w:val="0"/>
          <w:color w:val="101214"/>
          <w:spacing w:val="0"/>
          <w:sz w:val="32"/>
          <w:szCs w:val="32"/>
          <w:shd w:val="clear" w:fill="FFFFFF"/>
          <w:lang w:val="en-US" w:eastAsia="zh-CN"/>
        </w:rPr>
        <w:t>一．</w:t>
      </w:r>
      <w:r>
        <w:rPr>
          <w:rFonts w:hint="eastAsia" w:ascii="Segoe UI" w:hAnsi="Segoe UI" w:eastAsia="Segoe UI" w:cs="Segoe UI"/>
          <w:i w:val="0"/>
          <w:iCs w:val="0"/>
          <w:caps w:val="0"/>
          <w:color w:val="101214"/>
          <w:spacing w:val="0"/>
          <w:sz w:val="32"/>
          <w:szCs w:val="32"/>
          <w:shd w:val="clear" w:fill="FFFFFF"/>
        </w:rPr>
        <w:t>Introduction</w:t>
      </w:r>
    </w:p>
    <w:p>
      <w:pPr>
        <w:numPr>
          <w:numId w:val="0"/>
        </w:numPr>
        <w:jc w:val="both"/>
        <w:rPr>
          <w:rFonts w:hint="default" w:ascii="Segoe UI" w:hAnsi="Segoe UI" w:eastAsia="Segoe UI" w:cs="Segoe UI"/>
          <w:i w:val="0"/>
          <w:iCs w:val="0"/>
          <w:caps w:val="0"/>
          <w:color w:val="101214"/>
          <w:spacing w:val="0"/>
          <w:sz w:val="21"/>
          <w:szCs w:val="21"/>
        </w:rPr>
      </w:pPr>
      <w:r>
        <w:rPr>
          <w:rFonts w:hint="eastAsia" w:ascii="Segoe UI" w:hAnsi="Segoe UI" w:eastAsia="Segoe UI" w:cs="Segoe UI"/>
          <w:i w:val="0"/>
          <w:iCs w:val="0"/>
          <w:caps w:val="0"/>
          <w:color w:val="101214"/>
          <w:spacing w:val="0"/>
          <w:sz w:val="21"/>
          <w:szCs w:val="21"/>
          <w:shd w:val="clear" w:fill="FFFFFF"/>
        </w:rPr>
        <w:t>How to apply the theory of second language acquisition to classroom practice as "a source of insight into the teaching and/or learning process"(Larsen-Freeman &amp; Long, 1991) deserves further exploration by second language teaching professionals.</w:t>
      </w:r>
      <w:r>
        <w:rPr>
          <w:rFonts w:hint="default" w:ascii="Segoe UI" w:hAnsi="Segoe UI" w:eastAsia="Segoe UI" w:cs="Segoe UI"/>
          <w:i w:val="0"/>
          <w:iCs w:val="0"/>
          <w:caps w:val="0"/>
          <w:color w:val="101214"/>
          <w:spacing w:val="0"/>
          <w:sz w:val="21"/>
          <w:szCs w:val="21"/>
        </w:rPr>
        <w:t xml:space="preserve"> This is why Lightbow and Spada</w:t>
      </w:r>
      <w:r>
        <w:rPr>
          <w:rFonts w:hint="default"/>
        </w:rPr>
        <w:t>(1993: 71)</w:t>
      </w:r>
      <w:r>
        <w:rPr>
          <w:rFonts w:hint="eastAsia"/>
          <w:lang w:val="en-US" w:eastAsia="zh-CN"/>
        </w:rPr>
        <w:t xml:space="preserve"> </w:t>
      </w:r>
      <w:r>
        <w:rPr>
          <w:rFonts w:hint="default" w:ascii="Segoe UI" w:hAnsi="Segoe UI" w:eastAsia="Segoe UI" w:cs="Segoe UI"/>
          <w:i w:val="0"/>
          <w:iCs w:val="0"/>
          <w:caps w:val="0"/>
          <w:color w:val="101214"/>
          <w:spacing w:val="0"/>
          <w:sz w:val="21"/>
          <w:szCs w:val="21"/>
        </w:rPr>
        <w:t>argue that "understanding learners' language development helps teachers evaluate the teaching process based on how they can reasonably expect language abilities, learning motivations, and learning attitudes to affect learners".</w:t>
      </w:r>
    </w:p>
    <w:p>
      <w:pPr>
        <w:numPr>
          <w:numId w:val="0"/>
        </w:numPr>
        <w:jc w:val="both"/>
        <w:rPr>
          <w:rFonts w:hint="eastAsia" w:ascii="Segoe UI" w:hAnsi="Segoe UI" w:eastAsia="Segoe UI" w:cs="Segoe UI"/>
          <w:i w:val="0"/>
          <w:iCs w:val="0"/>
          <w:caps w:val="0"/>
          <w:color w:val="101214"/>
          <w:spacing w:val="0"/>
          <w:sz w:val="21"/>
          <w:szCs w:val="21"/>
          <w:lang w:val="en-US" w:eastAsia="zh-CN"/>
        </w:rPr>
      </w:pP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二．</w:t>
      </w:r>
      <w:r>
        <w:rPr>
          <w:rFonts w:hint="default" w:ascii="Segoe UI" w:hAnsi="Segoe UI" w:eastAsia="Segoe UI" w:cs="Segoe UI"/>
          <w:i w:val="0"/>
          <w:iCs w:val="0"/>
          <w:caps w:val="0"/>
          <w:color w:val="101214"/>
          <w:spacing w:val="0"/>
          <w:sz w:val="32"/>
          <w:szCs w:val="32"/>
          <w:lang w:val="en-US" w:eastAsia="zh-CN"/>
        </w:rPr>
        <w:t xml:space="preserve">Analysis of the main factors affecting second Language acquisition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According to domestic and foreign studies on individual differences affecting second language acquisition, the main factors leading to the difference in learning level and speed of second language learners are: learner's age, intelligence, motivation, attitude and preference. Rod Ellis, known as the "father of second language teaching", pointed out that "any explanation of second language acquisition that does not fully consider the role of individual learner differences is incomplete". What Ellis said illustrates the important role of learner factors in second language acquisition.</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1. Age of learners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Age is an important factor in second language acquisition. The critical period hypothesis holds that there is a critical period of language learning in human life. In other words, in the critical period, the efficiency and success rate of language learning will be greatly improved. The hypothesis is that as the brain grows and matures, so does the ability to learn language. It has been suggested that after puberty, people have difficulty speaking a second language in their native language. This hypothesis supports the idea that the earlier you start learning a foreign language, the better your grades will be. Later, linguist Stephen Krashen's theory of second language acquisition suggested that children are better at mastering language than adults. Especially in pronunciation, children's pronunciation is more authentic than adults, closer to the native accent. Although children have an advantage in pronunciation when learning a language, adults also acquire a language faster than children because of their stronger logical thinking ability and certain advantages in grammar. So why are there such big differences in second language acquisition between children and adults?</w:t>
      </w:r>
      <w:r>
        <w:rPr>
          <w:rFonts w:hint="eastAsia" w:ascii="Segoe UI" w:hAnsi="Segoe UI" w:eastAsia="Segoe UI" w:cs="Segoe UI"/>
          <w:i w:val="0"/>
          <w:iCs w:val="0"/>
          <w:caps w:val="0"/>
          <w:color w:val="101214"/>
          <w:spacing w:val="0"/>
          <w:sz w:val="21"/>
          <w:szCs w:val="21"/>
          <w:shd w:val="clear" w:fill="FFFFFF"/>
        </w:rPr>
        <w:t>The first reason is that when children learn a second language, their mother tongue acquisition is not yet complete.</w:t>
      </w:r>
      <w:r>
        <w:rPr>
          <w:rFonts w:hint="default" w:ascii="Segoe UI" w:hAnsi="Segoe UI" w:eastAsia="Segoe UI" w:cs="Segoe UI"/>
          <w:i w:val="0"/>
          <w:iCs w:val="0"/>
          <w:caps w:val="0"/>
          <w:color w:val="101214"/>
          <w:spacing w:val="0"/>
          <w:sz w:val="21"/>
          <w:szCs w:val="21"/>
          <w:shd w:val="clear" w:fill="FFFFFF"/>
        </w:rPr>
        <w:t xml:space="preserve"> As a result, when children learn both languages at the same time, the two languages can complement each other with very little interference. Therefore, children can acquire a second language using the innate language acquisition mechanism. However, when a person learns a second language, first language acquisition has been completed, and mother language has a transfer effect on second language acquisition. Therefore, language mechanisms cannot be used when learning a second language. Therefore, children's second language acquisition is closer to natural acquisition, while adults acquire second language mainly through artificial acquisition such as classroom learning. Secondly, because children are not as important as adults in learning a second language and don't practice for fear of making mistakes, they have more opportunities to communicate with native speakers than adults and have more opportunities to practice pronunciation. There is more language output and input, and a more positive attitude towards second language acquisition than adults. In contrast, adults learn a second language on the basis of their mother tongue, and through scientific thinking ability, it is easier than children to master grammar knowledge and adapt to the teaching mode. Therefore, in the process of second language acquisition, children have an advantage in pronunciation and are more likely to acquire idiomatic pronunciation, while adults are in a dominant position in systematic grammar learning and have stronger abstract thinking ability. This indicates the effect of age on second language acquisition. Since both children and adults have their own advantages and disadvantages in the second language acquisition process, teachers should formulate teaching plans and contents according to the characteristics of learners at different stages and truly teach students in accordance with their aptitude. In pronunciation learning, we should start from the baby, train the child's second language pronunciation, and form authentic pronunciation. According to the physical development characteristics of children, the curriculum of second language acquisition for children should be more diversified. Visual teaching methods such as games and images can be adopted to allow children to learn and participate in games. In addition, since children's second language acquisition is closer to natural acquisition, teachers should also strive to create a natural learning environment, by setting up English corners, listening to foreign language radio and other ways to practice children's pronunciation. Adults' logical thinking ability and self-control ability are much stronger than children, and their learning goals are more clear. Teachers can pay attention to teaching and improve adults' listening, speaking, reading and writing abilities. The relationship between age and second language acquisition is unstable. For example, adults can also get good language acquisition results if they are exposed to the context of the target language for a long time.</w:t>
      </w:r>
      <w:r>
        <w:rPr>
          <w:rFonts w:hint="default" w:ascii="Segoe UI" w:hAnsi="Segoe UI" w:eastAsia="Segoe UI" w:cs="Segoe UI"/>
          <w:i w:val="0"/>
          <w:iCs w:val="0"/>
          <w:caps w:val="0"/>
          <w:color w:val="101214"/>
          <w:spacing w:val="0"/>
          <w:sz w:val="21"/>
          <w:szCs w:val="21"/>
        </w:rPr>
        <w:t xml:space="preserve"> Although this situation is just one example, it can prove to some extent that adults can learn a second foreign language well.</w:t>
      </w:r>
      <w:r>
        <w:rPr>
          <w:rFonts w:hint="default" w:ascii="Segoe UI" w:hAnsi="Segoe UI" w:eastAsia="Segoe UI" w:cs="Segoe UI"/>
          <w:i w:val="0"/>
          <w:iCs w:val="0"/>
          <w:caps w:val="0"/>
          <w:color w:val="101214"/>
          <w:spacing w:val="0"/>
          <w:sz w:val="21"/>
          <w:szCs w:val="21"/>
          <w:shd w:val="clear" w:fill="FFFFFF"/>
        </w:rPr>
        <w:t xml:space="preserve"> In addition, if adult second language learners are sufficiently motivated, receiving good instruction can also lead to good learning outcomes.</w:t>
      </w:r>
    </w:p>
    <w:p>
      <w:pPr>
        <w:numPr>
          <w:ilvl w:val="0"/>
          <w:numId w:val="1"/>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Language aptitude</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On learning aptitude, Carroll (1981) summarized it as the ability of learning objects, which is equivalent to the degree of acquiring or learning something quickly. Generally speaking, people always refer to the cognitive quality required for learning a foreign language as foreign language learning aptitude, and in language learning, language learning</w:t>
      </w:r>
      <w:r>
        <w:rPr>
          <w:rFonts w:hint="eastAsia" w:ascii="Segoe UI" w:hAnsi="Segoe UI" w:eastAsia="Segoe UI" w:cs="Segoe UI"/>
          <w:i w:val="0"/>
          <w:iCs w:val="0"/>
          <w:caps w:val="0"/>
          <w:color w:val="101214"/>
          <w:spacing w:val="0"/>
          <w:sz w:val="21"/>
          <w:szCs w:val="21"/>
          <w:lang w:val="en-US" w:eastAsia="zh-CN"/>
        </w:rPr>
        <w:t xml:space="preserve"> </w:t>
      </w:r>
      <w:r>
        <w:rPr>
          <w:rFonts w:hint="default" w:ascii="Segoe UI" w:hAnsi="Segoe UI" w:eastAsia="Segoe UI" w:cs="Segoe UI"/>
          <w:i w:val="0"/>
          <w:iCs w:val="0"/>
          <w:caps w:val="0"/>
          <w:color w:val="101214"/>
          <w:spacing w:val="0"/>
          <w:sz w:val="21"/>
          <w:szCs w:val="21"/>
          <w:lang w:val="en-US" w:eastAsia="zh-CN"/>
        </w:rPr>
        <w:t>aptitude is the learner's potential ability to learn a second language. Learning aptitude is an intrinsic factor in language learning. Learners with high learning aptitude may be better at language learning than those with relatively low learning ability. Carroll (1965) believed that linguistics could roughly include fouraptitude: ① Language encoding and decoding ability refers to the ability to encode, decode and absorb speech. Language sensitivity refers to the ability to recognize the grammatical functions of the mother tongue and the ability to memorize large amounts of materials. The inductive ability of language learning refers to the ability to summarize language patterns from original language materials. Learning</w:t>
      </w:r>
      <w:r>
        <w:rPr>
          <w:rFonts w:hint="eastAsia" w:ascii="Segoe UI" w:hAnsi="Segoe UI" w:eastAsia="Segoe UI" w:cs="Segoe UI"/>
          <w:i w:val="0"/>
          <w:iCs w:val="0"/>
          <w:caps w:val="0"/>
          <w:color w:val="101214"/>
          <w:spacing w:val="0"/>
          <w:sz w:val="21"/>
          <w:szCs w:val="21"/>
          <w:lang w:val="en-US" w:eastAsia="zh-CN"/>
        </w:rPr>
        <w:t xml:space="preserve"> </w:t>
      </w:r>
      <w:r>
        <w:rPr>
          <w:rFonts w:hint="default" w:ascii="Segoe UI" w:hAnsi="Segoe UI" w:eastAsia="Segoe UI" w:cs="Segoe UI"/>
          <w:i w:val="0"/>
          <w:iCs w:val="0"/>
          <w:caps w:val="0"/>
          <w:color w:val="101214"/>
          <w:spacing w:val="0"/>
          <w:sz w:val="21"/>
          <w:szCs w:val="21"/>
          <w:lang w:val="en-US" w:eastAsia="zh-CN"/>
        </w:rPr>
        <w:t>aptitude is an important factor in language learning, although it is not considered a second language learning</w:t>
      </w:r>
      <w:r>
        <w:rPr>
          <w:rFonts w:hint="eastAsia" w:ascii="Segoe UI" w:hAnsi="Segoe UI" w:eastAsia="Segoe UI" w:cs="Segoe UI"/>
          <w:i w:val="0"/>
          <w:iCs w:val="0"/>
          <w:caps w:val="0"/>
          <w:color w:val="101214"/>
          <w:spacing w:val="0"/>
          <w:sz w:val="21"/>
          <w:szCs w:val="21"/>
          <w:lang w:val="en-US" w:eastAsia="zh-CN"/>
        </w:rPr>
        <w:t xml:space="preserve">. </w:t>
      </w:r>
      <w:r>
        <w:rPr>
          <w:rFonts w:hint="default" w:ascii="Segoe UI" w:hAnsi="Segoe UI" w:eastAsia="Segoe UI" w:cs="Segoe UI"/>
          <w:i w:val="0"/>
          <w:iCs w:val="0"/>
          <w:caps w:val="0"/>
          <w:color w:val="101214"/>
          <w:spacing w:val="0"/>
          <w:sz w:val="21"/>
          <w:szCs w:val="21"/>
          <w:lang w:val="en-US" w:eastAsia="zh-CN"/>
        </w:rPr>
        <w:t>"Necessary for the acquisition of a language, but affecting the speed and difficulty of language learning". Different learners show individual differences in language learning</w:t>
      </w:r>
      <w:r>
        <w:rPr>
          <w:rFonts w:hint="eastAsia" w:ascii="Segoe UI" w:hAnsi="Segoe UI" w:eastAsia="Segoe UI" w:cs="Segoe UI"/>
          <w:i w:val="0"/>
          <w:iCs w:val="0"/>
          <w:caps w:val="0"/>
          <w:color w:val="101214"/>
          <w:spacing w:val="0"/>
          <w:sz w:val="21"/>
          <w:szCs w:val="21"/>
          <w:lang w:val="en-US" w:eastAsia="zh-CN"/>
        </w:rPr>
        <w:t xml:space="preserve"> </w:t>
      </w:r>
      <w:r>
        <w:rPr>
          <w:rFonts w:hint="default" w:ascii="Segoe UI" w:hAnsi="Segoe UI" w:eastAsia="Segoe UI" w:cs="Segoe UI"/>
          <w:i w:val="0"/>
          <w:iCs w:val="0"/>
          <w:caps w:val="0"/>
          <w:color w:val="101214"/>
          <w:spacing w:val="0"/>
          <w:sz w:val="21"/>
          <w:szCs w:val="21"/>
          <w:lang w:val="en-US" w:eastAsia="zh-CN"/>
        </w:rPr>
        <w:t>aptitude. Some learners may have higher proficiency in all four language skills, while more learners show higher proficiency in one or both. Studies have shown that when they are taught strong academic abilities, they make significant progress and show great interest. From some studies, we can see that when students are taught about their strong academic abilities, they enjoy it</w:t>
      </w:r>
      <w:r>
        <w:rPr>
          <w:rFonts w:hint="eastAsia" w:ascii="Segoe UI" w:hAnsi="Segoe UI" w:eastAsia="Segoe UI" w:cs="Segoe UI"/>
          <w:i w:val="0"/>
          <w:iCs w:val="0"/>
          <w:caps w:val="0"/>
          <w:color w:val="101214"/>
          <w:spacing w:val="0"/>
          <w:sz w:val="21"/>
          <w:szCs w:val="21"/>
          <w:lang w:val="en-US" w:eastAsia="zh-CN"/>
        </w:rPr>
        <w:t xml:space="preserve">. </w:t>
      </w:r>
      <w:r>
        <w:rPr>
          <w:rFonts w:hint="default" w:ascii="Segoe UI" w:hAnsi="Segoe UI" w:eastAsia="Segoe UI" w:cs="Segoe UI"/>
          <w:i w:val="0"/>
          <w:iCs w:val="0"/>
          <w:caps w:val="0"/>
          <w:color w:val="101214"/>
          <w:spacing w:val="0"/>
          <w:sz w:val="21"/>
          <w:szCs w:val="21"/>
          <w:lang w:val="en-US" w:eastAsia="zh-CN"/>
        </w:rPr>
        <w:t>In the classroom, the learning results are ideal, and vice versa. It seems that learners' different learning aptitude also have a great impact on language learning outcomes, which should be taken into account by teachers in the teaching process. Of course, success in language learning involves a combination of different learning aptitude, but various learning aptitude are also affected by other factors, such as age.</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3. Learner preference </w:t>
      </w:r>
    </w:p>
    <w:p>
      <w:pPr>
        <w:numPr>
          <w:numId w:val="0"/>
        </w:numPr>
        <w:jc w:val="both"/>
        <w:rPr>
          <w:rFonts w:hint="eastAsia"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Learners' cognitive styles of cheating can be roughly divided into three types: perceptual type, cognitive type and personality type. Perceptual cognitive mode, also known as sensory cognitive mode, is a learner who perceives and acquires knowledge mainly through the eyes, ears and other organs. Specifically, it includes visual learning (primarily through the eyes), auditory learning (through the ear), reading and writing (through text), tactile learning (through touch), and practical dynamic learning (through body movements). Visual learners prefer to learn by reading and rely on the use of a variety of learning materials. They are more likely than teachers to learn by writing on a board. They expect more from teachers in PPT, including pictures, sentence patterns and traditional grammar translation teaching methods. Usually, they expect teachers to write more and speak less. Auditory learners prefer to learn by hearing. These learners are more likely to choose a communicative approach to learning rather than using a lot of reading material on their own. In formal learning, oral teaching method, situational teaching method, listening and speaking teaching method are more popular. Tactile learners are very similar to motor learners. Tactile learners prefer to learn by hand touch, while the latter prefer to use practical methods to learn. The system response approach applies to two types of learners. Cognitive styles include domain dependent type and domain independent type, global type and sequential type, convergent type and divergent type, focusing type and scanning type. These types intersect in many places. Field independent and field dependent types are the most widely studied of these types.</w:t>
      </w:r>
      <w:r>
        <w:rPr>
          <w:rFonts w:hint="eastAsia" w:ascii="Segoe UI" w:hAnsi="Segoe UI" w:eastAsia="Segoe UI" w:cs="Segoe UI"/>
          <w:i w:val="0"/>
          <w:iCs w:val="0"/>
          <w:caps w:val="0"/>
          <w:color w:val="101214"/>
          <w:spacing w:val="0"/>
          <w:sz w:val="21"/>
          <w:szCs w:val="21"/>
          <w:lang w:val="en-US" w:eastAsia="zh-CN"/>
        </w:rPr>
        <w:t xml:space="preserve"> Domain independent learners are also called analytical learners. They pay more attention to details in English learning and divide the whole into several details to learn. This type of learner is analytical and can grasp more accurate meaning by analyzing the structure of paragraphs or sections. Domain-dependent learners are better at holistic learning. Whether it is a whole article or a sentence, they pay more attention to learning as a whole. From the perspective of the learner's personality, the personality cognitive style includes contemplative type and impulsive type. Reflective learners focus more on accuracy than fluency. They think about what they want to say and what they want to write. This type of learner tries to avoid making mistakes and takes great care in learning. Impulsive learners are always more articulate and focus more on fluency than accuracy, which is why impulsive learners make more mistakes during learning. </w:t>
      </w:r>
    </w:p>
    <w:p>
      <w:pPr>
        <w:numPr>
          <w:numId w:val="0"/>
        </w:numPr>
        <w:ind w:firstLine="210" w:firstLineChars="100"/>
        <w:jc w:val="both"/>
        <w:rPr>
          <w:rFonts w:hint="eastAsia"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There are no good or bad learning style preferences and they should be encouraged to use all available means in the process of learning another language. At the very least, the study of learning styles should make us question whether a particular teaching method or textbook will meet the needs of all learners.</w:t>
      </w:r>
    </w:p>
    <w:p>
      <w:pPr>
        <w:numPr>
          <w:numId w:val="0"/>
        </w:numPr>
        <w:ind w:leftChars="0"/>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4.L</w:t>
      </w:r>
      <w:r>
        <w:rPr>
          <w:rFonts w:hint="default" w:ascii="Segoe UI" w:hAnsi="Segoe UI" w:eastAsia="Segoe UI" w:cs="Segoe UI"/>
          <w:i w:val="0"/>
          <w:iCs w:val="0"/>
          <w:caps w:val="0"/>
          <w:color w:val="101214"/>
          <w:spacing w:val="0"/>
          <w:sz w:val="21"/>
          <w:szCs w:val="21"/>
          <w:lang w:val="en-US" w:eastAsia="zh-CN"/>
        </w:rPr>
        <w:t xml:space="preserve">earning motivation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Gardner defines motivation for second language acquisition as a combination of effort, a desire to achieve a goal, and a positive attitude toward language learning. Gardner and Lambert further divide motivation into synthetic motivation and instrumental motivation. Comprehensive motivation means that language learning is a process of personal growth and cultural enrichment. Comprehensive learners have a stronger desire for language learning, a more positive attitude towards learning situations, and are more inclined to spend more energy on language learning. Instrumental motivation refers to achieving more immediate and practical goals through language learning. It is through second language acquisition that there is some social or economic reward, so the reasons for language learning based on instrumental motivation are more functional. Instrumental motivation becomes more pronounced when learners lack the opportunity to use the target language in the foreign language learning environment.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Learning motivation is an important variable among learning factors and plays an important role in second language acquisition. Research shows that successful learners are highly motivated to learn. Learners with strong motivation are active in language learning, willing to make more efforts, and actively seize various opportunities to learn a foreign language. Therefore, for foreign language teachers, finding effective strategies and methods to stimulate learners' learning motivation is an important step for teaching success.</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T</w:t>
      </w:r>
      <w:r>
        <w:rPr>
          <w:rFonts w:hint="default" w:ascii="Segoe UI" w:hAnsi="Segoe UI" w:eastAsia="Segoe UI" w:cs="Segoe UI"/>
          <w:i w:val="0"/>
          <w:iCs w:val="0"/>
          <w:caps w:val="0"/>
          <w:color w:val="101214"/>
          <w:spacing w:val="0"/>
          <w:sz w:val="21"/>
          <w:szCs w:val="21"/>
          <w:lang w:val="en-US" w:eastAsia="zh-CN"/>
        </w:rPr>
        <w:t xml:space="preserve">he implications of learning Motivation for teaching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(1) The role of dynamic learning motivation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According to Dornyei, when studying learning motivation, how does learning motivation come into being? Birth, change and development cannot be separated from time. Therefore, it is particularly important to study students' motivation for long-term learning. At the same time, it has a dynamic perspective on students' learning motivation, which is of great practical significance in both fields. Firstly, teachers can effectively maintain students' learning enthusiasm through systematic incentive strategies. Secondly, the formation of learner self-control can effectively help learners control their emotional state, thus affecting their learning attitude.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(2) Feasible plans to maintain learning motivation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Considering the influence of learning motivation on students' learning results, the way teachers motivate students to learn should be regarded as the main way to improve the teaching effect. However, practical methods of maintaining learning motivation have not received due attention from researchers. Instead, teachers now rely more on chaotic teaching methods. The main reason for this phenomenon is that researchers in this field pay too much attention to the concept of learning motivation itself. Still, some researchers have come up with viable solutions for classroom instruction.</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1. Protect students' self-esteem and enhance their self-confidence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Teachers should protect students' self-esteem and help students build up self-confidence, which is the most important and often neglected part of teachers' incentive teaching practice. Dornyei</w:t>
      </w:r>
      <w:r>
        <w:rPr>
          <w:rFonts w:hint="eastAsia" w:ascii="Segoe UI" w:hAnsi="Segoe UI" w:eastAsia="Segoe UI" w:cs="Segoe UI"/>
          <w:i w:val="0"/>
          <w:iCs w:val="0"/>
          <w:caps w:val="0"/>
          <w:color w:val="101214"/>
          <w:spacing w:val="0"/>
          <w:sz w:val="21"/>
          <w:szCs w:val="21"/>
          <w:lang w:val="en-US" w:eastAsia="zh-CN"/>
        </w:rPr>
        <w:t xml:space="preserve"> </w:t>
      </w:r>
      <w:r>
        <w:rPr>
          <w:rFonts w:hint="default" w:ascii="Segoe UI" w:hAnsi="Segoe UI" w:eastAsia="Segoe UI" w:cs="Segoe UI"/>
          <w:i w:val="0"/>
          <w:iCs w:val="0"/>
          <w:caps w:val="0"/>
          <w:color w:val="101214"/>
          <w:spacing w:val="0"/>
          <w:sz w:val="21"/>
          <w:szCs w:val="21"/>
          <w:lang w:val="en-US" w:eastAsia="zh-CN"/>
        </w:rPr>
        <w:t xml:space="preserve">believes that learners' self-esteem and self-confidence are closely related to their psychological factors. Many students with low self-confidence are caused by fear of failure, so teachers should provide these students with opportunities to succeed through experiments. This means that teachers should provide opportunities for students to boost their self-confidence by designing activities that every student can do. At the same time, once students make progress in Chinese learning, teachers should give positive feedback. In this way, a virtuous circle will be formed. The enhancement of students' self-confidence will not only have a positive impact on their future study, but also encourage students to make progress together. Therefore, teachers encourage students to believe in their ability to succeed. In many cases, a word can have an unexpected effect, and my teaching experience has confirmed this view. Covington's self-worth theory also confirms this point. Covington's theory of self-worth emphasizes that humans seek personal worth when they encounter competition, failure, and negative evaluation, all experiences that students often encounter in the classroom. Therefore, teachers should encourage students even if their progress is not obvious. </w:t>
      </w:r>
    </w:p>
    <w:p>
      <w:pPr>
        <w:numPr>
          <w:numId w:val="0"/>
        </w:numPr>
        <w:ind w:leftChars="0"/>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2.</w:t>
      </w:r>
      <w:r>
        <w:rPr>
          <w:rFonts w:hint="default" w:ascii="Segoe UI" w:hAnsi="Segoe UI" w:eastAsia="Segoe UI" w:cs="Segoe UI"/>
          <w:i w:val="0"/>
          <w:iCs w:val="0"/>
          <w:caps w:val="0"/>
          <w:color w:val="101214"/>
          <w:spacing w:val="0"/>
          <w:sz w:val="21"/>
          <w:szCs w:val="21"/>
          <w:lang w:val="en-US" w:eastAsia="zh-CN"/>
        </w:rPr>
        <w:t xml:space="preserve">Promote students' independent learning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Classroom learning is far from enough for students, so it reflects the importance of how to guide students to learn independently. "Autonomy" is a popular term in the field of educational psychology, which can also be called "self-regulation". The famous autonomous determinism also emphasizes the relationship between learning motivation and autonomous learning. Self-determination theory emphasizes that motivation is based on free choice. We also practice this method in teaching. We attach great importance to the amount of extracurricular reading and hope to improve students' reading ability by arranging reading English literature. Of course, students should not only pay attention to the content of the composition, but also write down the theme and character analysis of the work. This not only improves students' reading skills, but also their writing skills. As a result, students who consistently completed their assignments each semester improved their reading and writing skills significantly more than those who didn't.</w:t>
      </w:r>
    </w:p>
    <w:p>
      <w:pPr>
        <w:numPr>
          <w:ilvl w:val="0"/>
          <w:numId w:val="1"/>
        </w:numPr>
        <w:ind w:left="0" w:leftChars="0" w:firstLine="0" w:firstLineChars="0"/>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shd w:val="clear" w:fill="FFFFFF"/>
        </w:rPr>
        <w:t>Emphasize formative rather than terminal evaluation</w:t>
      </w:r>
      <w:r>
        <w:rPr>
          <w:rFonts w:hint="default" w:ascii="Segoe UI" w:hAnsi="Segoe UI" w:eastAsia="Segoe UI" w:cs="Segoe UI"/>
          <w:i w:val="0"/>
          <w:iCs w:val="0"/>
          <w:caps w:val="0"/>
          <w:color w:val="101214"/>
          <w:spacing w:val="0"/>
          <w:sz w:val="21"/>
          <w:szCs w:val="21"/>
          <w:lang w:val="en-US" w:eastAsia="zh-CN"/>
        </w:rPr>
        <w:t xml:space="preserve">Falout believes that the purpose of testing is to examine the learning outcomes of students, and formative tests can be a good motivator for students. Of course, if students are to take full advantage of formative tests, they must understand the purpose and function of the tests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"When the formative and terminal test modes are too aligned, students cannot judge the purpose of the test and thus fail to achieve the purpose of the formative test." . In stark contrast to formative tests, summative assessment tests are used because the high stakes of summative assessment may diminish students' enthusiasm for learning. However, due to individual differences between students, each student responds differently to the format of the test, so the results can vary.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Iii. Influence of Second Language Acquisition Factors on Teaching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1. Adhere to the student-centered teaching model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According to the theory of second language acquisition, foreign language teachers should act as instructional guides and designers and constantly update their teaching methods. We should work hard on instructional design and study the process of instructional design and the presentation of knowledge. only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Classes designed according to students' actual situation can really attract students. Only by fully mobilizing the intrinsic needs of students' enthusiasm, initiative and creativity can students truly integrate into foreign language learning.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2. Maximize the intrinsic motivation of students to learn a second language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Students' internal needs play a vital role in learning motivation and are the source of learners' continuous efforts. In the process of second language acquisition, learners' learning requires an effective combination of effort and willingness to master another language. Intrinsic motivation is an innate human ability that can only be stimulated, not cultivated. Therefore, in classroom teaching, teachers should maximize to meet the internal needs of students in the process of second language acquisitio</w:t>
      </w:r>
      <w:r>
        <w:rPr>
          <w:rFonts w:hint="eastAsia" w:ascii="Segoe UI" w:hAnsi="Segoe UI" w:eastAsia="Segoe UI" w:cs="Segoe UI"/>
          <w:i w:val="0"/>
          <w:iCs w:val="0"/>
          <w:caps w:val="0"/>
          <w:color w:val="101214"/>
          <w:spacing w:val="0"/>
          <w:sz w:val="21"/>
          <w:szCs w:val="21"/>
          <w:lang w:val="en-US" w:eastAsia="zh-CN"/>
        </w:rPr>
        <w:t>n.</w:t>
      </w:r>
    </w:p>
    <w:p>
      <w:pPr>
        <w:numPr>
          <w:numId w:val="0"/>
        </w:numPr>
        <w:ind w:leftChars="0"/>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3.</w:t>
      </w:r>
      <w:r>
        <w:rPr>
          <w:rFonts w:hint="default" w:ascii="Segoe UI" w:hAnsi="Segoe UI" w:eastAsia="Segoe UI" w:cs="Segoe UI"/>
          <w:i w:val="0"/>
          <w:iCs w:val="0"/>
          <w:caps w:val="0"/>
          <w:color w:val="101214"/>
          <w:spacing w:val="0"/>
          <w:sz w:val="21"/>
          <w:szCs w:val="21"/>
          <w:lang w:val="en-US" w:eastAsia="zh-CN"/>
        </w:rPr>
        <w:t xml:space="preserve">Teachers should constantly improve teaching methods and strive to create a good classroom atmosphere for students. Teachers can use various multimedia resources to carry out multi-mode teaching, diversified teaching methods, stimulate students' interest in learning, and present the teaching content in a vivid and profound form. Teachers should organize more activities in and out of class to create a real language environment for students. Provide you with more opportunities to export language. The most important thing is to implant the consciousness of self-learning in the unorganized state into the minds of students, liberate students from the teaching ideas in the classroom or school, and guide students to learn English in various forms and ways. </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三．Conclusion</w:t>
      </w:r>
    </w:p>
    <w:p>
      <w:pPr>
        <w:numPr>
          <w:numId w:val="0"/>
        </w:numPr>
        <w:ind w:firstLine="210" w:firstLineChars="100"/>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Second language acquisition theory is a comprehensive cognitive theory with many individual differences. This paper explores the cognitive factors (age, motivation, language ability, attitude, and personality) in second language acquisition and their important effects on language learning. Teachers should treat learners with different cognitive factors differently, improve teaching methods constantly, analyze specific problems concretely, and improve classroom teaching effect.</w:t>
      </w:r>
    </w:p>
    <w:p>
      <w:pPr>
        <w:numPr>
          <w:numId w:val="0"/>
        </w:numPr>
        <w:jc w:val="both"/>
        <w:rPr>
          <w:rFonts w:hint="default" w:ascii="Segoe UI" w:hAnsi="Segoe UI" w:eastAsia="Segoe UI" w:cs="Segoe UI"/>
          <w:i w:val="0"/>
          <w:iCs w:val="0"/>
          <w:caps w:val="0"/>
          <w:color w:val="101214"/>
          <w:spacing w:val="0"/>
          <w:sz w:val="21"/>
          <w:szCs w:val="21"/>
          <w:lang w:val="en-US" w:eastAsia="zh-CN"/>
        </w:rPr>
      </w:pP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 xml:space="preserve">                  </w:t>
      </w:r>
    </w:p>
    <w:p>
      <w:pPr>
        <w:rPr>
          <w:rFonts w:hint="eastAsia"/>
          <w:sz w:val="32"/>
          <w:szCs w:val="32"/>
          <w:lang w:val="en-US" w:eastAsia="zh-CN"/>
        </w:rPr>
      </w:pPr>
      <w:r>
        <w:rPr>
          <w:rFonts w:hint="eastAsia"/>
          <w:lang w:val="en-US" w:eastAsia="zh-CN"/>
        </w:rPr>
        <w:t xml:space="preserve">  </w:t>
      </w:r>
      <w:r>
        <w:rPr>
          <w:rFonts w:hint="eastAsia"/>
          <w:sz w:val="32"/>
          <w:szCs w:val="32"/>
          <w:lang w:val="en-US" w:eastAsia="zh-CN"/>
        </w:rPr>
        <w:t xml:space="preserve"> </w:t>
      </w:r>
    </w:p>
    <w:p>
      <w:pPr>
        <w:rPr>
          <w:rFonts w:hint="eastAsia"/>
          <w:sz w:val="32"/>
          <w:szCs w:val="32"/>
          <w:lang w:val="en-US" w:eastAsia="zh-CN"/>
        </w:rPr>
      </w:pPr>
    </w:p>
    <w:p>
      <w:pPr>
        <w:rPr>
          <w:rFonts w:hint="eastAsia"/>
          <w:sz w:val="32"/>
          <w:szCs w:val="32"/>
          <w:lang w:val="en-US" w:eastAsia="zh-CN"/>
        </w:rPr>
      </w:pPr>
    </w:p>
    <w:p>
      <w:pPr>
        <w:ind w:firstLine="3200" w:firstLineChars="1000"/>
        <w:rPr>
          <w:rFonts w:hint="default"/>
          <w:sz w:val="32"/>
          <w:szCs w:val="32"/>
          <w:lang w:val="en-US" w:eastAsia="zh-CN"/>
        </w:rPr>
      </w:pPr>
      <w:bookmarkStart w:id="0" w:name="_GoBack"/>
      <w:bookmarkEnd w:id="0"/>
      <w:r>
        <w:rPr>
          <w:rFonts w:hint="eastAsia"/>
          <w:sz w:val="32"/>
          <w:szCs w:val="32"/>
          <w:lang w:val="en-US" w:eastAsia="zh-CN"/>
        </w:rPr>
        <w:t>Reference</w:t>
      </w: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r>
        <w:rPr>
          <w:rFonts w:hint="default" w:ascii="Calibri" w:hAnsi="Calibri" w:eastAsia="宋体" w:cs="Calibri"/>
          <w:color w:val="000000"/>
          <w:kern w:val="0"/>
          <w:sz w:val="18"/>
          <w:szCs w:val="18"/>
          <w:lang w:val="en-US" w:eastAsia="zh-CN" w:bidi="ar"/>
        </w:rPr>
        <w:t>①Larsen-Freeman, D.&amp; Long, M.H.. And Introduction to Second Language Acquisition Research. London: Longman. 1991.</w:t>
      </w: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r>
        <w:rPr>
          <w:rFonts w:hint="default" w:ascii="Calibri" w:hAnsi="Calibri" w:eastAsia="宋体" w:cs="Calibri"/>
          <w:color w:val="000000"/>
          <w:kern w:val="0"/>
          <w:sz w:val="18"/>
          <w:szCs w:val="18"/>
          <w:lang w:val="en-US" w:eastAsia="zh-CN" w:bidi="ar"/>
        </w:rPr>
        <w:t>②Lightbown, P.M. &amp; Spada, N.. How Languages Are Learned. Oxford: Oxford University Press. 1993.</w:t>
      </w:r>
    </w:p>
    <w:p>
      <w:pPr>
        <w:keepNext w:val="0"/>
        <w:keepLines w:val="0"/>
        <w:widowControl/>
        <w:suppressLineNumbers w:val="0"/>
        <w:jc w:val="left"/>
        <w:rPr>
          <w:rFonts w:hint="default" w:ascii="Times New Roman" w:hAnsi="Times New Roman" w:eastAsia="宋体" w:cs="Times New Roman"/>
          <w:color w:val="000000"/>
          <w:kern w:val="0"/>
          <w:sz w:val="18"/>
          <w:szCs w:val="18"/>
          <w:lang w:val="en-US" w:eastAsia="zh-CN" w:bidi="ar"/>
        </w:rPr>
      </w:pPr>
      <w:r>
        <w:rPr>
          <w:rFonts w:hint="default" w:ascii="Calibri" w:hAnsi="Calibri" w:eastAsia="宋体" w:cs="Calibri"/>
          <w:color w:val="000000"/>
          <w:kern w:val="0"/>
          <w:sz w:val="18"/>
          <w:szCs w:val="18"/>
          <w:lang w:val="en-US" w:eastAsia="zh-CN" w:bidi="ar"/>
        </w:rPr>
        <w:t>③</w:t>
      </w:r>
      <w:r>
        <w:rPr>
          <w:rFonts w:hint="default" w:ascii="Times New Roman" w:hAnsi="Times New Roman" w:eastAsia="宋体" w:cs="Times New Roman"/>
          <w:color w:val="000000"/>
          <w:kern w:val="0"/>
          <w:sz w:val="18"/>
          <w:szCs w:val="18"/>
          <w:lang w:val="en-US" w:eastAsia="zh-CN" w:bidi="ar"/>
        </w:rPr>
        <w:t>Ellis, R. The Study of Second Language Acquisition (2</w:t>
      </w:r>
      <w:r>
        <w:rPr>
          <w:rFonts w:hint="eastAsia" w:ascii="Times New Roman" w:hAnsi="Times New Roman" w:eastAsia="宋体" w:cs="Times New Roman"/>
          <w:color w:val="000000"/>
          <w:kern w:val="0"/>
          <w:sz w:val="18"/>
          <w:szCs w:val="18"/>
          <w:lang w:val="en-US" w:eastAsia="zh-CN" w:bidi="ar"/>
        </w:rPr>
        <w:t xml:space="preserve">nd </w:t>
      </w:r>
      <w:r>
        <w:rPr>
          <w:rFonts w:hint="default" w:ascii="Times New Roman" w:hAnsi="Times New Roman" w:eastAsia="宋体" w:cs="Times New Roman"/>
          <w:color w:val="000000"/>
          <w:kern w:val="0"/>
          <w:sz w:val="18"/>
          <w:szCs w:val="18"/>
          <w:lang w:val="en-US" w:eastAsia="zh-CN" w:bidi="ar"/>
        </w:rPr>
        <w:t xml:space="preserve">edition) [M] . Oxford: Oxford University Press, 2008 </w:t>
      </w:r>
    </w:p>
    <w:p>
      <w:pPr>
        <w:keepNext w:val="0"/>
        <w:keepLines w:val="0"/>
        <w:widowControl/>
        <w:suppressLineNumbers w:val="0"/>
        <w:jc w:val="left"/>
        <w:rPr>
          <w:rFonts w:hint="eastAsia"/>
          <w:lang w:val="en-US" w:eastAsia="zh-CN"/>
        </w:rPr>
      </w:pPr>
      <w:r>
        <w:rPr>
          <w:rFonts w:hint="eastAsia"/>
          <w:lang w:val="en-US" w:eastAsia="zh-CN"/>
        </w:rPr>
        <w:t>Carroll J.Twenty-five years of research on foreign language aptitude[A]. Diller. [C].1981:1081.</w:t>
      </w: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r>
        <w:rPr>
          <w:rFonts w:hint="default" w:ascii="Calibri" w:hAnsi="Calibri" w:eastAsia="宋体" w:cs="Calibri"/>
          <w:color w:val="000000"/>
          <w:kern w:val="0"/>
          <w:sz w:val="18"/>
          <w:szCs w:val="18"/>
          <w:lang w:val="en-US" w:eastAsia="zh-CN" w:bidi="ar"/>
        </w:rPr>
        <w:t>④Dornyei,</w:t>
      </w:r>
      <w:r>
        <w:rPr>
          <w:rFonts w:hint="eastAsia" w:ascii="Calibri" w:hAnsi="Calibri" w:eastAsia="宋体" w:cs="Calibri"/>
          <w:color w:val="000000"/>
          <w:kern w:val="0"/>
          <w:sz w:val="18"/>
          <w:szCs w:val="18"/>
          <w:lang w:val="en-US" w:eastAsia="zh-CN" w:bidi="ar"/>
        </w:rPr>
        <w:t xml:space="preserve"> </w:t>
      </w:r>
      <w:r>
        <w:rPr>
          <w:rFonts w:hint="default" w:ascii="Calibri" w:hAnsi="Calibri" w:eastAsia="宋体" w:cs="Calibri"/>
          <w:color w:val="000000"/>
          <w:kern w:val="0"/>
          <w:sz w:val="18"/>
          <w:szCs w:val="18"/>
          <w:lang w:val="en-US" w:eastAsia="zh-CN" w:bidi="ar"/>
        </w:rPr>
        <w:t xml:space="preserve">Z.Motivation in action:Towards a process-oriented conceptualisation of student motivation [J].British Journal of Educatinal Psychology,2000,70,519-538 </w:t>
      </w: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r>
        <w:rPr>
          <w:rFonts w:hint="default" w:ascii="Calibri" w:hAnsi="Calibri" w:eastAsia="宋体" w:cs="Calibri"/>
          <w:color w:val="000000"/>
          <w:kern w:val="0"/>
          <w:sz w:val="18"/>
          <w:szCs w:val="18"/>
          <w:lang w:val="en-US" w:eastAsia="zh-CN" w:bidi="ar"/>
        </w:rPr>
        <w:t>⑤ Dornyei,</w:t>
      </w:r>
      <w:r>
        <w:rPr>
          <w:rFonts w:hint="eastAsia" w:ascii="Calibri" w:hAnsi="Calibri" w:eastAsia="宋体" w:cs="Calibri"/>
          <w:color w:val="000000"/>
          <w:kern w:val="0"/>
          <w:sz w:val="18"/>
          <w:szCs w:val="18"/>
          <w:lang w:val="en-US" w:eastAsia="zh-CN" w:bidi="ar"/>
        </w:rPr>
        <w:t xml:space="preserve"> </w:t>
      </w:r>
      <w:r>
        <w:rPr>
          <w:rFonts w:hint="default" w:ascii="Calibri" w:hAnsi="Calibri" w:eastAsia="宋体" w:cs="Calibri"/>
          <w:color w:val="000000"/>
          <w:kern w:val="0"/>
          <w:sz w:val="18"/>
          <w:szCs w:val="18"/>
          <w:lang w:val="en-US" w:eastAsia="zh-CN" w:bidi="ar"/>
        </w:rPr>
        <w:t xml:space="preserve">Z.Teaching and Researching Motivation [M]. Edinburgh: Pearson Education Limited.2001 </w:t>
      </w: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r>
        <w:rPr>
          <w:rFonts w:hint="default" w:ascii="Calibri" w:hAnsi="Calibri" w:eastAsia="宋体" w:cs="Calibri"/>
          <w:color w:val="000000"/>
          <w:kern w:val="0"/>
          <w:sz w:val="18"/>
          <w:szCs w:val="18"/>
          <w:lang w:val="en-US" w:eastAsia="zh-CN" w:bidi="ar"/>
        </w:rPr>
        <w:t>⑥ Convington,</w:t>
      </w:r>
      <w:r>
        <w:rPr>
          <w:rFonts w:hint="eastAsia" w:ascii="Calibri" w:hAnsi="Calibri" w:eastAsia="宋体" w:cs="Calibri"/>
          <w:color w:val="000000"/>
          <w:kern w:val="0"/>
          <w:sz w:val="18"/>
          <w:szCs w:val="18"/>
          <w:lang w:val="en-US" w:eastAsia="zh-CN" w:bidi="ar"/>
        </w:rPr>
        <w:t xml:space="preserve"> </w:t>
      </w:r>
      <w:r>
        <w:rPr>
          <w:rFonts w:hint="default" w:ascii="Calibri" w:hAnsi="Calibri" w:eastAsia="宋体" w:cs="Calibri"/>
          <w:color w:val="000000"/>
          <w:kern w:val="0"/>
          <w:sz w:val="18"/>
          <w:szCs w:val="18"/>
          <w:lang w:val="en-US" w:eastAsia="zh-CN" w:bidi="ar"/>
        </w:rPr>
        <w:t xml:space="preserve">M.Making the Grade:A Self-Worth Perspective on Motivation and School Reform [M].Cambridge:Cambridge University Press.1992 </w:t>
      </w: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r>
        <w:rPr>
          <w:rFonts w:hint="default" w:ascii="Calibri" w:hAnsi="Calibri" w:eastAsia="宋体" w:cs="Calibri"/>
          <w:color w:val="000000"/>
          <w:kern w:val="0"/>
          <w:sz w:val="18"/>
          <w:szCs w:val="18"/>
          <w:lang w:val="en-US" w:eastAsia="zh-CN" w:bidi="ar"/>
        </w:rPr>
        <w:t>⑦ Falout,</w:t>
      </w:r>
      <w:r>
        <w:rPr>
          <w:rFonts w:hint="eastAsia" w:ascii="Calibri" w:hAnsi="Calibri" w:eastAsia="宋体" w:cs="Calibri"/>
          <w:color w:val="000000"/>
          <w:kern w:val="0"/>
          <w:sz w:val="18"/>
          <w:szCs w:val="18"/>
          <w:lang w:val="en-US" w:eastAsia="zh-CN" w:bidi="ar"/>
        </w:rPr>
        <w:t xml:space="preserve"> </w:t>
      </w:r>
      <w:r>
        <w:rPr>
          <w:rFonts w:hint="default" w:ascii="Calibri" w:hAnsi="Calibri" w:eastAsia="宋体" w:cs="Calibri"/>
          <w:color w:val="000000"/>
          <w:kern w:val="0"/>
          <w:sz w:val="18"/>
          <w:szCs w:val="18"/>
          <w:lang w:val="en-US" w:eastAsia="zh-CN" w:bidi="ar"/>
        </w:rPr>
        <w:t>J.Pedagogical implications of motivation research:An interview with Ema Ushioda</w:t>
      </w: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r>
        <w:rPr>
          <w:rFonts w:hint="default" w:ascii="Calibri" w:hAnsi="Calibri" w:eastAsia="宋体" w:cs="Calibri"/>
          <w:color w:val="000000"/>
          <w:kern w:val="0"/>
          <w:sz w:val="18"/>
          <w:szCs w:val="18"/>
          <w:lang w:val="en-US" w:eastAsia="zh-CN" w:bidi="ar"/>
        </w:rPr>
        <w:t>[J].The Language Teacher,2011,35(2),25-28</w:t>
      </w: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r>
        <w:rPr>
          <w:rFonts w:hint="eastAsia" w:ascii="Calibri" w:hAnsi="Calibri" w:eastAsia="宋体" w:cs="Calibri"/>
          <w:color w:val="000000"/>
          <w:kern w:val="0"/>
          <w:sz w:val="18"/>
          <w:szCs w:val="18"/>
          <w:lang w:val="en-US" w:eastAsia="zh-CN" w:bidi="ar"/>
        </w:rPr>
        <w:t>⑧</w:t>
      </w:r>
      <w:r>
        <w:rPr>
          <w:rFonts w:hint="default" w:ascii="Calibri" w:hAnsi="Calibri" w:eastAsia="宋体" w:cs="Calibri"/>
          <w:color w:val="000000"/>
          <w:kern w:val="0"/>
          <w:sz w:val="18"/>
          <w:szCs w:val="18"/>
          <w:lang w:val="en-US" w:eastAsia="zh-CN" w:bidi="ar"/>
        </w:rPr>
        <w:t>Candlin, C. N and Mercer, N (2000) English Language Teaching in its Social Context, Routledge London.</w:t>
      </w:r>
    </w:p>
    <w:p>
      <w:pPr>
        <w:keepNext w:val="0"/>
        <w:keepLines w:val="0"/>
        <w:widowControl/>
        <w:suppressLineNumbers w:val="0"/>
        <w:jc w:val="left"/>
      </w:pPr>
    </w:p>
    <w:p/>
    <w:p>
      <w:pPr>
        <w:numPr>
          <w:numId w:val="0"/>
        </w:numPr>
        <w:jc w:val="both"/>
        <w:rPr>
          <w:rFonts w:hint="default" w:ascii="Segoe UI" w:hAnsi="Segoe UI" w:eastAsia="Segoe UI" w:cs="Segoe UI"/>
          <w:i w:val="0"/>
          <w:iCs w:val="0"/>
          <w:caps w:val="0"/>
          <w:color w:val="101214"/>
          <w:spacing w:val="0"/>
          <w:sz w:val="21"/>
          <w:szCs w:val="21"/>
          <w:lang w:val="en-US" w:eastAsia="zh-CN"/>
        </w:rPr>
      </w:pPr>
    </w:p>
    <w:p>
      <w:pPr>
        <w:numPr>
          <w:numId w:val="0"/>
        </w:numPr>
        <w:jc w:val="both"/>
        <w:rPr>
          <w:rFonts w:hint="default" w:ascii="Segoe UI" w:hAnsi="Segoe UI" w:eastAsia="Segoe UI" w:cs="Segoe UI"/>
          <w:i w:val="0"/>
          <w:iCs w:val="0"/>
          <w:caps w:val="0"/>
          <w:color w:val="101214"/>
          <w:spacing w:val="0"/>
          <w:sz w:val="21"/>
          <w:szCs w:val="21"/>
          <w:lang w:val="en-US" w:eastAsia="zh-CN"/>
        </w:rPr>
      </w:pPr>
    </w:p>
    <w:p>
      <w:pPr>
        <w:numPr>
          <w:numId w:val="0"/>
        </w:numPr>
        <w:jc w:val="both"/>
        <w:rPr>
          <w:rFonts w:hint="default" w:ascii="Segoe UI" w:hAnsi="Segoe UI" w:eastAsia="Segoe UI" w:cs="Segoe UI"/>
          <w:i w:val="0"/>
          <w:iCs w:val="0"/>
          <w:caps w:val="0"/>
          <w:color w:val="101214"/>
          <w:spacing w:val="0"/>
          <w:sz w:val="21"/>
          <w:szCs w:val="21"/>
          <w:lang w:val="en-US" w:eastAsia="zh-CN"/>
        </w:rPr>
      </w:pPr>
    </w:p>
    <w:p>
      <w:pPr>
        <w:jc w:val="center"/>
        <w:rPr>
          <w:rFonts w:hint="default" w:ascii="Times New Roman" w:hAnsi="Times New Roman" w:cs="Times New Roman"/>
          <w:sz w:val="32"/>
          <w:szCs w:val="32"/>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9B54839"/>
    <w:multiLevelType w:val="singleLevel"/>
    <w:tmpl w:val="E9B54839"/>
    <w:lvl w:ilvl="0" w:tentative="0">
      <w:start w:val="2"/>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2I4ODYzZTMyZGYyYzY5M2ExOWJmMzg1MmQ1MTIxNDYifQ=="/>
  </w:docVars>
  <w:rsids>
    <w:rsidRoot w:val="00000000"/>
    <w:rsid w:val="14C54AC6"/>
    <w:rsid w:val="466243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uiPriority w:val="0"/>
    <w:rPr>
      <w:sz w:val="2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56</Words>
  <Characters>340</Characters>
  <Lines>0</Lines>
  <Paragraphs>0</Paragraphs>
  <TotalTime>1</TotalTime>
  <ScaleCrop>false</ScaleCrop>
  <LinksUpToDate>false</LinksUpToDate>
  <CharactersWithSpaces>394</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2023-03-27T17:00:00Z</dcterms:created>
  <dc:creator>YHXX</dc:creator>
  <cp:lastModifiedBy>英语课堂</cp:lastModifiedBy>
  <dcterms:modified xsi:type="dcterms:W3CDTF">2023-03-27T17:48:38Z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C1BBFEDCA0B34AA3BCA5A6C763A467FF_12</vt:lpwstr>
  </property>
</Properties>
</file>