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42841" w14:textId="77777777" w:rsidR="00AC06AA" w:rsidRDefault="00AC06AA" w:rsidP="00AC06AA">
      <w:pPr>
        <w:spacing w:before="100" w:beforeAutospacing="1" w:after="100" w:afterAutospacing="1" w:line="240" w:lineRule="auto"/>
        <w:jc w:val="center"/>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“Colonial Violence”</w:t>
      </w:r>
      <w:r>
        <w:rPr>
          <w:rFonts w:ascii="Times New Roman" w:eastAsia="Times New Roman" w:hAnsi="Times New Roman" w:cs="Times New Roman"/>
          <w:color w:val="000000"/>
          <w:kern w:val="0"/>
          <w:lang w:eastAsia="en-GB"/>
          <w14:ligatures w14:val="none"/>
        </w:rPr>
        <w:t xml:space="preserve"> by </w:t>
      </w:r>
      <w:r w:rsidRPr="00E3698F">
        <w:rPr>
          <w:rFonts w:ascii="Times New Roman" w:eastAsia="Times New Roman" w:hAnsi="Times New Roman" w:cs="Times New Roman"/>
          <w:color w:val="000000"/>
          <w:kern w:val="0"/>
          <w:lang w:eastAsia="en-GB"/>
          <w14:ligatures w14:val="none"/>
        </w:rPr>
        <w:t>Deana Heath</w:t>
      </w:r>
    </w:p>
    <w:p w14:paraId="08A9229A" w14:textId="77777777" w:rsidR="00AC06AA" w:rsidRPr="003F261D" w:rsidRDefault="00AC06AA" w:rsidP="00AC06AA">
      <w:pPr>
        <w:rPr>
          <w:rFonts w:ascii="Times New Roman" w:hAnsi="Times New Roman" w:cs="Times New Roman"/>
          <w:lang w:eastAsia="en-GB"/>
        </w:rPr>
      </w:pPr>
      <w:r w:rsidRPr="00E3698F">
        <w:rPr>
          <w:lang w:eastAsia="en-GB"/>
        </w:rPr>
        <w:br/>
      </w:r>
      <w:r w:rsidRPr="003F261D">
        <w:rPr>
          <w:rFonts w:ascii="Times New Roman" w:hAnsi="Times New Roman" w:cs="Times New Roman"/>
          <w:lang w:eastAsia="en-GB"/>
        </w:rPr>
        <w:t>Deana Heath’s chapter “Colonial Violence,” published by Liverpool University Press, functions as a synthetic and programmatic intervention. The chapter presents a succinct but conceptually robust argument urging historians to reconsider the definitions and identification of violence within imperial archives (Heath, 2016). Heath’s expertise in British imperial governance and state violence, as demonstrated in her work </w:t>
      </w:r>
      <w:r w:rsidRPr="003F261D">
        <w:rPr>
          <w:rFonts w:ascii="Times New Roman" w:hAnsi="Times New Roman" w:cs="Times New Roman"/>
          <w:i/>
          <w:iCs/>
          <w:lang w:eastAsia="en-GB"/>
        </w:rPr>
        <w:t>Colonial Terror: Torture and State Violence in Colonial India</w:t>
      </w:r>
      <w:r w:rsidRPr="003F261D">
        <w:rPr>
          <w:rFonts w:ascii="Times New Roman" w:hAnsi="Times New Roman" w:cs="Times New Roman"/>
          <w:lang w:eastAsia="en-GB"/>
        </w:rPr>
        <w:t> (Heath, 2021), shapes the chapter’s analytical orientation. Rather than offering original archival testimony or official reports, the chapter operates as a secondary, historiographical resource designed to assist students and researchers in identifying and theorising evidence of colonial harm.</w:t>
      </w:r>
    </w:p>
    <w:p w14:paraId="5BA13161" w14:textId="77777777" w:rsidR="00AC06AA" w:rsidRPr="003F261D" w:rsidRDefault="00AC06AA" w:rsidP="00AC06AA">
      <w:pPr>
        <w:rPr>
          <w:rFonts w:ascii="Times New Roman" w:hAnsi="Times New Roman" w:cs="Times New Roman"/>
          <w:lang w:eastAsia="en-GB"/>
        </w:rPr>
      </w:pPr>
      <w:r w:rsidRPr="003F261D">
        <w:rPr>
          <w:rFonts w:ascii="Times New Roman" w:hAnsi="Times New Roman" w:cs="Times New Roman"/>
          <w:lang w:eastAsia="en-GB"/>
        </w:rPr>
        <w:br/>
        <w:t>Composed amid heightened public and academic scrutiny of Britain’s imperial legacy, Heath’s chapter engages with debates on curriculum decolonisation, public memorialisation, and the ethics of historical memory (Heath, 2016). The Manifold edition and the chapter’s pedagogical approach indicate that its primary audience includes undergraduate and postgraduate students, as well as scholars entering the field. Heath addresses readers who acknowledge the importance of empire but seek methodological tools to identify forms of violence that have been marginalised in historical narratives, especially those that are routinised and legalised.</w:t>
      </w:r>
    </w:p>
    <w:p w14:paraId="51F0425C" w14:textId="77777777" w:rsidR="00AC06AA" w:rsidRPr="003F261D" w:rsidRDefault="00AC06AA" w:rsidP="00AC06AA">
      <w:pPr>
        <w:rPr>
          <w:rFonts w:ascii="Times New Roman" w:hAnsi="Times New Roman" w:cs="Times New Roman"/>
          <w:lang w:eastAsia="en-GB"/>
        </w:rPr>
      </w:pPr>
      <w:r w:rsidRPr="003F261D">
        <w:rPr>
          <w:rFonts w:ascii="Times New Roman" w:hAnsi="Times New Roman" w:cs="Times New Roman"/>
          <w:lang w:eastAsia="en-GB"/>
        </w:rPr>
        <w:br/>
        <w:t>As a methodological and historiographical synthesis, rather than a primary archival source, the chapter employs instructive rhetorical strategies. Heath delineates key conceptual distinctions, especially between subjective and objective violence, and identifies pertinent archival sources such as court records, police manuals, and visual culture. These selections are explicitly linked to moral obligations, attempting to recognise bodily harm and confront historical amnesia. The chapter adopts a normative stance, pursuing a transformation in research practice by encouraging scholars to expand the definition of evidence and to carefully examine law as a potential source of violence, rather than only as its remedy.</w:t>
      </w:r>
    </w:p>
    <w:p w14:paraId="092EA163" w14:textId="77777777" w:rsidR="00AC06AA" w:rsidRPr="003F261D" w:rsidRDefault="00AC06AA" w:rsidP="00AC06AA">
      <w:pPr>
        <w:rPr>
          <w:rFonts w:ascii="Times New Roman" w:hAnsi="Times New Roman" w:cs="Times New Roman"/>
          <w:lang w:eastAsia="en-GB"/>
        </w:rPr>
      </w:pPr>
      <w:r w:rsidRPr="003F261D">
        <w:rPr>
          <w:rFonts w:ascii="Times New Roman" w:hAnsi="Times New Roman" w:cs="Times New Roman"/>
          <w:lang w:eastAsia="en-GB"/>
        </w:rPr>
        <w:br/>
        <w:t xml:space="preserve">Heath advances three interrelated claims. First, violence under empire should be conceptualised along two axes: subjective violence, encompassing visible, episodic acts such as massacres, rebellions, and punitive expeditions, and objective violence, referring to structural, institutionalised practices that inflict harm through law, the economy, and everyday governance (Heath, 2016; Žižek, 2008). This distinction, informed by Žižek’s analysis, enables historians to recognise the destructive potential of routine bureaucratic practices. Second, Heath underscores law as both an instrument and a legitimising discourse of violence. Drawing on Walter Benjamin’s differentiation between lawmaking and law-preserving violence, she demonstrates that legal frameworks in colonial contexts establish regimes of exception and normalise coercion (Benjamin, 1921). Legal codes, law enforcement methods, and judicial rationales not simply reflect violence but also authorise, </w:t>
      </w:r>
      <w:r w:rsidRPr="003F261D">
        <w:rPr>
          <w:rFonts w:ascii="Times New Roman" w:hAnsi="Times New Roman" w:cs="Times New Roman"/>
          <w:lang w:eastAsia="en-GB"/>
        </w:rPr>
        <w:lastRenderedPageBreak/>
        <w:t>bureaucratise, and render it administratively coherent. Third, Heath foregrounds the racialised logic of colonial governance, described as the “rule of colonial difference” (Heath, 2016). Building on postcolonial theorists such as Partha Chatterjee and Homi Bhabha, the chapter argues that colonial administrations denied the humanity of colonised peoples by portraying them as inherently disorderly or dangerous, thereby legitimising intensified surveillance and disciplinary measures (Chatterjee, 1993; Bhabha, 1994). Ultimately, violence is shown not as an aberration but as the “condition of possibility” for colonial rule, drawing on Foucauldian understandings of power, discipline, and subject formation (Foucault, 1975).</w:t>
      </w:r>
    </w:p>
    <w:p w14:paraId="5CF1FDE6" w14:textId="77777777" w:rsidR="00AC06AA" w:rsidRPr="003F261D" w:rsidRDefault="00AC06AA" w:rsidP="00AC06AA">
      <w:pPr>
        <w:rPr>
          <w:rFonts w:ascii="Times New Roman" w:hAnsi="Times New Roman" w:cs="Times New Roman"/>
          <w:lang w:eastAsia="en-GB"/>
        </w:rPr>
      </w:pPr>
      <w:r w:rsidRPr="003F261D">
        <w:rPr>
          <w:rFonts w:ascii="Times New Roman" w:hAnsi="Times New Roman" w:cs="Times New Roman"/>
          <w:lang w:eastAsia="en-GB"/>
        </w:rPr>
        <w:br/>
        <w:t>Heath’s chapter adopts a pragmatic evidential approach, directing readers to a wide range of sources that reveal different forms of violence. These include parliamentary debates that demonstrate political legitimation, police manuals and judicial records that disclose techniques of control, newspapers and pamphlets that represent public discourse and contestation, and visual culture such as paintings, cartoons, and photographs that reinforce racialised imaginaries. The emphasis on both official and unofficial, textual and visual archives is methodologically significant, as many forms of objective violence are not found in sensational headlines but are instead embedded within bureaucratic records, demographic data, and material culture (Heath, 2016).</w:t>
      </w:r>
    </w:p>
    <w:p w14:paraId="4AA63D77" w14:textId="77777777" w:rsidR="00AC06AA" w:rsidRPr="003F261D" w:rsidRDefault="00AC06AA" w:rsidP="00AC06AA">
      <w:pPr>
        <w:rPr>
          <w:rFonts w:ascii="Times New Roman" w:hAnsi="Times New Roman" w:cs="Times New Roman"/>
          <w:lang w:eastAsia="en-GB"/>
        </w:rPr>
      </w:pPr>
      <w:r w:rsidRPr="003F261D">
        <w:rPr>
          <w:rFonts w:ascii="Times New Roman" w:hAnsi="Times New Roman" w:cs="Times New Roman"/>
          <w:lang w:eastAsia="en-GB"/>
        </w:rPr>
        <w:br/>
        <w:t>The author’s prose merges scholarly precision with rhetorical urgency. Phrases such as “masks of conquest” and “the domestic wreckage of empire” serve as both expressive shorthand and interpretive frameworks, intended to shift readers’ emotional and moral perspectives. Heath incorporates empirical references, including contemporary polling data on British knowledge of empire, to connect historiographical arguments to current public memory and underscore the civic implications of historical scholarship (Heath, 2016). This rhetorical strategy aims to challenge complacency about the perceived benignity of imperial governance and to promote research attentive to bodily suffering and legalised coercion. Nevertheless, a principal limitation of the chapter is its synthetic approach, which cites evidence without providing detailed micro-case studies. Readers searching for comprehensive archival analyses of particular incidents, such as famine administration in Bengal, police torture in Punjab, or settler violence in Kenya, must consult monographs and archival documents. The chapter’s focus on British imperial contexts, particularly India, narrows its comparative scope, with non-British empires and settler colonies addressed only marginally. Furthermore, because Heath’s project is intentionally corrective and foregrounds harm, it should be read in conjunction with works that examine administrative reform, indigenous agency, or comparative perspectives that complicate a singular narrative of coercion.</w:t>
      </w:r>
    </w:p>
    <w:p w14:paraId="6690E10F" w14:textId="77777777" w:rsidR="00AC06AA" w:rsidRDefault="00AC06AA" w:rsidP="00AC06AA">
      <w:pPr>
        <w:rPr>
          <w:rFonts w:ascii="Times New Roman" w:hAnsi="Times New Roman" w:cs="Times New Roman"/>
          <w:lang w:eastAsia="en-GB"/>
        </w:rPr>
      </w:pPr>
      <w:r w:rsidRPr="003F261D">
        <w:rPr>
          <w:rFonts w:ascii="Times New Roman" w:hAnsi="Times New Roman" w:cs="Times New Roman"/>
          <w:lang w:eastAsia="en-GB"/>
        </w:rPr>
        <w:br/>
        <w:t xml:space="preserve">Heath’s chapter makes a significant contribution by redefining violence as ordinary and structural. This reconceptualisation has methodological and ethical consequences, as it expands the range of admissible evidence, legitimises bureaucratic sources as testimony to harm, and situates the historian’s work within current debates about memory and responsibility. By combining theoretical structures (Žižek, Benjamin, Foucault, Fanon) </w:t>
      </w:r>
      <w:r w:rsidRPr="003F261D">
        <w:rPr>
          <w:rFonts w:ascii="Times New Roman" w:hAnsi="Times New Roman" w:cs="Times New Roman"/>
          <w:lang w:eastAsia="en-GB"/>
        </w:rPr>
        <w:lastRenderedPageBreak/>
        <w:t>together with empirical sources, Heath offers a practical toolkit for scholars examining colonial violence (Žižek, 2008; Benjamin, 1921; Foucault, 1977; Fanon, 1961).</w:t>
      </w:r>
    </w:p>
    <w:p w14:paraId="5F16ECB1" w14:textId="77777777" w:rsidR="00AC06AA" w:rsidRPr="003F261D" w:rsidRDefault="00AC06AA" w:rsidP="00AC06AA">
      <w:pPr>
        <w:rPr>
          <w:rFonts w:ascii="Times New Roman" w:hAnsi="Times New Roman" w:cs="Times New Roman"/>
          <w:lang w:eastAsia="en-GB"/>
        </w:rPr>
      </w:pPr>
      <w:r w:rsidRPr="003F261D">
        <w:rPr>
          <w:rFonts w:ascii="Times New Roman" w:hAnsi="Times New Roman" w:cs="Times New Roman"/>
          <w:lang w:eastAsia="en-GB"/>
        </w:rPr>
        <w:br/>
        <w:t>Pedagogically, the chapter serves as an effective primer for students engaged in primary-source research, clarifying where to locate evidence, how to interpret diverse sources, and the significance of theoretical framing. For researchers, it functions as a methodological guide, encouraging cross-genre archival analysis, ethical sensitivity to embodied suffering, and conceptual clarity in distinguishing forms of violence. For public historians and museum professionals, Heath’s emphasis on structural harm offers a model for exhibitions and public narratives which challenge celebratory or sanitised portrayals of empire.</w:t>
      </w:r>
    </w:p>
    <w:p w14:paraId="0D831FE4" w14:textId="77777777" w:rsidR="00AC06AA" w:rsidRPr="003F261D" w:rsidRDefault="00AC06AA" w:rsidP="00AC06AA">
      <w:pPr>
        <w:rPr>
          <w:rFonts w:ascii="Times New Roman" w:hAnsi="Times New Roman" w:cs="Times New Roman"/>
          <w:lang w:eastAsia="en-GB"/>
        </w:rPr>
      </w:pPr>
      <w:r w:rsidRPr="003F261D">
        <w:rPr>
          <w:rFonts w:ascii="Times New Roman" w:hAnsi="Times New Roman" w:cs="Times New Roman"/>
          <w:lang w:eastAsia="en-GB"/>
        </w:rPr>
        <w:br/>
        <w:t>In conclusion, Deana Heath’s “Colonial Violence” serves as a concise and compelling manifesto for a history of empire that acknowledges legal, administrative, and everyday forms of violence. Its principal contribution is conceptual, equipping readers with analytical distinctions and archival strategies that expose the otherwise “invisible” harms of colonial governance. While its synthetic approach limits empirical specificity, the chapter’s methodological clarity establishes it as an essential entry point for students and scholars seeking to recover the embodied and institutionalised realities of imperial violence. When read critically and in conjunction with detailed case studies, it offers a solid framework for centring violence within imperial history.</w:t>
      </w:r>
    </w:p>
    <w:p w14:paraId="7A6B1C48" w14:textId="77777777" w:rsidR="00AC06AA" w:rsidRPr="006141C6" w:rsidRDefault="00AC06AA" w:rsidP="00AC06AA">
      <w:pPr>
        <w:spacing w:after="0" w:line="240" w:lineRule="auto"/>
        <w:rPr>
          <w:rFonts w:ascii="Times New Roman" w:eastAsia="Times New Roman" w:hAnsi="Times New Roman" w:cs="Times New Roman"/>
          <w:color w:val="000000"/>
          <w:kern w:val="0"/>
          <w:lang w:eastAsia="en-GB"/>
          <w14:ligatures w14:val="none"/>
        </w:rPr>
      </w:pPr>
    </w:p>
    <w:p w14:paraId="7A28E7AB" w14:textId="77777777" w:rsidR="00AC06AA" w:rsidRPr="00E3698F" w:rsidRDefault="00AC06AA" w:rsidP="00AC06AA">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E3698F">
        <w:rPr>
          <w:rFonts w:ascii="Times New Roman" w:eastAsia="Times New Roman" w:hAnsi="Times New Roman" w:cs="Times New Roman"/>
          <w:b/>
          <w:bCs/>
          <w:color w:val="000000"/>
          <w:kern w:val="0"/>
          <w:sz w:val="36"/>
          <w:szCs w:val="36"/>
          <w:lang w:eastAsia="en-GB"/>
          <w14:ligatures w14:val="none"/>
        </w:rPr>
        <w:t xml:space="preserve">Bibliography </w:t>
      </w:r>
    </w:p>
    <w:p w14:paraId="0E4C9285"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Benjamin, W. (19</w:t>
      </w:r>
      <w:r>
        <w:rPr>
          <w:rFonts w:ascii="Times New Roman" w:eastAsia="Times New Roman" w:hAnsi="Times New Roman" w:cs="Times New Roman"/>
          <w:color w:val="000000"/>
          <w:kern w:val="0"/>
          <w:lang w:eastAsia="en-GB"/>
          <w14:ligatures w14:val="none"/>
        </w:rPr>
        <w:t>21</w:t>
      </w:r>
      <w:r w:rsidRPr="00E3698F">
        <w:rPr>
          <w:rFonts w:ascii="Times New Roman" w:eastAsia="Times New Roman" w:hAnsi="Times New Roman" w:cs="Times New Roman"/>
          <w:color w:val="000000"/>
          <w:kern w:val="0"/>
          <w:lang w:eastAsia="en-GB"/>
          <w14:ligatures w14:val="none"/>
        </w:rPr>
        <w:t>) ‘Critique of Violence’, in </w:t>
      </w:r>
      <w:r w:rsidRPr="00E3698F">
        <w:rPr>
          <w:rFonts w:ascii="Times New Roman" w:eastAsia="Times New Roman" w:hAnsi="Times New Roman" w:cs="Times New Roman"/>
          <w:i/>
          <w:iCs/>
          <w:color w:val="000000"/>
          <w:kern w:val="0"/>
          <w:lang w:eastAsia="en-GB"/>
          <w14:ligatures w14:val="none"/>
        </w:rPr>
        <w:t>Reflections</w:t>
      </w:r>
      <w:r w:rsidRPr="00E3698F">
        <w:rPr>
          <w:rFonts w:ascii="Times New Roman" w:eastAsia="Times New Roman" w:hAnsi="Times New Roman" w:cs="Times New Roman"/>
          <w:color w:val="000000"/>
          <w:kern w:val="0"/>
          <w:lang w:eastAsia="en-GB"/>
          <w14:ligatures w14:val="none"/>
        </w:rPr>
        <w:t>. New York: Schocken Books.</w:t>
      </w:r>
    </w:p>
    <w:p w14:paraId="2A9DB47C"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Bhabha, H. (1994) </w:t>
      </w:r>
      <w:r w:rsidRPr="00E3698F">
        <w:rPr>
          <w:rFonts w:ascii="Times New Roman" w:eastAsia="Times New Roman" w:hAnsi="Times New Roman" w:cs="Times New Roman"/>
          <w:i/>
          <w:iCs/>
          <w:color w:val="000000"/>
          <w:kern w:val="0"/>
          <w:lang w:eastAsia="en-GB"/>
          <w14:ligatures w14:val="none"/>
        </w:rPr>
        <w:t>The Location of Culture</w:t>
      </w:r>
      <w:r w:rsidRPr="00E3698F">
        <w:rPr>
          <w:rFonts w:ascii="Times New Roman" w:eastAsia="Times New Roman" w:hAnsi="Times New Roman" w:cs="Times New Roman"/>
          <w:color w:val="000000"/>
          <w:kern w:val="0"/>
          <w:lang w:eastAsia="en-GB"/>
          <w14:ligatures w14:val="none"/>
        </w:rPr>
        <w:t>. London: Routledge.</w:t>
      </w:r>
    </w:p>
    <w:p w14:paraId="7F21CD6A"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Chatterjee, P. (1993) </w:t>
      </w:r>
      <w:r w:rsidRPr="00E3698F">
        <w:rPr>
          <w:rFonts w:ascii="Times New Roman" w:eastAsia="Times New Roman" w:hAnsi="Times New Roman" w:cs="Times New Roman"/>
          <w:i/>
          <w:iCs/>
          <w:color w:val="000000"/>
          <w:kern w:val="0"/>
          <w:lang w:eastAsia="en-GB"/>
          <w14:ligatures w14:val="none"/>
        </w:rPr>
        <w:t>The Nation and Its Fragments</w:t>
      </w:r>
      <w:r w:rsidRPr="00E3698F">
        <w:rPr>
          <w:rFonts w:ascii="Times New Roman" w:eastAsia="Times New Roman" w:hAnsi="Times New Roman" w:cs="Times New Roman"/>
          <w:color w:val="000000"/>
          <w:kern w:val="0"/>
          <w:lang w:eastAsia="en-GB"/>
          <w14:ligatures w14:val="none"/>
        </w:rPr>
        <w:t>. Princeton: Princeton University Press.</w:t>
      </w:r>
    </w:p>
    <w:p w14:paraId="4ED24994"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Fanon, F. (1961) </w:t>
      </w:r>
      <w:r w:rsidRPr="00E3698F">
        <w:rPr>
          <w:rFonts w:ascii="Times New Roman" w:eastAsia="Times New Roman" w:hAnsi="Times New Roman" w:cs="Times New Roman"/>
          <w:i/>
          <w:iCs/>
          <w:color w:val="000000"/>
          <w:kern w:val="0"/>
          <w:lang w:eastAsia="en-GB"/>
          <w14:ligatures w14:val="none"/>
        </w:rPr>
        <w:t>The Wretched of the Earth</w:t>
      </w:r>
      <w:r w:rsidRPr="00E3698F">
        <w:rPr>
          <w:rFonts w:ascii="Times New Roman" w:eastAsia="Times New Roman" w:hAnsi="Times New Roman" w:cs="Times New Roman"/>
          <w:color w:val="000000"/>
          <w:kern w:val="0"/>
          <w:lang w:eastAsia="en-GB"/>
          <w14:ligatures w14:val="none"/>
        </w:rPr>
        <w:t>. New York: Grove Press.</w:t>
      </w:r>
    </w:p>
    <w:p w14:paraId="745D8628"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Foucault, M. (197</w:t>
      </w:r>
      <w:r>
        <w:rPr>
          <w:rFonts w:ascii="Times New Roman" w:eastAsia="Times New Roman" w:hAnsi="Times New Roman" w:cs="Times New Roman"/>
          <w:color w:val="000000"/>
          <w:kern w:val="0"/>
          <w:lang w:eastAsia="en-GB"/>
          <w14:ligatures w14:val="none"/>
        </w:rPr>
        <w:t>5</w:t>
      </w:r>
      <w:r w:rsidRPr="00E3698F">
        <w:rPr>
          <w:rFonts w:ascii="Times New Roman" w:eastAsia="Times New Roman" w:hAnsi="Times New Roman" w:cs="Times New Roman"/>
          <w:color w:val="000000"/>
          <w:kern w:val="0"/>
          <w:lang w:eastAsia="en-GB"/>
          <w14:ligatures w14:val="none"/>
        </w:rPr>
        <w:t>) </w:t>
      </w:r>
      <w:r w:rsidRPr="00E3698F">
        <w:rPr>
          <w:rFonts w:ascii="Times New Roman" w:eastAsia="Times New Roman" w:hAnsi="Times New Roman" w:cs="Times New Roman"/>
          <w:i/>
          <w:iCs/>
          <w:color w:val="000000"/>
          <w:kern w:val="0"/>
          <w:lang w:eastAsia="en-GB"/>
          <w14:ligatures w14:val="none"/>
        </w:rPr>
        <w:t>Discipline and Punish: The Birth of the Prison</w:t>
      </w:r>
      <w:r w:rsidRPr="00E3698F">
        <w:rPr>
          <w:rFonts w:ascii="Times New Roman" w:eastAsia="Times New Roman" w:hAnsi="Times New Roman" w:cs="Times New Roman"/>
          <w:color w:val="000000"/>
          <w:kern w:val="0"/>
          <w:lang w:eastAsia="en-GB"/>
          <w14:ligatures w14:val="none"/>
        </w:rPr>
        <w:t>. London: Allen Lane.</w:t>
      </w:r>
    </w:p>
    <w:p w14:paraId="42F0B31A"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Heath, D. (2021) </w:t>
      </w:r>
      <w:r w:rsidRPr="00E3698F">
        <w:rPr>
          <w:rFonts w:ascii="Times New Roman" w:eastAsia="Times New Roman" w:hAnsi="Times New Roman" w:cs="Times New Roman"/>
          <w:i/>
          <w:iCs/>
          <w:color w:val="000000"/>
          <w:kern w:val="0"/>
          <w:lang w:eastAsia="en-GB"/>
          <w14:ligatures w14:val="none"/>
        </w:rPr>
        <w:t>Colonial Terror: Torture and State Violence in Colonial India</w:t>
      </w:r>
      <w:r w:rsidRPr="00E3698F">
        <w:rPr>
          <w:rFonts w:ascii="Times New Roman" w:eastAsia="Times New Roman" w:hAnsi="Times New Roman" w:cs="Times New Roman"/>
          <w:color w:val="000000"/>
          <w:kern w:val="0"/>
          <w:lang w:eastAsia="en-GB"/>
          <w14:ligatures w14:val="none"/>
        </w:rPr>
        <w:t>. Oxford: Oxford University Press.</w:t>
      </w:r>
    </w:p>
    <w:p w14:paraId="2713CEFA"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Heath, D. (20</w:t>
      </w:r>
      <w:r>
        <w:rPr>
          <w:rFonts w:ascii="Times New Roman" w:eastAsia="Times New Roman" w:hAnsi="Times New Roman" w:cs="Times New Roman"/>
          <w:color w:val="000000"/>
          <w:kern w:val="0"/>
          <w:lang w:eastAsia="en-GB"/>
          <w14:ligatures w14:val="none"/>
        </w:rPr>
        <w:t>16</w:t>
      </w:r>
      <w:r w:rsidRPr="00E3698F">
        <w:rPr>
          <w:rFonts w:ascii="Times New Roman" w:eastAsia="Times New Roman" w:hAnsi="Times New Roman" w:cs="Times New Roman"/>
          <w:color w:val="000000"/>
          <w:kern w:val="0"/>
          <w:lang w:eastAsia="en-GB"/>
          <w14:ligatures w14:val="none"/>
        </w:rPr>
        <w:t>) ‘Colonial Violence’, in </w:t>
      </w:r>
      <w:r w:rsidRPr="00E3698F">
        <w:rPr>
          <w:rFonts w:ascii="Times New Roman" w:eastAsia="Times New Roman" w:hAnsi="Times New Roman" w:cs="Times New Roman"/>
          <w:i/>
          <w:iCs/>
          <w:color w:val="000000"/>
          <w:kern w:val="0"/>
          <w:lang w:eastAsia="en-GB"/>
          <w14:ligatures w14:val="none"/>
        </w:rPr>
        <w:t>Colonial Violence</w:t>
      </w:r>
      <w:r w:rsidRPr="00E3698F">
        <w:rPr>
          <w:rFonts w:ascii="Times New Roman" w:eastAsia="Times New Roman" w:hAnsi="Times New Roman" w:cs="Times New Roman"/>
          <w:color w:val="000000"/>
          <w:kern w:val="0"/>
          <w:lang w:eastAsia="en-GB"/>
          <w14:ligatures w14:val="none"/>
        </w:rPr>
        <w:t>. Liverpool: Liverpool University Press. Available at: </w:t>
      </w:r>
      <w:hyperlink r:id="rId4" w:tgtFrame="_new" w:history="1">
        <w:r w:rsidRPr="00E3698F">
          <w:rPr>
            <w:rFonts w:ascii="Times New Roman" w:eastAsia="Times New Roman" w:hAnsi="Times New Roman" w:cs="Times New Roman"/>
            <w:color w:val="0000FF"/>
            <w:kern w:val="0"/>
            <w:u w:val="single"/>
            <w:lang w:eastAsia="en-GB"/>
            <w14:ligatures w14:val="none"/>
          </w:rPr>
          <w:t>https://liverpooluniversitypress.manifoldapp.org/read/colonial-violence/section/71c632a8-6ae0-4de5-8c42-f4cca41f45d8</w:t>
        </w:r>
      </w:hyperlink>
      <w:r w:rsidRPr="00E3698F">
        <w:rPr>
          <w:rFonts w:ascii="Times New Roman" w:eastAsia="Times New Roman" w:hAnsi="Times New Roman" w:cs="Times New Roman"/>
          <w:color w:val="000000"/>
          <w:kern w:val="0"/>
          <w:lang w:eastAsia="en-GB"/>
          <w14:ligatures w14:val="none"/>
        </w:rPr>
        <w:t> (Accessed: 26</w:t>
      </w:r>
      <w:r>
        <w:rPr>
          <w:rFonts w:ascii="Times New Roman" w:eastAsia="Times New Roman" w:hAnsi="Times New Roman" w:cs="Times New Roman"/>
          <w:color w:val="000000"/>
          <w:kern w:val="0"/>
          <w:lang w:eastAsia="en-GB"/>
          <w14:ligatures w14:val="none"/>
        </w:rPr>
        <w:t xml:space="preserve"> January</w:t>
      </w:r>
      <w:r w:rsidRPr="00E3698F">
        <w:rPr>
          <w:rFonts w:ascii="Times New Roman" w:eastAsia="Times New Roman" w:hAnsi="Times New Roman" w:cs="Times New Roman"/>
          <w:color w:val="000000"/>
          <w:kern w:val="0"/>
          <w:lang w:eastAsia="en-GB"/>
          <w14:ligatures w14:val="none"/>
        </w:rPr>
        <w:t xml:space="preserve"> 202</w:t>
      </w:r>
      <w:r>
        <w:rPr>
          <w:rFonts w:ascii="Times New Roman" w:eastAsia="Times New Roman" w:hAnsi="Times New Roman" w:cs="Times New Roman"/>
          <w:color w:val="000000"/>
          <w:kern w:val="0"/>
          <w:lang w:eastAsia="en-GB"/>
          <w14:ligatures w14:val="none"/>
        </w:rPr>
        <w:t>6</w:t>
      </w:r>
      <w:r w:rsidRPr="00E3698F">
        <w:rPr>
          <w:rFonts w:ascii="Times New Roman" w:eastAsia="Times New Roman" w:hAnsi="Times New Roman" w:cs="Times New Roman"/>
          <w:color w:val="000000"/>
          <w:kern w:val="0"/>
          <w:lang w:eastAsia="en-GB"/>
          <w14:ligatures w14:val="none"/>
        </w:rPr>
        <w:t>).</w:t>
      </w:r>
    </w:p>
    <w:p w14:paraId="3DF82131" w14:textId="77777777" w:rsidR="00AC06AA" w:rsidRPr="00E3698F" w:rsidRDefault="00AC06AA" w:rsidP="00AC06A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E3698F">
        <w:rPr>
          <w:rFonts w:ascii="Times New Roman" w:eastAsia="Times New Roman" w:hAnsi="Times New Roman" w:cs="Times New Roman"/>
          <w:color w:val="000000"/>
          <w:kern w:val="0"/>
          <w:lang w:eastAsia="en-GB"/>
          <w14:ligatures w14:val="none"/>
        </w:rPr>
        <w:t>Žižek, S. (2008) </w:t>
      </w:r>
      <w:r w:rsidRPr="00E3698F">
        <w:rPr>
          <w:rFonts w:ascii="Times New Roman" w:eastAsia="Times New Roman" w:hAnsi="Times New Roman" w:cs="Times New Roman"/>
          <w:i/>
          <w:iCs/>
          <w:color w:val="000000"/>
          <w:kern w:val="0"/>
          <w:lang w:eastAsia="en-GB"/>
          <w14:ligatures w14:val="none"/>
        </w:rPr>
        <w:t>Violence: Six Sideways Reflections</w:t>
      </w:r>
      <w:r w:rsidRPr="00E3698F">
        <w:rPr>
          <w:rFonts w:ascii="Times New Roman" w:eastAsia="Times New Roman" w:hAnsi="Times New Roman" w:cs="Times New Roman"/>
          <w:color w:val="000000"/>
          <w:kern w:val="0"/>
          <w:lang w:eastAsia="en-GB"/>
          <w14:ligatures w14:val="none"/>
        </w:rPr>
        <w:t>. London: Profile Books.</w:t>
      </w:r>
    </w:p>
    <w:p w14:paraId="14200EC2" w14:textId="77777777" w:rsidR="00201E8E" w:rsidRDefault="00201E8E"/>
    <w:sectPr w:rsidR="00201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E8E"/>
    <w:rsid w:val="00201E8E"/>
    <w:rsid w:val="003140A2"/>
    <w:rsid w:val="004B7B99"/>
    <w:rsid w:val="004E013B"/>
    <w:rsid w:val="00653822"/>
    <w:rsid w:val="008E4F33"/>
    <w:rsid w:val="00983755"/>
    <w:rsid w:val="00AC06AA"/>
    <w:rsid w:val="00B5164C"/>
    <w:rsid w:val="00DC27E0"/>
    <w:rsid w:val="00E35E82"/>
    <w:rsid w:val="00E3698F"/>
    <w:rsid w:val="00E90E16"/>
    <w:rsid w:val="00F42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B5B33"/>
  <w15:chartTrackingRefBased/>
  <w15:docId w15:val="{9B33DB85-B24B-DF4A-A11D-F233CA3BB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6AA"/>
  </w:style>
  <w:style w:type="paragraph" w:styleId="Heading1">
    <w:name w:val="heading 1"/>
    <w:basedOn w:val="Normal"/>
    <w:next w:val="Normal"/>
    <w:link w:val="Heading1Char"/>
    <w:uiPriority w:val="9"/>
    <w:qFormat/>
    <w:rsid w:val="00201E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1E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E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E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E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E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E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E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E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E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1E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E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E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E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E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E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E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E8E"/>
    <w:rPr>
      <w:rFonts w:eastAsiaTheme="majorEastAsia" w:cstheme="majorBidi"/>
      <w:color w:val="272727" w:themeColor="text1" w:themeTint="D8"/>
    </w:rPr>
  </w:style>
  <w:style w:type="paragraph" w:styleId="Title">
    <w:name w:val="Title"/>
    <w:basedOn w:val="Normal"/>
    <w:next w:val="Normal"/>
    <w:link w:val="TitleChar"/>
    <w:uiPriority w:val="10"/>
    <w:qFormat/>
    <w:rsid w:val="00201E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E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E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E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E8E"/>
    <w:pPr>
      <w:spacing w:before="160"/>
      <w:jc w:val="center"/>
    </w:pPr>
    <w:rPr>
      <w:i/>
      <w:iCs/>
      <w:color w:val="404040" w:themeColor="text1" w:themeTint="BF"/>
    </w:rPr>
  </w:style>
  <w:style w:type="character" w:customStyle="1" w:styleId="QuoteChar">
    <w:name w:val="Quote Char"/>
    <w:basedOn w:val="DefaultParagraphFont"/>
    <w:link w:val="Quote"/>
    <w:uiPriority w:val="29"/>
    <w:rsid w:val="00201E8E"/>
    <w:rPr>
      <w:i/>
      <w:iCs/>
      <w:color w:val="404040" w:themeColor="text1" w:themeTint="BF"/>
    </w:rPr>
  </w:style>
  <w:style w:type="paragraph" w:styleId="ListParagraph">
    <w:name w:val="List Paragraph"/>
    <w:basedOn w:val="Normal"/>
    <w:uiPriority w:val="34"/>
    <w:qFormat/>
    <w:rsid w:val="00201E8E"/>
    <w:pPr>
      <w:ind w:left="720"/>
      <w:contextualSpacing/>
    </w:pPr>
  </w:style>
  <w:style w:type="character" w:styleId="IntenseEmphasis">
    <w:name w:val="Intense Emphasis"/>
    <w:basedOn w:val="DefaultParagraphFont"/>
    <w:uiPriority w:val="21"/>
    <w:qFormat/>
    <w:rsid w:val="00201E8E"/>
    <w:rPr>
      <w:i/>
      <w:iCs/>
      <w:color w:val="0F4761" w:themeColor="accent1" w:themeShade="BF"/>
    </w:rPr>
  </w:style>
  <w:style w:type="paragraph" w:styleId="IntenseQuote">
    <w:name w:val="Intense Quote"/>
    <w:basedOn w:val="Normal"/>
    <w:next w:val="Normal"/>
    <w:link w:val="IntenseQuoteChar"/>
    <w:uiPriority w:val="30"/>
    <w:qFormat/>
    <w:rsid w:val="00201E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E8E"/>
    <w:rPr>
      <w:i/>
      <w:iCs/>
      <w:color w:val="0F4761" w:themeColor="accent1" w:themeShade="BF"/>
    </w:rPr>
  </w:style>
  <w:style w:type="character" w:styleId="IntenseReference">
    <w:name w:val="Intense Reference"/>
    <w:basedOn w:val="DefaultParagraphFont"/>
    <w:uiPriority w:val="32"/>
    <w:qFormat/>
    <w:rsid w:val="00201E8E"/>
    <w:rPr>
      <w:b/>
      <w:bCs/>
      <w:smallCaps/>
      <w:color w:val="0F4761" w:themeColor="accent1" w:themeShade="BF"/>
      <w:spacing w:val="5"/>
    </w:rPr>
  </w:style>
  <w:style w:type="paragraph" w:styleId="NormalWeb">
    <w:name w:val="Normal (Web)"/>
    <w:basedOn w:val="Normal"/>
    <w:uiPriority w:val="99"/>
    <w:semiHidden/>
    <w:unhideWhenUsed/>
    <w:rsid w:val="00E369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3698F"/>
  </w:style>
  <w:style w:type="character" w:styleId="Emphasis">
    <w:name w:val="Emphasis"/>
    <w:basedOn w:val="DefaultParagraphFont"/>
    <w:uiPriority w:val="20"/>
    <w:qFormat/>
    <w:rsid w:val="00E3698F"/>
    <w:rPr>
      <w:i/>
      <w:iCs/>
    </w:rPr>
  </w:style>
  <w:style w:type="character" w:styleId="Strong">
    <w:name w:val="Strong"/>
    <w:basedOn w:val="DefaultParagraphFont"/>
    <w:uiPriority w:val="22"/>
    <w:qFormat/>
    <w:rsid w:val="00E3698F"/>
    <w:rPr>
      <w:b/>
      <w:bCs/>
    </w:rPr>
  </w:style>
  <w:style w:type="character" w:styleId="Hyperlink">
    <w:name w:val="Hyperlink"/>
    <w:basedOn w:val="DefaultParagraphFont"/>
    <w:uiPriority w:val="99"/>
    <w:semiHidden/>
    <w:unhideWhenUsed/>
    <w:rsid w:val="00E369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3306304">
      <w:bodyDiv w:val="1"/>
      <w:marLeft w:val="0"/>
      <w:marRight w:val="0"/>
      <w:marTop w:val="0"/>
      <w:marBottom w:val="0"/>
      <w:divBdr>
        <w:top w:val="none" w:sz="0" w:space="0" w:color="auto"/>
        <w:left w:val="none" w:sz="0" w:space="0" w:color="auto"/>
        <w:bottom w:val="none" w:sz="0" w:space="0" w:color="auto"/>
        <w:right w:val="none" w:sz="0" w:space="0" w:color="auto"/>
      </w:divBdr>
    </w:div>
    <w:div w:id="184454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liverpooluniversitypress.manifoldapp.org/read/colonial-violence/section/71c632a8-6ae0-4de5-8c42-f4cca41f45d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52</TotalTime>
  <Pages>3</Pages>
  <Words>1369</Words>
  <Characters>7804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3</cp:revision>
  <dcterms:created xsi:type="dcterms:W3CDTF">2025-12-26T20:03:00Z</dcterms:created>
  <dcterms:modified xsi:type="dcterms:W3CDTF">2026-02-02T01:51:00Z</dcterms:modified>
</cp:coreProperties>
</file>