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4FB87E" wp14:paraId="49FA0E01" wp14:textId="29FBB12D">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6BE5B00C">
        <w:rPr>
          <w:rFonts w:ascii="Arial" w:hAnsi="Arial" w:eastAsia="Arial" w:cs="Arial"/>
          <w:b w:val="1"/>
          <w:bCs w:val="1"/>
          <w:noProof w:val="0"/>
          <w:color w:val="000000" w:themeColor="text1" w:themeTint="FF" w:themeShade="FF"/>
          <w:sz w:val="22"/>
          <w:szCs w:val="22"/>
          <w:lang w:val="en-GB"/>
        </w:rPr>
        <w:t>Student Name:</w:t>
      </w:r>
      <w:r w:rsidRPr="784FB87E" w:rsidR="6BE5B00C">
        <w:rPr>
          <w:rFonts w:ascii="Arial" w:hAnsi="Arial" w:eastAsia="Arial" w:cs="Arial"/>
          <w:noProof w:val="0"/>
          <w:color w:val="000000" w:themeColor="text1" w:themeTint="FF" w:themeShade="FF"/>
          <w:sz w:val="22"/>
          <w:szCs w:val="22"/>
          <w:lang w:val="en-GB"/>
        </w:rPr>
        <w:t>  Marvynn Mendes Horta</w:t>
      </w:r>
    </w:p>
    <w:p xmlns:wp14="http://schemas.microsoft.com/office/word/2010/wordml" w:rsidP="784FB87E" wp14:paraId="34E8C7B1" wp14:textId="13ED217C">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6BE5B00C">
        <w:rPr>
          <w:rFonts w:ascii="Arial" w:hAnsi="Arial" w:eastAsia="Arial" w:cs="Arial"/>
          <w:b w:val="1"/>
          <w:bCs w:val="1"/>
          <w:noProof w:val="0"/>
          <w:color w:val="000000" w:themeColor="text1" w:themeTint="FF" w:themeShade="FF"/>
          <w:sz w:val="22"/>
          <w:szCs w:val="22"/>
          <w:lang w:val="en-GB"/>
        </w:rPr>
        <w:t>Student ID:</w:t>
      </w:r>
      <w:r w:rsidRPr="784FB87E" w:rsidR="6BE5B00C">
        <w:rPr>
          <w:rFonts w:ascii="Arial" w:hAnsi="Arial" w:eastAsia="Arial" w:cs="Arial"/>
          <w:noProof w:val="0"/>
          <w:color w:val="000000" w:themeColor="text1" w:themeTint="FF" w:themeShade="FF"/>
          <w:sz w:val="22"/>
          <w:szCs w:val="22"/>
          <w:lang w:val="en-GB"/>
        </w:rPr>
        <w:t> 24</w:t>
      </w:r>
      <w:r w:rsidRPr="784FB87E" w:rsidR="4CD9D6C3">
        <w:rPr>
          <w:rFonts w:ascii="Arial" w:hAnsi="Arial" w:eastAsia="Arial" w:cs="Arial"/>
          <w:noProof w:val="0"/>
          <w:color w:val="000000" w:themeColor="text1" w:themeTint="FF" w:themeShade="FF"/>
          <w:sz w:val="22"/>
          <w:szCs w:val="22"/>
          <w:lang w:val="en-GB"/>
        </w:rPr>
        <w:t>30201</w:t>
      </w:r>
      <w:r>
        <w:br/>
      </w:r>
      <w:r w:rsidRPr="784FB87E" w:rsidR="6BE5B00C">
        <w:rPr>
          <w:rFonts w:ascii="Arial" w:hAnsi="Arial" w:eastAsia="Arial" w:cs="Arial"/>
          <w:b w:val="1"/>
          <w:bCs w:val="1"/>
          <w:noProof w:val="0"/>
          <w:color w:val="000000" w:themeColor="text1" w:themeTint="FF" w:themeShade="FF"/>
          <w:sz w:val="22"/>
          <w:szCs w:val="22"/>
          <w:lang w:val="en-GB"/>
        </w:rPr>
        <w:t>Programme:</w:t>
      </w:r>
      <w:r w:rsidRPr="784FB87E" w:rsidR="6BE5B00C">
        <w:rPr>
          <w:rFonts w:ascii="Arial" w:hAnsi="Arial" w:eastAsia="Arial" w:cs="Arial"/>
          <w:noProof w:val="0"/>
          <w:color w:val="000000" w:themeColor="text1" w:themeTint="FF" w:themeShade="FF"/>
          <w:sz w:val="22"/>
          <w:szCs w:val="22"/>
          <w:lang w:val="en-GB"/>
        </w:rPr>
        <w:t> BA (Hons) Leadership and Management Skills for the Workplace</w:t>
      </w:r>
      <w:r>
        <w:br/>
      </w:r>
      <w:r w:rsidRPr="784FB87E" w:rsidR="6BE5B00C">
        <w:rPr>
          <w:rFonts w:ascii="Arial" w:hAnsi="Arial" w:eastAsia="Arial" w:cs="Arial"/>
          <w:b w:val="1"/>
          <w:bCs w:val="1"/>
          <w:noProof w:val="0"/>
          <w:color w:val="000000" w:themeColor="text1" w:themeTint="FF" w:themeShade="FF"/>
          <w:sz w:val="22"/>
          <w:szCs w:val="22"/>
          <w:lang w:val="en-GB"/>
        </w:rPr>
        <w:t>Module:</w:t>
      </w:r>
      <w:r w:rsidRPr="784FB87E" w:rsidR="6BE5B00C">
        <w:rPr>
          <w:rFonts w:ascii="Arial" w:hAnsi="Arial" w:eastAsia="Arial" w:cs="Arial"/>
          <w:noProof w:val="0"/>
          <w:color w:val="000000" w:themeColor="text1" w:themeTint="FF" w:themeShade="FF"/>
          <w:sz w:val="22"/>
          <w:szCs w:val="22"/>
          <w:lang w:val="en-GB"/>
        </w:rPr>
        <w:t> Developing and Managing Individuals and Teams</w:t>
      </w:r>
      <w:r>
        <w:br/>
      </w:r>
      <w:r w:rsidRPr="784FB87E" w:rsidR="6BE5B00C">
        <w:rPr>
          <w:rFonts w:ascii="Arial" w:hAnsi="Arial" w:eastAsia="Arial" w:cs="Arial"/>
          <w:b w:val="1"/>
          <w:bCs w:val="1"/>
          <w:noProof w:val="0"/>
          <w:color w:val="000000" w:themeColor="text1" w:themeTint="FF" w:themeShade="FF"/>
          <w:sz w:val="22"/>
          <w:szCs w:val="22"/>
          <w:lang w:val="en-GB"/>
        </w:rPr>
        <w:t>Module Code:</w:t>
      </w:r>
      <w:r w:rsidRPr="784FB87E" w:rsidR="6BE5B00C">
        <w:rPr>
          <w:rFonts w:ascii="Arial" w:hAnsi="Arial" w:eastAsia="Arial" w:cs="Arial"/>
          <w:noProof w:val="0"/>
          <w:color w:val="000000" w:themeColor="text1" w:themeTint="FF" w:themeShade="FF"/>
          <w:sz w:val="22"/>
          <w:szCs w:val="22"/>
          <w:lang w:val="en-GB"/>
        </w:rPr>
        <w:t> LCLM5002</w:t>
      </w:r>
      <w:r>
        <w:br/>
      </w:r>
      <w:r w:rsidRPr="784FB87E" w:rsidR="6BE5B00C">
        <w:rPr>
          <w:rFonts w:ascii="Arial" w:hAnsi="Arial" w:eastAsia="Arial" w:cs="Arial"/>
          <w:b w:val="1"/>
          <w:bCs w:val="1"/>
          <w:noProof w:val="0"/>
          <w:color w:val="000000" w:themeColor="text1" w:themeTint="FF" w:themeShade="FF"/>
          <w:sz w:val="22"/>
          <w:szCs w:val="22"/>
          <w:lang w:val="en-GB"/>
        </w:rPr>
        <w:t>Assignment Title:</w:t>
      </w:r>
      <w:r w:rsidRPr="784FB87E" w:rsidR="6BE5B00C">
        <w:rPr>
          <w:rFonts w:ascii="Arial" w:hAnsi="Arial" w:eastAsia="Arial" w:cs="Arial"/>
          <w:noProof w:val="0"/>
          <w:color w:val="000000" w:themeColor="text1" w:themeTint="FF" w:themeShade="FF"/>
          <w:sz w:val="22"/>
          <w:szCs w:val="22"/>
          <w:lang w:val="en-GB"/>
        </w:rPr>
        <w:t> </w:t>
      </w:r>
      <w:r w:rsidRPr="784FB87E" w:rsidR="6BE5B00C">
        <w:rPr>
          <w:rFonts w:ascii="Arial" w:hAnsi="Arial" w:eastAsia="Arial" w:cs="Arial"/>
          <w:noProof w:val="0"/>
          <w:color w:val="000000" w:themeColor="text1" w:themeTint="FF" w:themeShade="FF"/>
          <w:sz w:val="22"/>
          <w:szCs w:val="22"/>
          <w:lang w:val="en-GB"/>
        </w:rPr>
        <w:t>Component</w:t>
      </w:r>
      <w:r w:rsidRPr="784FB87E" w:rsidR="6BE5B00C">
        <w:rPr>
          <w:rFonts w:ascii="Arial" w:hAnsi="Arial" w:eastAsia="Arial" w:cs="Arial"/>
          <w:noProof w:val="0"/>
          <w:color w:val="000000" w:themeColor="text1" w:themeTint="FF" w:themeShade="FF"/>
          <w:sz w:val="22"/>
          <w:szCs w:val="22"/>
          <w:lang w:val="en-GB"/>
        </w:rPr>
        <w:t> 2 – Individual Report</w:t>
      </w:r>
      <w:r>
        <w:br/>
      </w:r>
      <w:r w:rsidRPr="784FB87E" w:rsidR="6BE5B00C">
        <w:rPr>
          <w:rFonts w:ascii="Arial" w:hAnsi="Arial" w:eastAsia="Arial" w:cs="Arial"/>
          <w:b w:val="1"/>
          <w:bCs w:val="1"/>
          <w:noProof w:val="0"/>
          <w:color w:val="000000" w:themeColor="text1" w:themeTint="FF" w:themeShade="FF"/>
          <w:sz w:val="22"/>
          <w:szCs w:val="22"/>
          <w:lang w:val="en-GB"/>
        </w:rPr>
        <w:t>Module Leaders:</w:t>
      </w:r>
      <w:r w:rsidRPr="784FB87E" w:rsidR="6BE5B00C">
        <w:rPr>
          <w:rFonts w:ascii="Arial" w:hAnsi="Arial" w:eastAsia="Arial" w:cs="Arial"/>
          <w:noProof w:val="0"/>
          <w:color w:val="000000" w:themeColor="text1" w:themeTint="FF" w:themeShade="FF"/>
          <w:sz w:val="22"/>
          <w:szCs w:val="22"/>
          <w:lang w:val="en-GB"/>
        </w:rPr>
        <w:t> Doreen Nyaa </w:t>
      </w:r>
      <w:r w:rsidRPr="784FB87E" w:rsidR="6BE5B00C">
        <w:rPr>
          <w:rFonts w:ascii="Arial" w:hAnsi="Arial" w:eastAsia="Arial" w:cs="Arial"/>
          <w:noProof w:val="0"/>
          <w:color w:val="000000" w:themeColor="text1" w:themeTint="FF" w:themeShade="FF"/>
          <w:sz w:val="22"/>
          <w:szCs w:val="22"/>
          <w:lang w:val="en-GB"/>
        </w:rPr>
        <w:t>Amundam</w:t>
      </w:r>
      <w:r w:rsidRPr="784FB87E" w:rsidR="6BE5B00C">
        <w:rPr>
          <w:rFonts w:ascii="Arial" w:hAnsi="Arial" w:eastAsia="Arial" w:cs="Arial"/>
          <w:noProof w:val="0"/>
          <w:color w:val="000000" w:themeColor="text1" w:themeTint="FF" w:themeShade="FF"/>
          <w:sz w:val="22"/>
          <w:szCs w:val="22"/>
          <w:lang w:val="en-GB"/>
        </w:rPr>
        <w:t>, Nishi Ramsurrun</w:t>
      </w:r>
      <w:r>
        <w:br/>
      </w:r>
    </w:p>
    <w:p xmlns:wp14="http://schemas.microsoft.com/office/word/2010/wordml" w:rsidP="784FB87E" wp14:paraId="315C293D" wp14:textId="617D5064">
      <w:pPr>
        <w:spacing w:before="240" w:beforeAutospacing="off" w:after="240"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 xml:space="preserve">Developing and Managing Individuals and Teams </w:t>
      </w:r>
      <w:r w:rsidRPr="784FB87E" w:rsidR="54A51966">
        <w:rPr>
          <w:rFonts w:ascii="Arial" w:hAnsi="Arial" w:eastAsia="Arial" w:cs="Arial"/>
          <w:b w:val="1"/>
          <w:bCs w:val="1"/>
          <w:noProof w:val="0"/>
          <w:color w:val="000000" w:themeColor="text1" w:themeTint="FF" w:themeShade="FF"/>
          <w:sz w:val="22"/>
          <w:szCs w:val="22"/>
          <w:lang w:val="en-GB"/>
        </w:rPr>
        <w:t xml:space="preserve">/ </w:t>
      </w:r>
      <w:r w:rsidRPr="784FB87E" w:rsidR="492844A9">
        <w:rPr>
          <w:rFonts w:ascii="Arial" w:hAnsi="Arial" w:eastAsia="Arial" w:cs="Arial"/>
          <w:b w:val="1"/>
          <w:bCs w:val="1"/>
          <w:noProof w:val="0"/>
          <w:color w:val="000000" w:themeColor="text1" w:themeTint="FF" w:themeShade="FF"/>
          <w:sz w:val="22"/>
          <w:szCs w:val="22"/>
          <w:lang w:val="en-GB"/>
        </w:rPr>
        <w:t>Tesco PLC</w:t>
      </w:r>
    </w:p>
    <w:p xmlns:wp14="http://schemas.microsoft.com/office/word/2010/wordml" w:rsidP="784FB87E" wp14:paraId="6D928035" wp14:textId="0FFE0B98">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Introduction</w:t>
      </w:r>
    </w:p>
    <w:p xmlns:wp14="http://schemas.microsoft.com/office/word/2010/wordml" w:rsidP="784FB87E" wp14:paraId="64272BEA" wp14:textId="5DF96005">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The modern workplace continues to change at an unprecedented pace. Technology, globalisation, shifting employee expectations and new social priorities have all redefined how organisations </w:t>
      </w:r>
      <w:r w:rsidRPr="784FB87E" w:rsidR="492844A9">
        <w:rPr>
          <w:rFonts w:ascii="Arial" w:hAnsi="Arial" w:eastAsia="Arial" w:cs="Arial"/>
          <w:noProof w:val="0"/>
          <w:color w:val="000000" w:themeColor="text1" w:themeTint="FF" w:themeShade="FF"/>
          <w:sz w:val="22"/>
          <w:szCs w:val="22"/>
          <w:lang w:val="en-GB"/>
        </w:rPr>
        <w:t>operate</w:t>
      </w:r>
      <w:r w:rsidRPr="784FB87E" w:rsidR="492844A9">
        <w:rPr>
          <w:rFonts w:ascii="Arial" w:hAnsi="Arial" w:eastAsia="Arial" w:cs="Arial"/>
          <w:noProof w:val="0"/>
          <w:color w:val="000000" w:themeColor="text1" w:themeTint="FF" w:themeShade="FF"/>
          <w:sz w:val="22"/>
          <w:szCs w:val="22"/>
          <w:lang w:val="en-GB"/>
        </w:rPr>
        <w:t xml:space="preserve">. Human Resources (HR) is no longer confined to administrative tasks; it has become a strategic partner responsible for shaping the way people and organisations thrive together. Within this context, the UK retail sector faces unique challenges because of its reliance on a large, </w:t>
      </w:r>
      <w:r w:rsidRPr="784FB87E" w:rsidR="492844A9">
        <w:rPr>
          <w:rFonts w:ascii="Arial" w:hAnsi="Arial" w:eastAsia="Arial" w:cs="Arial"/>
          <w:noProof w:val="0"/>
          <w:color w:val="000000" w:themeColor="text1" w:themeTint="FF" w:themeShade="FF"/>
          <w:sz w:val="22"/>
          <w:szCs w:val="22"/>
          <w:lang w:val="en-GB"/>
        </w:rPr>
        <w:t>diverse</w:t>
      </w:r>
      <w:r w:rsidRPr="784FB87E" w:rsidR="492844A9">
        <w:rPr>
          <w:rFonts w:ascii="Arial" w:hAnsi="Arial" w:eastAsia="Arial" w:cs="Arial"/>
          <w:noProof w:val="0"/>
          <w:color w:val="000000" w:themeColor="text1" w:themeTint="FF" w:themeShade="FF"/>
          <w:sz w:val="22"/>
          <w:szCs w:val="22"/>
          <w:lang w:val="en-GB"/>
        </w:rPr>
        <w:t xml:space="preserve"> and often transient workforce. Tesco PLC one of Britain’s largest private</w:t>
      </w:r>
      <w:r>
        <w:noBreakHyphen/>
      </w:r>
      <w:r w:rsidRPr="784FB87E" w:rsidR="492844A9">
        <w:rPr>
          <w:rFonts w:ascii="Arial" w:hAnsi="Arial" w:eastAsia="Arial" w:cs="Arial"/>
          <w:noProof w:val="0"/>
          <w:color w:val="000000" w:themeColor="text1" w:themeTint="FF" w:themeShade="FF"/>
          <w:sz w:val="22"/>
          <w:szCs w:val="22"/>
          <w:lang w:val="en-GB"/>
        </w:rPr>
        <w:t xml:space="preserve">sector employers  provides an excellent case study for exploring how HR can respond to these pressures. </w:t>
      </w:r>
    </w:p>
    <w:p xmlns:wp14="http://schemas.microsoft.com/office/word/2010/wordml" w:rsidP="784FB87E" wp14:paraId="709AAD10" wp14:textId="0F058EA5">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Tesco’s workforce of more than 300,000 people spans stores, warehouses and central offices, creating immense responsibility for its HR department to balance efficiency, fairness and motivation. The company operates in a competitive sector where consumer needs and technological innovation evolve quickly. According to the </w:t>
      </w:r>
      <w:r w:rsidRPr="784FB87E" w:rsidR="492844A9">
        <w:rPr>
          <w:rFonts w:ascii="Arial" w:hAnsi="Arial" w:eastAsia="Arial" w:cs="Arial"/>
          <w:i w:val="1"/>
          <w:iCs w:val="1"/>
          <w:noProof w:val="0"/>
          <w:color w:val="000000" w:themeColor="text1" w:themeTint="FF" w:themeShade="FF"/>
          <w:sz w:val="22"/>
          <w:szCs w:val="22"/>
          <w:lang w:val="en-GB"/>
        </w:rPr>
        <w:t>Lewis Silkin Future @ Work 2026</w:t>
      </w:r>
      <w:r w:rsidRPr="784FB87E" w:rsidR="492844A9">
        <w:rPr>
          <w:rFonts w:ascii="Arial" w:hAnsi="Arial" w:eastAsia="Arial" w:cs="Arial"/>
          <w:noProof w:val="0"/>
          <w:color w:val="000000" w:themeColor="text1" w:themeTint="FF" w:themeShade="FF"/>
          <w:sz w:val="22"/>
          <w:szCs w:val="22"/>
          <w:lang w:val="en-GB"/>
        </w:rPr>
        <w:t xml:space="preserve"> report, rapid technological progress is transforming every job function, demanding new skills and adaptive leadership (lewissilkin.com). Similarly, research from the </w:t>
      </w:r>
      <w:r w:rsidRPr="784FB87E" w:rsidR="492844A9">
        <w:rPr>
          <w:rFonts w:ascii="Arial" w:hAnsi="Arial" w:eastAsia="Arial" w:cs="Arial"/>
          <w:i w:val="1"/>
          <w:iCs w:val="1"/>
          <w:noProof w:val="0"/>
          <w:color w:val="000000" w:themeColor="text1" w:themeTint="FF" w:themeShade="FF"/>
          <w:sz w:val="22"/>
          <w:szCs w:val="22"/>
          <w:lang w:val="en-GB"/>
        </w:rPr>
        <w:t>CIPD</w:t>
      </w:r>
      <w:r w:rsidRPr="784FB87E" w:rsidR="492844A9">
        <w:rPr>
          <w:rFonts w:ascii="Arial" w:hAnsi="Arial" w:eastAsia="Arial" w:cs="Arial"/>
          <w:noProof w:val="0"/>
          <w:color w:val="000000" w:themeColor="text1" w:themeTint="FF" w:themeShade="FF"/>
          <w:sz w:val="22"/>
          <w:szCs w:val="22"/>
          <w:lang w:val="en-GB"/>
        </w:rPr>
        <w:t xml:space="preserve"> (2026) emphasises that sustainable performance depends on aligning technology with people strategy rather than treating digital tools as replacements for human capability (cipd.org.uk). </w:t>
      </w:r>
    </w:p>
    <w:p xmlns:wp14="http://schemas.microsoft.com/office/word/2010/wordml" w:rsidP="784FB87E" wp14:paraId="5742D498" wp14:textId="3CAD8F85">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This report analyses three major HR factors influencing Tesco’s ability to manage people effectively: keeping up with technological advancement, attracting and retaining talent, and embedding diversity, equity and inclusion (DEI). The discussion evaluates contemporary HR practices that tackle these challenges and critically assesses how departmental managers can implement them. The aim is to show how forward</w:t>
      </w:r>
      <w:r>
        <w:noBreakHyphen/>
      </w:r>
      <w:r w:rsidRPr="784FB87E" w:rsidR="492844A9">
        <w:rPr>
          <w:rFonts w:ascii="Arial" w:hAnsi="Arial" w:eastAsia="Arial" w:cs="Arial"/>
          <w:noProof w:val="0"/>
          <w:color w:val="000000" w:themeColor="text1" w:themeTint="FF" w:themeShade="FF"/>
          <w:sz w:val="22"/>
          <w:szCs w:val="22"/>
          <w:lang w:val="en-GB"/>
        </w:rPr>
        <w:t xml:space="preserve">thinking HR approaches and competent leadership sustain productivity and engagement in a rapidly changing world of work. </w:t>
      </w:r>
    </w:p>
    <w:p xmlns:wp14="http://schemas.microsoft.com/office/word/2010/wordml" w:rsidP="784FB87E" wp14:paraId="24D58D2C" wp14:textId="1951220C">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1. HR Factors Affecting Tesco</w:t>
      </w:r>
    </w:p>
    <w:p xmlns:wp14="http://schemas.microsoft.com/office/word/2010/wordml" w:rsidP="784FB87E" wp14:paraId="634A6F00" wp14:textId="169841E0">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Meeting Technological Advancement</w:t>
      </w:r>
    </w:p>
    <w:p xmlns:wp14="http://schemas.microsoft.com/office/word/2010/wordml" w:rsidP="784FB87E" wp14:paraId="1DB52E23" wp14:textId="7BDCD8E0">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Technological advancement has become a defining feature of modern retail. Tesco has invested heavily in automation within warehouses, digital marketing, AI</w:t>
      </w:r>
      <w:r>
        <w:noBreakHyphen/>
      </w:r>
      <w:r w:rsidRPr="784FB87E" w:rsidR="492844A9">
        <w:rPr>
          <w:rFonts w:ascii="Arial" w:hAnsi="Arial" w:eastAsia="Arial" w:cs="Arial"/>
          <w:noProof w:val="0"/>
          <w:color w:val="000000" w:themeColor="text1" w:themeTint="FF" w:themeShade="FF"/>
          <w:sz w:val="22"/>
          <w:szCs w:val="22"/>
          <w:lang w:val="en-GB"/>
        </w:rPr>
        <w:t>driven analytics and self</w:t>
      </w:r>
      <w:r>
        <w:noBreakHyphen/>
      </w:r>
      <w:r w:rsidRPr="784FB87E" w:rsidR="492844A9">
        <w:rPr>
          <w:rFonts w:ascii="Arial" w:hAnsi="Arial" w:eastAsia="Arial" w:cs="Arial"/>
          <w:noProof w:val="0"/>
          <w:color w:val="000000" w:themeColor="text1" w:themeTint="FF" w:themeShade="FF"/>
          <w:sz w:val="22"/>
          <w:szCs w:val="22"/>
          <w:lang w:val="en-GB"/>
        </w:rPr>
        <w:t xml:space="preserve">service checkouts. These tools simplify operations and improve service speed, but they also demand that employees continuously update their technical skills. The </w:t>
      </w:r>
      <w:r w:rsidRPr="784FB87E" w:rsidR="492844A9">
        <w:rPr>
          <w:rFonts w:ascii="Arial" w:hAnsi="Arial" w:eastAsia="Arial" w:cs="Arial"/>
          <w:i w:val="1"/>
          <w:iCs w:val="1"/>
          <w:noProof w:val="0"/>
          <w:color w:val="000000" w:themeColor="text1" w:themeTint="FF" w:themeShade="FF"/>
          <w:sz w:val="22"/>
          <w:szCs w:val="22"/>
          <w:lang w:val="en-GB"/>
        </w:rPr>
        <w:t>CIPD (2026)</w:t>
      </w:r>
      <w:r w:rsidRPr="784FB87E" w:rsidR="492844A9">
        <w:rPr>
          <w:rFonts w:ascii="Arial" w:hAnsi="Arial" w:eastAsia="Arial" w:cs="Arial"/>
          <w:noProof w:val="0"/>
          <w:color w:val="000000" w:themeColor="text1" w:themeTint="FF" w:themeShade="FF"/>
          <w:sz w:val="22"/>
          <w:szCs w:val="22"/>
          <w:lang w:val="en-GB"/>
        </w:rPr>
        <w:t xml:space="preserve"> warns that while organisations adopt new technologies enthusiastically, many overlook workforce readiness and training, which can undermine morale and performance (cipd.org.uk). </w:t>
      </w:r>
    </w:p>
    <w:p xmlns:wp14="http://schemas.microsoft.com/office/word/2010/wordml" w:rsidP="784FB87E" wp14:paraId="5F4DD064" wp14:textId="375589EA">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For Tesco, digitalisation raises questions about job design, learning provision and psychological safety. Store employees must now troubleshoot digital payment systems; drivers rely on real</w:t>
      </w:r>
      <w:r>
        <w:noBreakHyphen/>
      </w:r>
      <w:r w:rsidRPr="784FB87E" w:rsidR="492844A9">
        <w:rPr>
          <w:rFonts w:ascii="Arial" w:hAnsi="Arial" w:eastAsia="Arial" w:cs="Arial"/>
          <w:noProof w:val="0"/>
          <w:color w:val="000000" w:themeColor="text1" w:themeTint="FF" w:themeShade="FF"/>
          <w:sz w:val="22"/>
          <w:szCs w:val="22"/>
          <w:lang w:val="en-GB"/>
        </w:rPr>
        <w:t>time route apps; HR partners manage cloud</w:t>
      </w:r>
      <w:r>
        <w:noBreakHyphen/>
      </w:r>
      <w:r w:rsidRPr="784FB87E" w:rsidR="492844A9">
        <w:rPr>
          <w:rFonts w:ascii="Arial" w:hAnsi="Arial" w:eastAsia="Arial" w:cs="Arial"/>
          <w:noProof w:val="0"/>
          <w:color w:val="000000" w:themeColor="text1" w:themeTint="FF" w:themeShade="FF"/>
          <w:sz w:val="22"/>
          <w:szCs w:val="22"/>
          <w:lang w:val="en-GB"/>
        </w:rPr>
        <w:t>based data. If the workforce is not adequately supported, these developments can increase anxiety or resistance to change. Furthermore, digital inequality may emerge when older or less tech</w:t>
      </w:r>
      <w:r>
        <w:noBreakHyphen/>
      </w:r>
      <w:r w:rsidRPr="784FB87E" w:rsidR="492844A9">
        <w:rPr>
          <w:rFonts w:ascii="Arial" w:hAnsi="Arial" w:eastAsia="Arial" w:cs="Arial"/>
          <w:noProof w:val="0"/>
          <w:color w:val="000000" w:themeColor="text1" w:themeTint="FF" w:themeShade="FF"/>
          <w:sz w:val="22"/>
          <w:szCs w:val="22"/>
          <w:lang w:val="en-GB"/>
        </w:rPr>
        <w:t xml:space="preserve">confident workers feel left behind. To address this, Tesco must embed continuous learning and communication into its business model, ensuring every worker sees technology as an enabler rather than a threat. </w:t>
      </w:r>
    </w:p>
    <w:p xmlns:wp14="http://schemas.microsoft.com/office/word/2010/wordml" w:rsidP="784FB87E" wp14:paraId="13AFF22C" wp14:textId="45B93511">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Talent Acquisition and Retention</w:t>
      </w:r>
    </w:p>
    <w:p xmlns:wp14="http://schemas.microsoft.com/office/word/2010/wordml" w:rsidP="784FB87E" wp14:paraId="7181E38B" wp14:textId="4D72ACCE">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Recruitment and retention remain a critical challenge across UK retail. The </w:t>
      </w:r>
      <w:r w:rsidRPr="784FB87E" w:rsidR="492844A9">
        <w:rPr>
          <w:rFonts w:ascii="Arial" w:hAnsi="Arial" w:eastAsia="Arial" w:cs="Arial"/>
          <w:i w:val="1"/>
          <w:iCs w:val="1"/>
          <w:noProof w:val="0"/>
          <w:color w:val="000000" w:themeColor="text1" w:themeTint="FF" w:themeShade="FF"/>
          <w:sz w:val="22"/>
          <w:szCs w:val="22"/>
          <w:lang w:val="en-GB"/>
        </w:rPr>
        <w:t>CIPD Resourcing and Talent Planning Report (2024)</w:t>
      </w:r>
      <w:r w:rsidRPr="784FB87E" w:rsidR="492844A9">
        <w:rPr>
          <w:rFonts w:ascii="Arial" w:hAnsi="Arial" w:eastAsia="Arial" w:cs="Arial"/>
          <w:noProof w:val="0"/>
          <w:color w:val="000000" w:themeColor="text1" w:themeTint="FF" w:themeShade="FF"/>
          <w:sz w:val="22"/>
          <w:szCs w:val="22"/>
          <w:lang w:val="en-GB"/>
        </w:rPr>
        <w:t xml:space="preserve"> notes that 69 per cent of employers faced increased competition for talent in the previous year, with 56 per cent struggling to retain existing employees (cipd.org.uk). Post</w:t>
      </w:r>
      <w:r>
        <w:noBreakHyphen/>
      </w:r>
      <w:r w:rsidRPr="784FB87E" w:rsidR="492844A9">
        <w:rPr>
          <w:rFonts w:ascii="Arial" w:hAnsi="Arial" w:eastAsia="Arial" w:cs="Arial"/>
          <w:noProof w:val="0"/>
          <w:color w:val="000000" w:themeColor="text1" w:themeTint="FF" w:themeShade="FF"/>
          <w:sz w:val="22"/>
          <w:szCs w:val="22"/>
          <w:lang w:val="en-GB"/>
        </w:rPr>
        <w:t xml:space="preserve">pandemic expectations concerning flexible work, wellbeing and purpose have dramatically shifted workforce attitudes. Many applicants carefully consider company culture before accepting roles, while existing staff expect recognition, growth opportunities and balance between work and personal life. </w:t>
      </w:r>
    </w:p>
    <w:p xmlns:wp14="http://schemas.microsoft.com/office/word/2010/wordml" w:rsidP="784FB87E" wp14:paraId="5AB79E02" wp14:textId="57D30BFB">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Tesco competes for both entry</w:t>
      </w:r>
      <w:r>
        <w:noBreakHyphen/>
      </w:r>
      <w:r w:rsidRPr="784FB87E" w:rsidR="492844A9">
        <w:rPr>
          <w:rFonts w:ascii="Arial" w:hAnsi="Arial" w:eastAsia="Arial" w:cs="Arial"/>
          <w:noProof w:val="0"/>
          <w:color w:val="000000" w:themeColor="text1" w:themeTint="FF" w:themeShade="FF"/>
          <w:sz w:val="22"/>
          <w:szCs w:val="22"/>
          <w:lang w:val="en-GB"/>
        </w:rPr>
        <w:t>level and technical roles in a tight labour market. Logistics, IT and data</w:t>
      </w:r>
      <w:r>
        <w:noBreakHyphen/>
      </w:r>
      <w:r w:rsidRPr="784FB87E" w:rsidR="492844A9">
        <w:rPr>
          <w:rFonts w:ascii="Arial" w:hAnsi="Arial" w:eastAsia="Arial" w:cs="Arial"/>
          <w:noProof w:val="0"/>
          <w:color w:val="000000" w:themeColor="text1" w:themeTint="FF" w:themeShade="FF"/>
          <w:sz w:val="22"/>
          <w:szCs w:val="22"/>
          <w:lang w:val="en-GB"/>
        </w:rPr>
        <w:t xml:space="preserve">analysis jobs now compete directly with technology firms offering remote flexibility and modern benefits. The </w:t>
      </w:r>
      <w:r w:rsidRPr="784FB87E" w:rsidR="492844A9">
        <w:rPr>
          <w:rFonts w:ascii="Arial" w:hAnsi="Arial" w:eastAsia="Arial" w:cs="Arial"/>
          <w:i w:val="1"/>
          <w:iCs w:val="1"/>
          <w:noProof w:val="0"/>
          <w:color w:val="000000" w:themeColor="text1" w:themeTint="FF" w:themeShade="FF"/>
          <w:sz w:val="22"/>
          <w:szCs w:val="22"/>
          <w:lang w:val="en-GB"/>
        </w:rPr>
        <w:t>ManpowerGroup UK Talent Shortage 2026</w:t>
      </w:r>
      <w:r w:rsidRPr="784FB87E" w:rsidR="492844A9">
        <w:rPr>
          <w:rFonts w:ascii="Arial" w:hAnsi="Arial" w:eastAsia="Arial" w:cs="Arial"/>
          <w:noProof w:val="0"/>
          <w:color w:val="000000" w:themeColor="text1" w:themeTint="FF" w:themeShade="FF"/>
          <w:sz w:val="22"/>
          <w:szCs w:val="22"/>
          <w:lang w:val="en-GB"/>
        </w:rPr>
        <w:t xml:space="preserve"> survey reports that the hardest positions to fill nationwide are digital and managerial roles, and that employers focusing on internal training outperform those that rely purely on recruitment (manpower.co.uk). </w:t>
      </w:r>
    </w:p>
    <w:p xmlns:wp14="http://schemas.microsoft.com/office/word/2010/wordml" w:rsidP="784FB87E" wp14:paraId="0348D2AC" wp14:textId="3E8D7ABD">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Another dimension of the talent challenge involves retention within frontline store operations. These roles often involve antisocial hours and physical work. HR practitioners must therefore maintain fairness, career prospects and wellbeing for workers whose contribution underpins Tesco’s success. If these needs remain unmet, turnover will rise, damaging both morale and customer service. </w:t>
      </w:r>
    </w:p>
    <w:p xmlns:wp14="http://schemas.microsoft.com/office/word/2010/wordml" w:rsidP="784FB87E" wp14:paraId="684B866E" wp14:textId="3BF8E2A1">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Diversity, Equity and Inclusion (DEI)</w:t>
      </w:r>
    </w:p>
    <w:p xmlns:wp14="http://schemas.microsoft.com/office/word/2010/wordml" w:rsidP="784FB87E" wp14:paraId="41C02707" wp14:textId="1AFF9915">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DEI has evolved from being an ethical responsibility to becoming a strategic business priority. Tesco’s customer base is one of the most diverse in the UK, making it essential for the workforce to reflect society. The company publicly commits to equality and has introduced initiatives such as its “Everyone’s Welcome” plan. Yet, as the </w:t>
      </w:r>
      <w:r w:rsidRPr="784FB87E" w:rsidR="492844A9">
        <w:rPr>
          <w:rFonts w:ascii="Arial" w:hAnsi="Arial" w:eastAsia="Arial" w:cs="Arial"/>
          <w:i w:val="1"/>
          <w:iCs w:val="1"/>
          <w:noProof w:val="0"/>
          <w:color w:val="000000" w:themeColor="text1" w:themeTint="FF" w:themeShade="FF"/>
          <w:sz w:val="22"/>
          <w:szCs w:val="22"/>
          <w:lang w:val="en-GB"/>
        </w:rPr>
        <w:t>Lewis Silkin Future @ Work (2026)</w:t>
      </w:r>
      <w:r w:rsidRPr="784FB87E" w:rsidR="492844A9">
        <w:rPr>
          <w:rFonts w:ascii="Arial" w:hAnsi="Arial" w:eastAsia="Arial" w:cs="Arial"/>
          <w:noProof w:val="0"/>
          <w:color w:val="000000" w:themeColor="text1" w:themeTint="FF" w:themeShade="FF"/>
          <w:sz w:val="22"/>
          <w:szCs w:val="22"/>
          <w:lang w:val="en-GB"/>
        </w:rPr>
        <w:t xml:space="preserve"> report explains, embedding diversity requires more than policy statements  it relies on everyday managerial behaviour that values different voices (lewissilkin.com). </w:t>
      </w:r>
    </w:p>
    <w:p xmlns:wp14="http://schemas.microsoft.com/office/word/2010/wordml" w:rsidP="784FB87E" wp14:paraId="67D147FC" wp14:textId="1A478CB7">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A diverse workforce yields creativity, innovation and better understanding of customer needs. However, achieving this requires removing structural barriers within recruitment, career progression and pay. Without deliberate equity measures, under</w:t>
      </w:r>
      <w:r>
        <w:noBreakHyphen/>
      </w:r>
      <w:r w:rsidRPr="784FB87E" w:rsidR="492844A9">
        <w:rPr>
          <w:rFonts w:ascii="Arial" w:hAnsi="Arial" w:eastAsia="Arial" w:cs="Arial"/>
          <w:noProof w:val="0"/>
          <w:color w:val="000000" w:themeColor="text1" w:themeTint="FF" w:themeShade="FF"/>
          <w:sz w:val="22"/>
          <w:szCs w:val="22"/>
          <w:lang w:val="en-GB"/>
        </w:rPr>
        <w:t xml:space="preserve">representation in leadership roles can persist. Research also shows that inclusion improves retention; employees who feel respected are more likely to stay and perform at their best. For Tesco, consistent DEI integration will enhance both ethics and performance while strengthening its brand reputation as an inclusive employer. </w:t>
      </w:r>
    </w:p>
    <w:p xmlns:wp14="http://schemas.microsoft.com/office/word/2010/wordml" w:rsidP="784FB87E" wp14:paraId="7CE30176" wp14:textId="68D6F4F0">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2. Evaluation of Contemporary HR Practices</w:t>
      </w:r>
    </w:p>
    <w:p xmlns:wp14="http://schemas.microsoft.com/office/word/2010/wordml" w:rsidP="784FB87E" wp14:paraId="51D0D04E" wp14:textId="11C4D31C">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Managing Technological Advancement through Reskilling</w:t>
      </w:r>
    </w:p>
    <w:p xmlns:wp14="http://schemas.microsoft.com/office/word/2010/wordml" w:rsidP="784FB87E" wp14:paraId="4D8A8F9B" wp14:textId="237E1719">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A major modern solution to technology disruption is strategic </w:t>
      </w:r>
      <w:r w:rsidRPr="784FB87E" w:rsidR="492844A9">
        <w:rPr>
          <w:rFonts w:ascii="Arial" w:hAnsi="Arial" w:eastAsia="Arial" w:cs="Arial"/>
          <w:b w:val="1"/>
          <w:bCs w:val="1"/>
          <w:noProof w:val="0"/>
          <w:color w:val="000000" w:themeColor="text1" w:themeTint="FF" w:themeShade="FF"/>
          <w:sz w:val="22"/>
          <w:szCs w:val="22"/>
          <w:lang w:val="en-GB"/>
        </w:rPr>
        <w:t>reskilling and upskilling</w:t>
      </w:r>
      <w:r w:rsidRPr="784FB87E" w:rsidR="492844A9">
        <w:rPr>
          <w:rFonts w:ascii="Arial" w:hAnsi="Arial" w:eastAsia="Arial" w:cs="Arial"/>
          <w:noProof w:val="0"/>
          <w:color w:val="000000" w:themeColor="text1" w:themeTint="FF" w:themeShade="FF"/>
          <w:sz w:val="22"/>
          <w:szCs w:val="22"/>
          <w:lang w:val="en-GB"/>
        </w:rPr>
        <w:t xml:space="preserve">. The </w:t>
      </w:r>
      <w:r w:rsidRPr="784FB87E" w:rsidR="492844A9">
        <w:rPr>
          <w:rFonts w:ascii="Arial" w:hAnsi="Arial" w:eastAsia="Arial" w:cs="Arial"/>
          <w:i w:val="1"/>
          <w:iCs w:val="1"/>
          <w:noProof w:val="0"/>
          <w:color w:val="000000" w:themeColor="text1" w:themeTint="FF" w:themeShade="FF"/>
          <w:sz w:val="22"/>
          <w:szCs w:val="22"/>
          <w:lang w:val="en-GB"/>
        </w:rPr>
        <w:t>CIPD (2026)</w:t>
      </w:r>
      <w:r w:rsidRPr="784FB87E" w:rsidR="492844A9">
        <w:rPr>
          <w:rFonts w:ascii="Arial" w:hAnsi="Arial" w:eastAsia="Arial" w:cs="Arial"/>
          <w:noProof w:val="0"/>
          <w:color w:val="000000" w:themeColor="text1" w:themeTint="FF" w:themeShade="FF"/>
          <w:sz w:val="22"/>
          <w:szCs w:val="22"/>
          <w:lang w:val="en-GB"/>
        </w:rPr>
        <w:t xml:space="preserve"> finds that organisations which treat learning as an ongoing process experience higher efficiency and engagement (cipd.org.uk). Tesco can implement blended learning using bite</w:t>
      </w:r>
      <w:r>
        <w:noBreakHyphen/>
      </w:r>
      <w:r w:rsidRPr="784FB87E" w:rsidR="492844A9">
        <w:rPr>
          <w:rFonts w:ascii="Arial" w:hAnsi="Arial" w:eastAsia="Arial" w:cs="Arial"/>
          <w:noProof w:val="0"/>
          <w:color w:val="000000" w:themeColor="text1" w:themeTint="FF" w:themeShade="FF"/>
          <w:sz w:val="22"/>
          <w:szCs w:val="22"/>
          <w:lang w:val="en-GB"/>
        </w:rPr>
        <w:t xml:space="preserve">sized online modules, simulations and peer mentoring to develop digital confidence. These methods suit employees across age groups and allow flexibility around working hours. Regular refresher sessions can also prevent skill decay as technologies upgrade. </w:t>
      </w:r>
    </w:p>
    <w:p xmlns:wp14="http://schemas.microsoft.com/office/word/2010/wordml" w:rsidP="784FB87E" wp14:paraId="07829848" wp14:textId="28497BE2">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A second practice involves adopting advanced </w:t>
      </w:r>
      <w:r w:rsidRPr="784FB87E" w:rsidR="492844A9">
        <w:rPr>
          <w:rFonts w:ascii="Arial" w:hAnsi="Arial" w:eastAsia="Arial" w:cs="Arial"/>
          <w:b w:val="1"/>
          <w:bCs w:val="1"/>
          <w:noProof w:val="0"/>
          <w:color w:val="000000" w:themeColor="text1" w:themeTint="FF" w:themeShade="FF"/>
          <w:sz w:val="22"/>
          <w:szCs w:val="22"/>
          <w:lang w:val="en-GB"/>
        </w:rPr>
        <w:t>human</w:t>
      </w:r>
      <w:r>
        <w:noBreakHyphen/>
      </w:r>
      <w:r w:rsidRPr="784FB87E" w:rsidR="492844A9">
        <w:rPr>
          <w:rFonts w:ascii="Arial" w:hAnsi="Arial" w:eastAsia="Arial" w:cs="Arial"/>
          <w:b w:val="1"/>
          <w:bCs w:val="1"/>
          <w:noProof w:val="0"/>
          <w:color w:val="000000" w:themeColor="text1" w:themeTint="FF" w:themeShade="FF"/>
          <w:sz w:val="22"/>
          <w:szCs w:val="22"/>
          <w:lang w:val="en-GB"/>
        </w:rPr>
        <w:t>resource management systems (HRMS)</w:t>
      </w:r>
      <w:r w:rsidRPr="784FB87E" w:rsidR="492844A9">
        <w:rPr>
          <w:rFonts w:ascii="Arial" w:hAnsi="Arial" w:eastAsia="Arial" w:cs="Arial"/>
          <w:noProof w:val="0"/>
          <w:color w:val="000000" w:themeColor="text1" w:themeTint="FF" w:themeShade="FF"/>
          <w:sz w:val="22"/>
          <w:szCs w:val="22"/>
          <w:lang w:val="en-GB"/>
        </w:rPr>
        <w:t xml:space="preserve">. Integrated digital platforms automate routine HR activities such as rota planning, payroll and attendance tracking while generating analytics on turnover trends or training uptake. For Tesco’s large and geographically dispersed workforce, this technological backbone enhances consistency and fairness. Nevertheless, data ethics must remain prioritised: transparent communication about how information is collected and used maintains employee trust. </w:t>
      </w:r>
    </w:p>
    <w:p xmlns:wp14="http://schemas.microsoft.com/office/word/2010/wordml" w:rsidP="784FB87E" wp14:paraId="00663745" wp14:textId="46AD4676">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Moreover, fostering a </w:t>
      </w:r>
      <w:r w:rsidRPr="784FB87E" w:rsidR="492844A9">
        <w:rPr>
          <w:rFonts w:ascii="Arial" w:hAnsi="Arial" w:eastAsia="Arial" w:cs="Arial"/>
          <w:b w:val="1"/>
          <w:bCs w:val="1"/>
          <w:noProof w:val="0"/>
          <w:color w:val="000000" w:themeColor="text1" w:themeTint="FF" w:themeShade="FF"/>
          <w:sz w:val="22"/>
          <w:szCs w:val="22"/>
          <w:lang w:val="en-GB"/>
        </w:rPr>
        <w:t>digital culture</w:t>
      </w:r>
      <w:r w:rsidRPr="784FB87E" w:rsidR="492844A9">
        <w:rPr>
          <w:rFonts w:ascii="Arial" w:hAnsi="Arial" w:eastAsia="Arial" w:cs="Arial"/>
          <w:noProof w:val="0"/>
          <w:color w:val="000000" w:themeColor="text1" w:themeTint="FF" w:themeShade="FF"/>
          <w:sz w:val="22"/>
          <w:szCs w:val="22"/>
          <w:lang w:val="en-GB"/>
        </w:rPr>
        <w:t xml:space="preserve"> within HR itself strengthens credibility. When HR </w:t>
      </w:r>
      <w:r w:rsidRPr="784FB87E" w:rsidR="676751A1">
        <w:rPr>
          <w:rFonts w:ascii="Arial" w:hAnsi="Arial" w:eastAsia="Arial" w:cs="Arial"/>
          <w:noProof w:val="0"/>
          <w:color w:val="000000" w:themeColor="text1" w:themeTint="FF" w:themeShade="FF"/>
          <w:sz w:val="22"/>
          <w:szCs w:val="22"/>
          <w:lang w:val="en-GB"/>
        </w:rPr>
        <w:t>professionals'</w:t>
      </w:r>
      <w:r w:rsidRPr="784FB87E" w:rsidR="492844A9">
        <w:rPr>
          <w:rFonts w:ascii="Arial" w:hAnsi="Arial" w:eastAsia="Arial" w:cs="Arial"/>
          <w:noProof w:val="0"/>
          <w:color w:val="000000" w:themeColor="text1" w:themeTint="FF" w:themeShade="FF"/>
          <w:sz w:val="22"/>
          <w:szCs w:val="22"/>
          <w:lang w:val="en-GB"/>
        </w:rPr>
        <w:t xml:space="preserve"> model digital fluency and promote data</w:t>
      </w:r>
      <w:r>
        <w:noBreakHyphen/>
      </w:r>
      <w:r w:rsidRPr="784FB87E" w:rsidR="492844A9">
        <w:rPr>
          <w:rFonts w:ascii="Arial" w:hAnsi="Arial" w:eastAsia="Arial" w:cs="Arial"/>
          <w:noProof w:val="0"/>
          <w:color w:val="000000" w:themeColor="text1" w:themeTint="FF" w:themeShade="FF"/>
          <w:sz w:val="22"/>
          <w:szCs w:val="22"/>
          <w:lang w:val="en-GB"/>
        </w:rPr>
        <w:t>driven decisions, employees are more willing to engage with technology. Combining these initiatives develops an agile workforce capable of adapting to future innovation cycles, whether in automation, analytics or AI</w:t>
      </w:r>
      <w:r>
        <w:noBreakHyphen/>
      </w:r>
      <w:r w:rsidRPr="784FB87E" w:rsidR="492844A9">
        <w:rPr>
          <w:rFonts w:ascii="Arial" w:hAnsi="Arial" w:eastAsia="Arial" w:cs="Arial"/>
          <w:noProof w:val="0"/>
          <w:color w:val="000000" w:themeColor="text1" w:themeTint="FF" w:themeShade="FF"/>
          <w:sz w:val="22"/>
          <w:szCs w:val="22"/>
          <w:lang w:val="en-GB"/>
        </w:rPr>
        <w:t>driven decision</w:t>
      </w:r>
      <w:r>
        <w:noBreakHyphen/>
      </w:r>
      <w:r w:rsidRPr="784FB87E" w:rsidR="492844A9">
        <w:rPr>
          <w:rFonts w:ascii="Arial" w:hAnsi="Arial" w:eastAsia="Arial" w:cs="Arial"/>
          <w:noProof w:val="0"/>
          <w:color w:val="000000" w:themeColor="text1" w:themeTint="FF" w:themeShade="FF"/>
          <w:sz w:val="22"/>
          <w:szCs w:val="22"/>
          <w:lang w:val="en-GB"/>
        </w:rPr>
        <w:t xml:space="preserve">making. </w:t>
      </w:r>
    </w:p>
    <w:p xmlns:wp14="http://schemas.microsoft.com/office/word/2010/wordml" w:rsidP="784FB87E" wp14:paraId="60103A84" wp14:textId="42213D9E">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Contemporary Practices in Talent Acquisition and Retention</w:t>
      </w:r>
    </w:p>
    <w:p xmlns:wp14="http://schemas.microsoft.com/office/word/2010/wordml" w:rsidP="784FB87E" wp14:paraId="79CC7E26" wp14:textId="3EBF1CA8">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Today’s leading organisations view talent management as a holistic experience covering recruitment, development, recognition and wellbeing. Tesco can enhance its </w:t>
      </w:r>
      <w:r w:rsidRPr="784FB87E" w:rsidR="492844A9">
        <w:rPr>
          <w:rFonts w:ascii="Arial" w:hAnsi="Arial" w:eastAsia="Arial" w:cs="Arial"/>
          <w:b w:val="1"/>
          <w:bCs w:val="1"/>
          <w:noProof w:val="0"/>
          <w:color w:val="000000" w:themeColor="text1" w:themeTint="FF" w:themeShade="FF"/>
          <w:sz w:val="22"/>
          <w:szCs w:val="22"/>
          <w:lang w:val="en-GB"/>
        </w:rPr>
        <w:t>employer brand</w:t>
      </w:r>
      <w:r w:rsidRPr="784FB87E" w:rsidR="492844A9">
        <w:rPr>
          <w:rFonts w:ascii="Arial" w:hAnsi="Arial" w:eastAsia="Arial" w:cs="Arial"/>
          <w:noProof w:val="0"/>
          <w:color w:val="000000" w:themeColor="text1" w:themeTint="FF" w:themeShade="FF"/>
          <w:sz w:val="22"/>
          <w:szCs w:val="22"/>
          <w:lang w:val="en-GB"/>
        </w:rPr>
        <w:t xml:space="preserve"> by communicating authentic stories about internal mobility, sustainability and community engagement. The </w:t>
      </w:r>
      <w:r w:rsidRPr="784FB87E" w:rsidR="492844A9">
        <w:rPr>
          <w:rFonts w:ascii="Arial" w:hAnsi="Arial" w:eastAsia="Arial" w:cs="Arial"/>
          <w:i w:val="1"/>
          <w:iCs w:val="1"/>
          <w:noProof w:val="0"/>
          <w:color w:val="000000" w:themeColor="text1" w:themeTint="FF" w:themeShade="FF"/>
          <w:sz w:val="22"/>
          <w:szCs w:val="22"/>
          <w:lang w:val="en-GB"/>
        </w:rPr>
        <w:t>CIPD (2024)</w:t>
      </w:r>
      <w:r w:rsidRPr="784FB87E" w:rsidR="492844A9">
        <w:rPr>
          <w:rFonts w:ascii="Arial" w:hAnsi="Arial" w:eastAsia="Arial" w:cs="Arial"/>
          <w:noProof w:val="0"/>
          <w:color w:val="000000" w:themeColor="text1" w:themeTint="FF" w:themeShade="FF"/>
          <w:sz w:val="22"/>
          <w:szCs w:val="22"/>
          <w:lang w:val="en-GB"/>
        </w:rPr>
        <w:t xml:space="preserve"> confirms that strong employer branding correlates directly with applicant quality (cipd.org.uk). Social</w:t>
      </w:r>
      <w:r>
        <w:noBreakHyphen/>
      </w:r>
      <w:r w:rsidRPr="784FB87E" w:rsidR="492844A9">
        <w:rPr>
          <w:rFonts w:ascii="Arial" w:hAnsi="Arial" w:eastAsia="Arial" w:cs="Arial"/>
          <w:noProof w:val="0"/>
          <w:color w:val="000000" w:themeColor="text1" w:themeTint="FF" w:themeShade="FF"/>
          <w:sz w:val="22"/>
          <w:szCs w:val="22"/>
          <w:lang w:val="en-GB"/>
        </w:rPr>
        <w:t xml:space="preserve">media recruitment campaigns featuring real employees help convey a positive culture that emphasises opportunity and belonging. </w:t>
      </w:r>
    </w:p>
    <w:p xmlns:wp14="http://schemas.microsoft.com/office/word/2010/wordml" w:rsidP="784FB87E" wp14:paraId="10B9B37B" wp14:textId="58CC1C82">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In recruitment, </w:t>
      </w:r>
      <w:r w:rsidRPr="784FB87E" w:rsidR="492844A9">
        <w:rPr>
          <w:rFonts w:ascii="Arial" w:hAnsi="Arial" w:eastAsia="Arial" w:cs="Arial"/>
          <w:b w:val="1"/>
          <w:bCs w:val="1"/>
          <w:noProof w:val="0"/>
          <w:color w:val="000000" w:themeColor="text1" w:themeTint="FF" w:themeShade="FF"/>
          <w:sz w:val="22"/>
          <w:szCs w:val="22"/>
          <w:lang w:val="en-GB"/>
        </w:rPr>
        <w:t>AI</w:t>
      </w:r>
      <w:r>
        <w:noBreakHyphen/>
      </w:r>
      <w:r w:rsidRPr="784FB87E" w:rsidR="492844A9">
        <w:rPr>
          <w:rFonts w:ascii="Arial" w:hAnsi="Arial" w:eastAsia="Arial" w:cs="Arial"/>
          <w:b w:val="1"/>
          <w:bCs w:val="1"/>
          <w:noProof w:val="0"/>
          <w:color w:val="000000" w:themeColor="text1" w:themeTint="FF" w:themeShade="FF"/>
          <w:sz w:val="22"/>
          <w:szCs w:val="22"/>
          <w:lang w:val="en-GB"/>
        </w:rPr>
        <w:t>supported screening tools</w:t>
      </w:r>
      <w:r w:rsidRPr="784FB87E" w:rsidR="492844A9">
        <w:rPr>
          <w:rFonts w:ascii="Arial" w:hAnsi="Arial" w:eastAsia="Arial" w:cs="Arial"/>
          <w:noProof w:val="0"/>
          <w:color w:val="000000" w:themeColor="text1" w:themeTint="FF" w:themeShade="FF"/>
          <w:sz w:val="22"/>
          <w:szCs w:val="22"/>
          <w:lang w:val="en-GB"/>
        </w:rPr>
        <w:t xml:space="preserve"> can speed application processing and reduce unconscious bias when properly programmed. Structured interviews combined with objective scoring ensure transparency. Yet, automation must not eliminate empathy; final hiring choices should still include human evaluation to assess interpersonal fit. </w:t>
      </w:r>
    </w:p>
    <w:p xmlns:wp14="http://schemas.microsoft.com/office/word/2010/wordml" w:rsidP="784FB87E" wp14:paraId="020A618A" wp14:textId="2AFF5DE7">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Retention requires continuous attention. Modern HR practice encourages </w:t>
      </w:r>
      <w:r w:rsidRPr="784FB87E" w:rsidR="492844A9">
        <w:rPr>
          <w:rFonts w:ascii="Arial" w:hAnsi="Arial" w:eastAsia="Arial" w:cs="Arial"/>
          <w:b w:val="1"/>
          <w:bCs w:val="1"/>
          <w:noProof w:val="0"/>
          <w:color w:val="000000" w:themeColor="text1" w:themeTint="FF" w:themeShade="FF"/>
          <w:sz w:val="22"/>
          <w:szCs w:val="22"/>
          <w:lang w:val="en-GB"/>
        </w:rPr>
        <w:t>employee experience mapping</w:t>
      </w:r>
      <w:r w:rsidRPr="784FB87E" w:rsidR="492844A9">
        <w:rPr>
          <w:rFonts w:ascii="Arial" w:hAnsi="Arial" w:eastAsia="Arial" w:cs="Arial"/>
          <w:noProof w:val="0"/>
          <w:color w:val="000000" w:themeColor="text1" w:themeTint="FF" w:themeShade="FF"/>
          <w:sz w:val="22"/>
          <w:szCs w:val="22"/>
          <w:lang w:val="en-GB"/>
        </w:rPr>
        <w:t xml:space="preserve">, </w:t>
      </w:r>
      <w:r w:rsidRPr="784FB87E" w:rsidR="492844A9">
        <w:rPr>
          <w:rFonts w:ascii="Arial" w:hAnsi="Arial" w:eastAsia="Arial" w:cs="Arial"/>
          <w:noProof w:val="0"/>
          <w:color w:val="000000" w:themeColor="text1" w:themeTint="FF" w:themeShade="FF"/>
          <w:sz w:val="22"/>
          <w:szCs w:val="22"/>
          <w:lang w:val="en-GB"/>
        </w:rPr>
        <w:t>identifying</w:t>
      </w:r>
      <w:r w:rsidRPr="784FB87E" w:rsidR="492844A9">
        <w:rPr>
          <w:rFonts w:ascii="Arial" w:hAnsi="Arial" w:eastAsia="Arial" w:cs="Arial"/>
          <w:noProof w:val="0"/>
          <w:color w:val="000000" w:themeColor="text1" w:themeTint="FF" w:themeShade="FF"/>
          <w:sz w:val="22"/>
          <w:szCs w:val="22"/>
          <w:lang w:val="en-GB"/>
        </w:rPr>
        <w:t xml:space="preserve"> each stage of the work </w:t>
      </w:r>
      <w:r w:rsidRPr="784FB87E" w:rsidR="79709184">
        <w:rPr>
          <w:rFonts w:ascii="Arial" w:hAnsi="Arial" w:eastAsia="Arial" w:cs="Arial"/>
          <w:noProof w:val="0"/>
          <w:color w:val="000000" w:themeColor="text1" w:themeTint="FF" w:themeShade="FF"/>
          <w:sz w:val="22"/>
          <w:szCs w:val="22"/>
          <w:lang w:val="en-GB"/>
        </w:rPr>
        <w:t>journey onboarding</w:t>
      </w:r>
      <w:r w:rsidRPr="784FB87E" w:rsidR="492844A9">
        <w:rPr>
          <w:rFonts w:ascii="Arial" w:hAnsi="Arial" w:eastAsia="Arial" w:cs="Arial"/>
          <w:noProof w:val="0"/>
          <w:color w:val="000000" w:themeColor="text1" w:themeTint="FF" w:themeShade="FF"/>
          <w:sz w:val="22"/>
          <w:szCs w:val="22"/>
          <w:lang w:val="en-GB"/>
        </w:rPr>
        <w:t xml:space="preserve">, training, performance review, and </w:t>
      </w:r>
      <w:r w:rsidRPr="784FB87E" w:rsidR="6C70BBC3">
        <w:rPr>
          <w:rFonts w:ascii="Arial" w:hAnsi="Arial" w:eastAsia="Arial" w:cs="Arial"/>
          <w:noProof w:val="0"/>
          <w:color w:val="000000" w:themeColor="text1" w:themeTint="FF" w:themeShade="FF"/>
          <w:sz w:val="22"/>
          <w:szCs w:val="22"/>
          <w:lang w:val="en-GB"/>
        </w:rPr>
        <w:t>recognition from</w:t>
      </w:r>
      <w:r w:rsidRPr="784FB87E" w:rsidR="492844A9">
        <w:rPr>
          <w:rFonts w:ascii="Arial" w:hAnsi="Arial" w:eastAsia="Arial" w:cs="Arial"/>
          <w:noProof w:val="0"/>
          <w:color w:val="000000" w:themeColor="text1" w:themeTint="FF" w:themeShade="FF"/>
          <w:sz w:val="22"/>
          <w:szCs w:val="22"/>
          <w:lang w:val="en-GB"/>
        </w:rPr>
        <w:t xml:space="preserve"> the employee’s perspective. Using survey feedback to improve these touchpoints </w:t>
      </w:r>
      <w:r w:rsidRPr="784FB87E" w:rsidR="492844A9">
        <w:rPr>
          <w:rFonts w:ascii="Arial" w:hAnsi="Arial" w:eastAsia="Arial" w:cs="Arial"/>
          <w:noProof w:val="0"/>
          <w:color w:val="000000" w:themeColor="text1" w:themeTint="FF" w:themeShade="FF"/>
          <w:sz w:val="22"/>
          <w:szCs w:val="22"/>
          <w:lang w:val="en-GB"/>
        </w:rPr>
        <w:t>demonstrates</w:t>
      </w:r>
      <w:r w:rsidRPr="784FB87E" w:rsidR="492844A9">
        <w:rPr>
          <w:rFonts w:ascii="Arial" w:hAnsi="Arial" w:eastAsia="Arial" w:cs="Arial"/>
          <w:noProof w:val="0"/>
          <w:color w:val="000000" w:themeColor="text1" w:themeTint="FF" w:themeShade="FF"/>
          <w:sz w:val="22"/>
          <w:szCs w:val="22"/>
          <w:lang w:val="en-GB"/>
        </w:rPr>
        <w:t xml:space="preserve"> genuine care. Tesco also </w:t>
      </w:r>
      <w:r w:rsidRPr="784FB87E" w:rsidR="492844A9">
        <w:rPr>
          <w:rFonts w:ascii="Arial" w:hAnsi="Arial" w:eastAsia="Arial" w:cs="Arial"/>
          <w:noProof w:val="0"/>
          <w:color w:val="000000" w:themeColor="text1" w:themeTint="FF" w:themeShade="FF"/>
          <w:sz w:val="22"/>
          <w:szCs w:val="22"/>
          <w:lang w:val="en-GB"/>
        </w:rPr>
        <w:t>benefits</w:t>
      </w:r>
      <w:r w:rsidRPr="784FB87E" w:rsidR="492844A9">
        <w:rPr>
          <w:rFonts w:ascii="Arial" w:hAnsi="Arial" w:eastAsia="Arial" w:cs="Arial"/>
          <w:noProof w:val="0"/>
          <w:color w:val="000000" w:themeColor="text1" w:themeTint="FF" w:themeShade="FF"/>
          <w:sz w:val="22"/>
          <w:szCs w:val="22"/>
          <w:lang w:val="en-GB"/>
        </w:rPr>
        <w:t xml:space="preserve"> from promoting </w:t>
      </w:r>
      <w:r w:rsidRPr="784FB87E" w:rsidR="492844A9">
        <w:rPr>
          <w:rFonts w:ascii="Arial" w:hAnsi="Arial" w:eastAsia="Arial" w:cs="Arial"/>
          <w:b w:val="1"/>
          <w:bCs w:val="1"/>
          <w:noProof w:val="0"/>
          <w:color w:val="000000" w:themeColor="text1" w:themeTint="FF" w:themeShade="FF"/>
          <w:sz w:val="22"/>
          <w:szCs w:val="22"/>
          <w:lang w:val="en-GB"/>
        </w:rPr>
        <w:t>learning and career mobility</w:t>
      </w:r>
      <w:r w:rsidRPr="784FB87E" w:rsidR="492844A9">
        <w:rPr>
          <w:rFonts w:ascii="Arial" w:hAnsi="Arial" w:eastAsia="Arial" w:cs="Arial"/>
          <w:noProof w:val="0"/>
          <w:color w:val="000000" w:themeColor="text1" w:themeTint="FF" w:themeShade="FF"/>
          <w:sz w:val="22"/>
          <w:szCs w:val="22"/>
          <w:lang w:val="en-GB"/>
        </w:rPr>
        <w:t>, extending its apprenticeships and leadership programmes to more store</w:t>
      </w:r>
      <w:r>
        <w:noBreakHyphen/>
      </w:r>
      <w:r w:rsidRPr="784FB87E" w:rsidR="492844A9">
        <w:rPr>
          <w:rFonts w:ascii="Arial" w:hAnsi="Arial" w:eastAsia="Arial" w:cs="Arial"/>
          <w:noProof w:val="0"/>
          <w:color w:val="000000" w:themeColor="text1" w:themeTint="FF" w:themeShade="FF"/>
          <w:sz w:val="22"/>
          <w:szCs w:val="22"/>
          <w:lang w:val="en-GB"/>
        </w:rPr>
        <w:t xml:space="preserve">level employees. Such internal development reduces external recruitment dependency and builds loyalty. </w:t>
      </w:r>
    </w:p>
    <w:p xmlns:wp14="http://schemas.microsoft.com/office/word/2010/wordml" w:rsidP="784FB87E" wp14:paraId="12F6D988" wp14:textId="17BE3FE9">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Finally, wellbeing and flexibility remain vital. Introducing job</w:t>
      </w:r>
      <w:r>
        <w:noBreakHyphen/>
      </w:r>
      <w:r w:rsidRPr="784FB87E" w:rsidR="492844A9">
        <w:rPr>
          <w:rFonts w:ascii="Arial" w:hAnsi="Arial" w:eastAsia="Arial" w:cs="Arial"/>
          <w:noProof w:val="0"/>
          <w:color w:val="000000" w:themeColor="text1" w:themeTint="FF" w:themeShade="FF"/>
          <w:sz w:val="22"/>
          <w:szCs w:val="22"/>
          <w:lang w:val="en-GB"/>
        </w:rPr>
        <w:t>share models, predictable shift patterns, and health initiatives not only lower stress but support long</w:t>
      </w:r>
      <w:r>
        <w:noBreakHyphen/>
      </w:r>
      <w:r w:rsidRPr="784FB87E" w:rsidR="492844A9">
        <w:rPr>
          <w:rFonts w:ascii="Arial" w:hAnsi="Arial" w:eastAsia="Arial" w:cs="Arial"/>
          <w:noProof w:val="0"/>
          <w:color w:val="000000" w:themeColor="text1" w:themeTint="FF" w:themeShade="FF"/>
          <w:sz w:val="22"/>
          <w:szCs w:val="22"/>
          <w:lang w:val="en-GB"/>
        </w:rPr>
        <w:t xml:space="preserve">term retention. Evidence from </w:t>
      </w:r>
      <w:r w:rsidRPr="784FB87E" w:rsidR="492844A9">
        <w:rPr>
          <w:rFonts w:ascii="Arial" w:hAnsi="Arial" w:eastAsia="Arial" w:cs="Arial"/>
          <w:i w:val="1"/>
          <w:iCs w:val="1"/>
          <w:noProof w:val="0"/>
          <w:color w:val="000000" w:themeColor="text1" w:themeTint="FF" w:themeShade="FF"/>
          <w:sz w:val="22"/>
          <w:szCs w:val="22"/>
          <w:lang w:val="en-GB"/>
        </w:rPr>
        <w:t>Armstrong &amp; Taylor (2020)</w:t>
      </w:r>
      <w:r w:rsidRPr="784FB87E" w:rsidR="492844A9">
        <w:rPr>
          <w:rFonts w:ascii="Arial" w:hAnsi="Arial" w:eastAsia="Arial" w:cs="Arial"/>
          <w:noProof w:val="0"/>
          <w:color w:val="000000" w:themeColor="text1" w:themeTint="FF" w:themeShade="FF"/>
          <w:sz w:val="22"/>
          <w:szCs w:val="22"/>
          <w:lang w:val="en-GB"/>
        </w:rPr>
        <w:t xml:space="preserve"> indicates that engaged employees, who see fairness and balance in their work arrangements, deliver superior performance. </w:t>
      </w:r>
    </w:p>
    <w:p xmlns:wp14="http://schemas.microsoft.com/office/word/2010/wordml" w:rsidP="784FB87E" wp14:paraId="69985C4C" wp14:textId="53F8D4C5">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Practices for Diversity, Equity and Inclusion</w:t>
      </w:r>
    </w:p>
    <w:p xmlns:wp14="http://schemas.microsoft.com/office/word/2010/wordml" w:rsidP="784FB87E" wp14:paraId="2EB32828" wp14:textId="2EFB83F0">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Contemporary DEI practice focuses on structural change supported by data. One highly effective method is </w:t>
      </w:r>
      <w:r w:rsidRPr="784FB87E" w:rsidR="492844A9">
        <w:rPr>
          <w:rFonts w:ascii="Arial" w:hAnsi="Arial" w:eastAsia="Arial" w:cs="Arial"/>
          <w:b w:val="1"/>
          <w:bCs w:val="1"/>
          <w:noProof w:val="0"/>
          <w:color w:val="000000" w:themeColor="text1" w:themeTint="FF" w:themeShade="FF"/>
          <w:sz w:val="22"/>
          <w:szCs w:val="22"/>
          <w:lang w:val="en-GB"/>
        </w:rPr>
        <w:t>inclusive leadership development</w:t>
      </w:r>
      <w:r w:rsidRPr="784FB87E" w:rsidR="492844A9">
        <w:rPr>
          <w:rFonts w:ascii="Arial" w:hAnsi="Arial" w:eastAsia="Arial" w:cs="Arial"/>
          <w:noProof w:val="0"/>
          <w:color w:val="000000" w:themeColor="text1" w:themeTint="FF" w:themeShade="FF"/>
          <w:sz w:val="22"/>
          <w:szCs w:val="22"/>
          <w:lang w:val="en-GB"/>
        </w:rPr>
        <w:t>. Managers receive training on bias awareness, active listening and equitable decision</w:t>
      </w:r>
      <w:r>
        <w:noBreakHyphen/>
      </w:r>
      <w:r w:rsidRPr="784FB87E" w:rsidR="492844A9">
        <w:rPr>
          <w:rFonts w:ascii="Arial" w:hAnsi="Arial" w:eastAsia="Arial" w:cs="Arial"/>
          <w:noProof w:val="0"/>
          <w:color w:val="000000" w:themeColor="text1" w:themeTint="FF" w:themeShade="FF"/>
          <w:sz w:val="22"/>
          <w:szCs w:val="22"/>
          <w:lang w:val="en-GB"/>
        </w:rPr>
        <w:t xml:space="preserve">making. The </w:t>
      </w:r>
      <w:r w:rsidRPr="784FB87E" w:rsidR="492844A9">
        <w:rPr>
          <w:rFonts w:ascii="Arial" w:hAnsi="Arial" w:eastAsia="Arial" w:cs="Arial"/>
          <w:i w:val="1"/>
          <w:iCs w:val="1"/>
          <w:noProof w:val="0"/>
          <w:color w:val="000000" w:themeColor="text1" w:themeTint="FF" w:themeShade="FF"/>
          <w:sz w:val="22"/>
          <w:szCs w:val="22"/>
          <w:lang w:val="en-GB"/>
        </w:rPr>
        <w:t>CIPD (2024)</w:t>
      </w:r>
      <w:r w:rsidRPr="784FB87E" w:rsidR="492844A9">
        <w:rPr>
          <w:rFonts w:ascii="Arial" w:hAnsi="Arial" w:eastAsia="Arial" w:cs="Arial"/>
          <w:noProof w:val="0"/>
          <w:color w:val="000000" w:themeColor="text1" w:themeTint="FF" w:themeShade="FF"/>
          <w:sz w:val="22"/>
          <w:szCs w:val="22"/>
          <w:lang w:val="en-GB"/>
        </w:rPr>
        <w:t xml:space="preserve"> reports that roughly half of UK employers use such programmes and have observed measurable improvements in workplace fairness (cipd.org.uk). Tesco could embed this within its existing management curriculum so that inclusion becomes a leadership expectation rather than an optional skill. </w:t>
      </w:r>
    </w:p>
    <w:p xmlns:wp14="http://schemas.microsoft.com/office/word/2010/wordml" w:rsidP="784FB87E" wp14:paraId="5DACDBCD" wp14:textId="4F2882D8">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The creation of </w:t>
      </w:r>
      <w:r w:rsidRPr="784FB87E" w:rsidR="492844A9">
        <w:rPr>
          <w:rFonts w:ascii="Arial" w:hAnsi="Arial" w:eastAsia="Arial" w:cs="Arial"/>
          <w:b w:val="1"/>
          <w:bCs w:val="1"/>
          <w:noProof w:val="0"/>
          <w:color w:val="000000" w:themeColor="text1" w:themeTint="FF" w:themeShade="FF"/>
          <w:sz w:val="22"/>
          <w:szCs w:val="22"/>
          <w:lang w:val="en-GB"/>
        </w:rPr>
        <w:t>employee resource groups (ERGs)</w:t>
      </w:r>
      <w:r w:rsidRPr="784FB87E" w:rsidR="492844A9">
        <w:rPr>
          <w:rFonts w:ascii="Arial" w:hAnsi="Arial" w:eastAsia="Arial" w:cs="Arial"/>
          <w:noProof w:val="0"/>
          <w:color w:val="000000" w:themeColor="text1" w:themeTint="FF" w:themeShade="FF"/>
          <w:sz w:val="22"/>
          <w:szCs w:val="22"/>
          <w:lang w:val="en-GB"/>
        </w:rPr>
        <w:t xml:space="preserve"> strengthens representation. Groups based on shared identity or </w:t>
      </w:r>
      <w:r w:rsidRPr="784FB87E" w:rsidR="60FB666D">
        <w:rPr>
          <w:rFonts w:ascii="Arial" w:hAnsi="Arial" w:eastAsia="Arial" w:cs="Arial"/>
          <w:noProof w:val="0"/>
          <w:color w:val="000000" w:themeColor="text1" w:themeTint="FF" w:themeShade="FF"/>
          <w:sz w:val="22"/>
          <w:szCs w:val="22"/>
          <w:lang w:val="en-GB"/>
        </w:rPr>
        <w:t>experience such</w:t>
      </w:r>
      <w:r w:rsidRPr="784FB87E" w:rsidR="492844A9">
        <w:rPr>
          <w:rFonts w:ascii="Arial" w:hAnsi="Arial" w:eastAsia="Arial" w:cs="Arial"/>
          <w:noProof w:val="0"/>
          <w:color w:val="000000" w:themeColor="text1" w:themeTint="FF" w:themeShade="FF"/>
          <w:sz w:val="22"/>
          <w:szCs w:val="22"/>
          <w:lang w:val="en-GB"/>
        </w:rPr>
        <w:t xml:space="preserve"> as multicultural, LGBTQ+, or disability networks enable employees to </w:t>
      </w:r>
      <w:r w:rsidRPr="784FB87E" w:rsidR="492844A9">
        <w:rPr>
          <w:rFonts w:ascii="Arial" w:hAnsi="Arial" w:eastAsia="Arial" w:cs="Arial"/>
          <w:noProof w:val="0"/>
          <w:color w:val="000000" w:themeColor="text1" w:themeTint="FF" w:themeShade="FF"/>
          <w:sz w:val="22"/>
          <w:szCs w:val="22"/>
          <w:lang w:val="en-GB"/>
        </w:rPr>
        <w:t>advise</w:t>
      </w:r>
      <w:r w:rsidRPr="784FB87E" w:rsidR="492844A9">
        <w:rPr>
          <w:rFonts w:ascii="Arial" w:hAnsi="Arial" w:eastAsia="Arial" w:cs="Arial"/>
          <w:noProof w:val="0"/>
          <w:color w:val="000000" w:themeColor="text1" w:themeTint="FF" w:themeShade="FF"/>
          <w:sz w:val="22"/>
          <w:szCs w:val="22"/>
          <w:lang w:val="en-GB"/>
        </w:rPr>
        <w:t xml:space="preserve"> HR about policy improvements. They also enhance belonging by offering safe discussion spaces. </w:t>
      </w:r>
    </w:p>
    <w:p xmlns:wp14="http://schemas.microsoft.com/office/word/2010/wordml" w:rsidP="784FB87E" wp14:paraId="797ECD8E" wp14:textId="3361FF44">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Lastly, transparent </w:t>
      </w:r>
      <w:r w:rsidRPr="784FB87E" w:rsidR="492844A9">
        <w:rPr>
          <w:rFonts w:ascii="Arial" w:hAnsi="Arial" w:eastAsia="Arial" w:cs="Arial"/>
          <w:b w:val="1"/>
          <w:bCs w:val="1"/>
          <w:noProof w:val="0"/>
          <w:color w:val="000000" w:themeColor="text1" w:themeTint="FF" w:themeShade="FF"/>
          <w:sz w:val="22"/>
          <w:szCs w:val="22"/>
          <w:lang w:val="en-GB"/>
        </w:rPr>
        <w:t>data monitoring and reporting</w:t>
      </w:r>
      <w:r w:rsidRPr="784FB87E" w:rsidR="492844A9">
        <w:rPr>
          <w:rFonts w:ascii="Arial" w:hAnsi="Arial" w:eastAsia="Arial" w:cs="Arial"/>
          <w:noProof w:val="0"/>
          <w:color w:val="000000" w:themeColor="text1" w:themeTint="FF" w:themeShade="FF"/>
          <w:sz w:val="22"/>
          <w:szCs w:val="22"/>
          <w:lang w:val="en-GB"/>
        </w:rPr>
        <w:t xml:space="preserve"> ensures accountability. By regularly publishing diversity metrics on gender, ethnicity and pay, Tesco can track progression and target action plans. The </w:t>
      </w:r>
      <w:r w:rsidRPr="784FB87E" w:rsidR="492844A9">
        <w:rPr>
          <w:rFonts w:ascii="Arial" w:hAnsi="Arial" w:eastAsia="Arial" w:cs="Arial"/>
          <w:i w:val="1"/>
          <w:iCs w:val="1"/>
          <w:noProof w:val="0"/>
          <w:color w:val="000000" w:themeColor="text1" w:themeTint="FF" w:themeShade="FF"/>
          <w:sz w:val="22"/>
          <w:szCs w:val="22"/>
          <w:lang w:val="en-GB"/>
        </w:rPr>
        <w:t>Lewis Silkin (2026)</w:t>
      </w:r>
      <w:r w:rsidRPr="784FB87E" w:rsidR="492844A9">
        <w:rPr>
          <w:rFonts w:ascii="Arial" w:hAnsi="Arial" w:eastAsia="Arial" w:cs="Arial"/>
          <w:noProof w:val="0"/>
          <w:color w:val="000000" w:themeColor="text1" w:themeTint="FF" w:themeShade="FF"/>
          <w:sz w:val="22"/>
          <w:szCs w:val="22"/>
          <w:lang w:val="en-GB"/>
        </w:rPr>
        <w:t xml:space="preserve"> study observes that transparency sends strong messages of integrity and encourages continuous improvement (lewissilkin.com). Data</w:t>
      </w:r>
      <w:r>
        <w:noBreakHyphen/>
      </w:r>
      <w:r w:rsidRPr="784FB87E" w:rsidR="492844A9">
        <w:rPr>
          <w:rFonts w:ascii="Arial" w:hAnsi="Arial" w:eastAsia="Arial" w:cs="Arial"/>
          <w:noProof w:val="0"/>
          <w:color w:val="000000" w:themeColor="text1" w:themeTint="FF" w:themeShade="FF"/>
          <w:sz w:val="22"/>
          <w:szCs w:val="22"/>
          <w:lang w:val="en-GB"/>
        </w:rPr>
        <w:t xml:space="preserve">driven DEI policies prevent tokenism and keep equality embedded within everyday routines, from recruitment to promotion. </w:t>
      </w:r>
    </w:p>
    <w:p xmlns:wp14="http://schemas.microsoft.com/office/word/2010/wordml" w:rsidP="784FB87E" wp14:paraId="0DB7C8B3" wp14:textId="3E1F6AAE">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3. Ensuring Implementation by Departmental Managers</w:t>
      </w:r>
    </w:p>
    <w:p xmlns:wp14="http://schemas.microsoft.com/office/word/2010/wordml" w:rsidP="784FB87E" wp14:paraId="10DE19BC" wp14:textId="6D99BA2F">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While HR designs the strategies, departmental managers are the ones who bring them to life. They create the climate employees experience daily. For that reason, managerial engagement is essential to turning policies into actions that shape behaviour. </w:t>
      </w:r>
    </w:p>
    <w:p xmlns:wp14="http://schemas.microsoft.com/office/word/2010/wordml" w:rsidP="784FB87E" wp14:paraId="52483DB2" wp14:textId="7BDE8AEA">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Leading Technological Change</w:t>
      </w:r>
    </w:p>
    <w:p xmlns:wp14="http://schemas.microsoft.com/office/word/2010/wordml" w:rsidP="784FB87E" wp14:paraId="4A37B412" wp14:textId="123B9F94">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Managers must champion a </w:t>
      </w:r>
      <w:r w:rsidRPr="784FB87E" w:rsidR="492844A9">
        <w:rPr>
          <w:rFonts w:ascii="Arial" w:hAnsi="Arial" w:eastAsia="Arial" w:cs="Arial"/>
          <w:b w:val="1"/>
          <w:bCs w:val="1"/>
          <w:noProof w:val="0"/>
          <w:color w:val="000000" w:themeColor="text1" w:themeTint="FF" w:themeShade="FF"/>
          <w:sz w:val="22"/>
          <w:szCs w:val="22"/>
          <w:lang w:val="en-GB"/>
        </w:rPr>
        <w:t>human</w:t>
      </w:r>
      <w:r>
        <w:noBreakHyphen/>
      </w:r>
      <w:r w:rsidRPr="784FB87E" w:rsidR="492844A9">
        <w:rPr>
          <w:rFonts w:ascii="Arial" w:hAnsi="Arial" w:eastAsia="Arial" w:cs="Arial"/>
          <w:b w:val="1"/>
          <w:bCs w:val="1"/>
          <w:noProof w:val="0"/>
          <w:color w:val="000000" w:themeColor="text1" w:themeTint="FF" w:themeShade="FF"/>
          <w:sz w:val="22"/>
          <w:szCs w:val="22"/>
          <w:lang w:val="en-GB"/>
        </w:rPr>
        <w:t>centred approach</w:t>
      </w:r>
      <w:r w:rsidRPr="784FB87E" w:rsidR="492844A9">
        <w:rPr>
          <w:rFonts w:ascii="Arial" w:hAnsi="Arial" w:eastAsia="Arial" w:cs="Arial"/>
          <w:noProof w:val="0"/>
          <w:color w:val="000000" w:themeColor="text1" w:themeTint="FF" w:themeShade="FF"/>
          <w:sz w:val="22"/>
          <w:szCs w:val="22"/>
          <w:lang w:val="en-GB"/>
        </w:rPr>
        <w:t xml:space="preserve"> to technology by communicating openly about change. Explaining why digital tools matter such as reducing administrative burden or improving service </w:t>
      </w:r>
      <w:r w:rsidRPr="784FB87E" w:rsidR="0A65D2ED">
        <w:rPr>
          <w:rFonts w:ascii="Arial" w:hAnsi="Arial" w:eastAsia="Arial" w:cs="Arial"/>
          <w:noProof w:val="0"/>
          <w:color w:val="000000" w:themeColor="text1" w:themeTint="FF" w:themeShade="FF"/>
          <w:sz w:val="22"/>
          <w:szCs w:val="22"/>
          <w:lang w:val="en-GB"/>
        </w:rPr>
        <w:t>consistency increases</w:t>
      </w:r>
      <w:r w:rsidRPr="784FB87E" w:rsidR="492844A9">
        <w:rPr>
          <w:rFonts w:ascii="Arial" w:hAnsi="Arial" w:eastAsia="Arial" w:cs="Arial"/>
          <w:noProof w:val="0"/>
          <w:color w:val="000000" w:themeColor="text1" w:themeTint="FF" w:themeShade="FF"/>
          <w:sz w:val="22"/>
          <w:szCs w:val="22"/>
          <w:lang w:val="en-GB"/>
        </w:rPr>
        <w:t xml:space="preserve"> acceptance. The </w:t>
      </w:r>
      <w:r w:rsidRPr="784FB87E" w:rsidR="492844A9">
        <w:rPr>
          <w:rFonts w:ascii="Arial" w:hAnsi="Arial" w:eastAsia="Arial" w:cs="Arial"/>
          <w:i w:val="1"/>
          <w:iCs w:val="1"/>
          <w:noProof w:val="0"/>
          <w:color w:val="000000" w:themeColor="text1" w:themeTint="FF" w:themeShade="FF"/>
          <w:sz w:val="22"/>
          <w:szCs w:val="22"/>
          <w:lang w:val="en-GB"/>
        </w:rPr>
        <w:t>CIPD (2026)</w:t>
      </w:r>
      <w:r w:rsidRPr="784FB87E" w:rsidR="492844A9">
        <w:rPr>
          <w:rFonts w:ascii="Arial" w:hAnsi="Arial" w:eastAsia="Arial" w:cs="Arial"/>
          <w:noProof w:val="0"/>
          <w:color w:val="000000" w:themeColor="text1" w:themeTint="FF" w:themeShade="FF"/>
          <w:sz w:val="22"/>
          <w:szCs w:val="22"/>
          <w:lang w:val="en-GB"/>
        </w:rPr>
        <w:t xml:space="preserve"> highlights that early employee participation in system roll</w:t>
      </w:r>
      <w:r>
        <w:noBreakHyphen/>
      </w:r>
      <w:r w:rsidRPr="784FB87E" w:rsidR="492844A9">
        <w:rPr>
          <w:rFonts w:ascii="Arial" w:hAnsi="Arial" w:eastAsia="Arial" w:cs="Arial"/>
          <w:noProof w:val="0"/>
          <w:color w:val="000000" w:themeColor="text1" w:themeTint="FF" w:themeShade="FF"/>
          <w:sz w:val="22"/>
          <w:szCs w:val="22"/>
          <w:lang w:val="en-GB"/>
        </w:rPr>
        <w:t xml:space="preserve">outs improves confidence and lowers resistance (cipd.org.uk). Tesco managers can involve staff through pilot projects, regular feedback </w:t>
      </w:r>
      <w:r w:rsidRPr="784FB87E" w:rsidR="492844A9">
        <w:rPr>
          <w:rFonts w:ascii="Arial" w:hAnsi="Arial" w:eastAsia="Arial" w:cs="Arial"/>
          <w:noProof w:val="0"/>
          <w:color w:val="000000" w:themeColor="text1" w:themeTint="FF" w:themeShade="FF"/>
          <w:sz w:val="22"/>
          <w:szCs w:val="22"/>
          <w:lang w:val="en-GB"/>
        </w:rPr>
        <w:t>meetings</w:t>
      </w:r>
      <w:r w:rsidRPr="784FB87E" w:rsidR="492844A9">
        <w:rPr>
          <w:rFonts w:ascii="Arial" w:hAnsi="Arial" w:eastAsia="Arial" w:cs="Arial"/>
          <w:noProof w:val="0"/>
          <w:color w:val="000000" w:themeColor="text1" w:themeTint="FF" w:themeShade="FF"/>
          <w:sz w:val="22"/>
          <w:szCs w:val="22"/>
          <w:lang w:val="en-GB"/>
        </w:rPr>
        <w:t xml:space="preserve"> and visible recognition for digital innovation. </w:t>
      </w:r>
    </w:p>
    <w:p xmlns:wp14="http://schemas.microsoft.com/office/word/2010/wordml" w:rsidP="784FB87E" wp14:paraId="7285F7EC" wp14:textId="6F16C642">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Furthermore, managers should </w:t>
      </w:r>
      <w:r w:rsidRPr="784FB87E" w:rsidR="492844A9">
        <w:rPr>
          <w:rFonts w:ascii="Arial" w:hAnsi="Arial" w:eastAsia="Arial" w:cs="Arial"/>
          <w:noProof w:val="0"/>
          <w:color w:val="000000" w:themeColor="text1" w:themeTint="FF" w:themeShade="FF"/>
          <w:sz w:val="22"/>
          <w:szCs w:val="22"/>
          <w:lang w:val="en-GB"/>
        </w:rPr>
        <w:t>identify</w:t>
      </w:r>
      <w:r w:rsidRPr="784FB87E" w:rsidR="492844A9">
        <w:rPr>
          <w:rFonts w:ascii="Arial" w:hAnsi="Arial" w:eastAsia="Arial" w:cs="Arial"/>
          <w:noProof w:val="0"/>
          <w:color w:val="000000" w:themeColor="text1" w:themeTint="FF" w:themeShade="FF"/>
          <w:sz w:val="22"/>
          <w:szCs w:val="22"/>
          <w:lang w:val="en-GB"/>
        </w:rPr>
        <w:t xml:space="preserve"> skill gaps early and coordinate with the learning team to schedule training. Encouraging peer mentoring pairing tech</w:t>
      </w:r>
      <w:r>
        <w:noBreakHyphen/>
      </w:r>
      <w:r w:rsidRPr="784FB87E" w:rsidR="492844A9">
        <w:rPr>
          <w:rFonts w:ascii="Arial" w:hAnsi="Arial" w:eastAsia="Arial" w:cs="Arial"/>
          <w:noProof w:val="0"/>
          <w:color w:val="000000" w:themeColor="text1" w:themeTint="FF" w:themeShade="FF"/>
          <w:sz w:val="22"/>
          <w:szCs w:val="22"/>
          <w:lang w:val="en-GB"/>
        </w:rPr>
        <w:t xml:space="preserve">confident employees with those needing support builds team unity. Importantly, line managers must lead by example: </w:t>
      </w:r>
      <w:r w:rsidRPr="784FB87E" w:rsidR="492844A9">
        <w:rPr>
          <w:rFonts w:ascii="Arial" w:hAnsi="Arial" w:eastAsia="Arial" w:cs="Arial"/>
          <w:noProof w:val="0"/>
          <w:color w:val="000000" w:themeColor="text1" w:themeTint="FF" w:themeShade="FF"/>
          <w:sz w:val="22"/>
          <w:szCs w:val="22"/>
          <w:lang w:val="en-GB"/>
        </w:rPr>
        <w:t>demonstrating</w:t>
      </w:r>
      <w:r w:rsidRPr="784FB87E" w:rsidR="492844A9">
        <w:rPr>
          <w:rFonts w:ascii="Arial" w:hAnsi="Arial" w:eastAsia="Arial" w:cs="Arial"/>
          <w:noProof w:val="0"/>
          <w:color w:val="000000" w:themeColor="text1" w:themeTint="FF" w:themeShade="FF"/>
          <w:sz w:val="22"/>
          <w:szCs w:val="22"/>
          <w:lang w:val="en-GB"/>
        </w:rPr>
        <w:t xml:space="preserve"> curiosity and learning new systems themselves shows humility and sets expectations for growth. </w:t>
      </w:r>
    </w:p>
    <w:p xmlns:wp14="http://schemas.microsoft.com/office/word/2010/wordml" w:rsidP="784FB87E" wp14:paraId="69E58BF7" wp14:textId="3180B825">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Managing Talent with Empathy and Strategy</w:t>
      </w:r>
    </w:p>
    <w:p xmlns:wp14="http://schemas.microsoft.com/office/word/2010/wordml" w:rsidP="784FB87E" wp14:paraId="1D9D35B3" wp14:textId="0121F031">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Managers are Tesco’s first link in the talent pipeline. They must engage in proactive </w:t>
      </w:r>
      <w:r w:rsidRPr="784FB87E" w:rsidR="492844A9">
        <w:rPr>
          <w:rFonts w:ascii="Arial" w:hAnsi="Arial" w:eastAsia="Arial" w:cs="Arial"/>
          <w:b w:val="1"/>
          <w:bCs w:val="1"/>
          <w:noProof w:val="0"/>
          <w:color w:val="000000" w:themeColor="text1" w:themeTint="FF" w:themeShade="FF"/>
          <w:sz w:val="22"/>
          <w:szCs w:val="22"/>
          <w:lang w:val="en-GB"/>
        </w:rPr>
        <w:t>career conversations</w:t>
      </w:r>
      <w:r w:rsidRPr="784FB87E" w:rsidR="492844A9">
        <w:rPr>
          <w:rFonts w:ascii="Arial" w:hAnsi="Arial" w:eastAsia="Arial" w:cs="Arial"/>
          <w:noProof w:val="0"/>
          <w:color w:val="000000" w:themeColor="text1" w:themeTint="FF" w:themeShade="FF"/>
          <w:sz w:val="22"/>
          <w:szCs w:val="22"/>
          <w:lang w:val="en-GB"/>
        </w:rPr>
        <w:t xml:space="preserve"> that explore staff ambitions and match them with business needs. Regular one</w:t>
      </w:r>
      <w:r>
        <w:noBreakHyphen/>
      </w:r>
      <w:r w:rsidRPr="784FB87E" w:rsidR="492844A9">
        <w:rPr>
          <w:rFonts w:ascii="Arial" w:hAnsi="Arial" w:eastAsia="Arial" w:cs="Arial"/>
          <w:noProof w:val="0"/>
          <w:color w:val="000000" w:themeColor="text1" w:themeTint="FF" w:themeShade="FF"/>
          <w:sz w:val="22"/>
          <w:szCs w:val="22"/>
          <w:lang w:val="en-GB"/>
        </w:rPr>
        <w:t>to</w:t>
      </w:r>
      <w:r>
        <w:noBreakHyphen/>
      </w:r>
      <w:r w:rsidRPr="784FB87E" w:rsidR="492844A9">
        <w:rPr>
          <w:rFonts w:ascii="Arial" w:hAnsi="Arial" w:eastAsia="Arial" w:cs="Arial"/>
          <w:noProof w:val="0"/>
          <w:color w:val="000000" w:themeColor="text1" w:themeTint="FF" w:themeShade="FF"/>
          <w:sz w:val="22"/>
          <w:szCs w:val="22"/>
          <w:lang w:val="en-GB"/>
        </w:rPr>
        <w:t xml:space="preserve">one </w:t>
      </w:r>
      <w:r w:rsidRPr="784FB87E" w:rsidR="6624DA23">
        <w:rPr>
          <w:rFonts w:ascii="Arial" w:hAnsi="Arial" w:eastAsia="Arial" w:cs="Arial"/>
          <w:noProof w:val="0"/>
          <w:color w:val="000000" w:themeColor="text1" w:themeTint="FF" w:themeShade="FF"/>
          <w:sz w:val="22"/>
          <w:szCs w:val="22"/>
          <w:lang w:val="en-GB"/>
        </w:rPr>
        <w:t>discussion</w:t>
      </w:r>
      <w:r w:rsidRPr="784FB87E" w:rsidR="492844A9">
        <w:rPr>
          <w:rFonts w:ascii="Arial" w:hAnsi="Arial" w:eastAsia="Arial" w:cs="Arial"/>
          <w:noProof w:val="0"/>
          <w:color w:val="000000" w:themeColor="text1" w:themeTint="FF" w:themeShade="FF"/>
          <w:sz w:val="22"/>
          <w:szCs w:val="22"/>
          <w:lang w:val="en-GB"/>
        </w:rPr>
        <w:t xml:space="preserve"> about strengths, development and progression help employees visualise a future with the company. Evidence from </w:t>
      </w:r>
      <w:r w:rsidRPr="784FB87E" w:rsidR="492844A9">
        <w:rPr>
          <w:rFonts w:ascii="Arial" w:hAnsi="Arial" w:eastAsia="Arial" w:cs="Arial"/>
          <w:i w:val="1"/>
          <w:iCs w:val="1"/>
          <w:noProof w:val="0"/>
          <w:color w:val="000000" w:themeColor="text1" w:themeTint="FF" w:themeShade="FF"/>
          <w:sz w:val="22"/>
          <w:szCs w:val="22"/>
          <w:lang w:val="en-GB"/>
        </w:rPr>
        <w:t>ManpowerGroup (2026)</w:t>
      </w:r>
      <w:r w:rsidRPr="784FB87E" w:rsidR="492844A9">
        <w:rPr>
          <w:rFonts w:ascii="Arial" w:hAnsi="Arial" w:eastAsia="Arial" w:cs="Arial"/>
          <w:noProof w:val="0"/>
          <w:color w:val="000000" w:themeColor="text1" w:themeTint="FF" w:themeShade="FF"/>
          <w:sz w:val="22"/>
          <w:szCs w:val="22"/>
          <w:lang w:val="en-GB"/>
        </w:rPr>
        <w:t xml:space="preserve"> </w:t>
      </w:r>
      <w:r w:rsidRPr="784FB87E" w:rsidR="492844A9">
        <w:rPr>
          <w:rFonts w:ascii="Arial" w:hAnsi="Arial" w:eastAsia="Arial" w:cs="Arial"/>
          <w:noProof w:val="0"/>
          <w:color w:val="000000" w:themeColor="text1" w:themeTint="FF" w:themeShade="FF"/>
          <w:sz w:val="22"/>
          <w:szCs w:val="22"/>
          <w:lang w:val="en-GB"/>
        </w:rPr>
        <w:t>demonstrates</w:t>
      </w:r>
      <w:r w:rsidRPr="784FB87E" w:rsidR="492844A9">
        <w:rPr>
          <w:rFonts w:ascii="Arial" w:hAnsi="Arial" w:eastAsia="Arial" w:cs="Arial"/>
          <w:noProof w:val="0"/>
          <w:color w:val="000000" w:themeColor="text1" w:themeTint="FF" w:themeShade="FF"/>
          <w:sz w:val="22"/>
          <w:szCs w:val="22"/>
          <w:lang w:val="en-GB"/>
        </w:rPr>
        <w:t xml:space="preserve"> that such developmental relationships have a stronger retention impact than monetary incentives alone (manpower.co.uk). </w:t>
      </w:r>
    </w:p>
    <w:p xmlns:wp14="http://schemas.microsoft.com/office/word/2010/wordml" w:rsidP="784FB87E" wp14:paraId="505F197F" wp14:textId="5C14A3EA">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Managers should use HR analytics dashboards to identify high</w:t>
      </w:r>
      <w:r>
        <w:noBreakHyphen/>
      </w:r>
      <w:r w:rsidRPr="784FB87E" w:rsidR="492844A9">
        <w:rPr>
          <w:rFonts w:ascii="Arial" w:hAnsi="Arial" w:eastAsia="Arial" w:cs="Arial"/>
          <w:noProof w:val="0"/>
          <w:color w:val="000000" w:themeColor="text1" w:themeTint="FF" w:themeShade="FF"/>
          <w:sz w:val="22"/>
          <w:szCs w:val="22"/>
          <w:lang w:val="en-GB"/>
        </w:rPr>
        <w:t>potential employees and prevent talent loss by addressing disengagement early. Encouraging cross</w:t>
      </w:r>
      <w:r>
        <w:noBreakHyphen/>
      </w:r>
      <w:r w:rsidRPr="784FB87E" w:rsidR="492844A9">
        <w:rPr>
          <w:rFonts w:ascii="Arial" w:hAnsi="Arial" w:eastAsia="Arial" w:cs="Arial"/>
          <w:noProof w:val="0"/>
          <w:color w:val="000000" w:themeColor="text1" w:themeTint="FF" w:themeShade="FF"/>
          <w:sz w:val="22"/>
          <w:szCs w:val="22"/>
          <w:lang w:val="en-GB"/>
        </w:rPr>
        <w:t xml:space="preserve">functional assignments or short secondments cultivates versatility. When people see visible commitment from their leaders, their motivation and trust grow. </w:t>
      </w:r>
    </w:p>
    <w:p xmlns:wp14="http://schemas.microsoft.com/office/word/2010/wordml" w:rsidP="784FB87E" wp14:paraId="4CD48FAE" wp14:textId="0A9E6B97">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Culture also plays a vital retention role. Managers must provide recognition, constructive </w:t>
      </w:r>
      <w:r w:rsidRPr="784FB87E" w:rsidR="492844A9">
        <w:rPr>
          <w:rFonts w:ascii="Arial" w:hAnsi="Arial" w:eastAsia="Arial" w:cs="Arial"/>
          <w:noProof w:val="0"/>
          <w:color w:val="000000" w:themeColor="text1" w:themeTint="FF" w:themeShade="FF"/>
          <w:sz w:val="22"/>
          <w:szCs w:val="22"/>
          <w:lang w:val="en-GB"/>
        </w:rPr>
        <w:t>feedback</w:t>
      </w:r>
      <w:r w:rsidRPr="784FB87E" w:rsidR="492844A9">
        <w:rPr>
          <w:rFonts w:ascii="Arial" w:hAnsi="Arial" w:eastAsia="Arial" w:cs="Arial"/>
          <w:noProof w:val="0"/>
          <w:color w:val="000000" w:themeColor="text1" w:themeTint="FF" w:themeShade="FF"/>
          <w:sz w:val="22"/>
          <w:szCs w:val="22"/>
          <w:lang w:val="en-GB"/>
        </w:rPr>
        <w:t xml:space="preserve"> and fair workload distribution. Empathetic leadership being approachable, </w:t>
      </w:r>
      <w:r w:rsidRPr="784FB87E" w:rsidR="492844A9">
        <w:rPr>
          <w:rFonts w:ascii="Arial" w:hAnsi="Arial" w:eastAsia="Arial" w:cs="Arial"/>
          <w:noProof w:val="0"/>
          <w:color w:val="000000" w:themeColor="text1" w:themeTint="FF" w:themeShade="FF"/>
          <w:sz w:val="22"/>
          <w:szCs w:val="22"/>
          <w:lang w:val="en-GB"/>
        </w:rPr>
        <w:t>communicative</w:t>
      </w:r>
      <w:r w:rsidRPr="784FB87E" w:rsidR="492844A9">
        <w:rPr>
          <w:rFonts w:ascii="Arial" w:hAnsi="Arial" w:eastAsia="Arial" w:cs="Arial"/>
          <w:noProof w:val="0"/>
          <w:color w:val="000000" w:themeColor="text1" w:themeTint="FF" w:themeShade="FF"/>
          <w:sz w:val="22"/>
          <w:szCs w:val="22"/>
          <w:lang w:val="en-GB"/>
        </w:rPr>
        <w:t xml:space="preserve"> and supportive fosters loyalty. In large organisations like Tesco, consistent managerial behaviour across departments shapes the reputation of the company as an employer of choice. </w:t>
      </w:r>
    </w:p>
    <w:p xmlns:wp14="http://schemas.microsoft.com/office/word/2010/wordml" w:rsidP="784FB87E" wp14:paraId="281E06D2" wp14:textId="286AF0E7">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Embedding Diversity and Inclusion in Daily Operations</w:t>
      </w:r>
    </w:p>
    <w:p xmlns:wp14="http://schemas.microsoft.com/office/word/2010/wordml" w:rsidP="784FB87E" wp14:paraId="185D231B" wp14:textId="370AD6FE">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Managers transform DEI from abstract policy into lived experience. They must ensure fair access to development opportunities, avoid favouritism and actively celebrate difference. Recruitment panels should include varied perspectives to prevent bias. Within teams, managers can rotate responsibilities, encourage team members to share ideas, and celebrate cultural events to promote understanding. </w:t>
      </w:r>
    </w:p>
    <w:p xmlns:wp14="http://schemas.microsoft.com/office/word/2010/wordml" w:rsidP="784FB87E" wp14:paraId="64BE16DE" wp14:textId="63EB2CB0">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Tesco’s DEI reporting tools should not stay in HR; line managers can use dashboards to review diversity statistics within their teams and set goals for improvement. Regular team discussions about inclusion and respect reinforce open communication. The </w:t>
      </w:r>
      <w:r w:rsidRPr="784FB87E" w:rsidR="492844A9">
        <w:rPr>
          <w:rFonts w:ascii="Arial" w:hAnsi="Arial" w:eastAsia="Arial" w:cs="Arial"/>
          <w:i w:val="1"/>
          <w:iCs w:val="1"/>
          <w:noProof w:val="0"/>
          <w:color w:val="000000" w:themeColor="text1" w:themeTint="FF" w:themeShade="FF"/>
          <w:sz w:val="22"/>
          <w:szCs w:val="22"/>
          <w:lang w:val="en-GB"/>
        </w:rPr>
        <w:t>Future @ Work 2026</w:t>
      </w:r>
      <w:r w:rsidRPr="784FB87E" w:rsidR="492844A9">
        <w:rPr>
          <w:rFonts w:ascii="Arial" w:hAnsi="Arial" w:eastAsia="Arial" w:cs="Arial"/>
          <w:noProof w:val="0"/>
          <w:color w:val="000000" w:themeColor="text1" w:themeTint="FF" w:themeShade="FF"/>
          <w:sz w:val="22"/>
          <w:szCs w:val="22"/>
          <w:lang w:val="en-GB"/>
        </w:rPr>
        <w:t xml:space="preserve"> report concludes that teams led by inclusive managers exhibit significantly higher engagement and creativity (lewissilkin.com). </w:t>
      </w:r>
    </w:p>
    <w:p xmlns:wp14="http://schemas.microsoft.com/office/word/2010/wordml" w:rsidP="784FB87E" wp14:paraId="6A4C434F" wp14:textId="6870C554">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Urgency is vital. Managers must treat inclusion, skill development and wellbeing not as optional initiatives but as strategic imperatives tied directly to performance indicators. When senior leaders reward departments that achieve measurable progress, inclusion becomes embedded throughout the organisation rather than concentrated in HR. </w:t>
      </w:r>
    </w:p>
    <w:p xmlns:wp14="http://schemas.microsoft.com/office/word/2010/wordml" w:rsidP="784FB87E" wp14:paraId="54BDA331" wp14:textId="01C57499">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Conclusion and Recommendations</w:t>
      </w:r>
    </w:p>
    <w:p xmlns:wp14="http://schemas.microsoft.com/office/word/2010/wordml" w:rsidP="784FB87E" wp14:paraId="1DC672CB" wp14:textId="3F37A7BD">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Tesco PLC operates at the crossroads of technological innovation, demographic diversity and changing cultural expectations. To remain competitive, its HR department and line managers must work together to integrate human and digital capabilities while preserving fairness and motivation. </w:t>
      </w:r>
    </w:p>
    <w:p xmlns:wp14="http://schemas.microsoft.com/office/word/2010/wordml" w:rsidP="784FB87E" wp14:paraId="259DE328" wp14:textId="265EC0F6">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Three key recommendations emerge from this analysis: </w:t>
      </w:r>
    </w:p>
    <w:p xmlns:wp14="http://schemas.microsoft.com/office/word/2010/wordml" w:rsidP="784FB87E" wp14:paraId="5F2546DA" wp14:textId="7A4B737F">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1. </w:t>
      </w:r>
      <w:r w:rsidRPr="784FB87E" w:rsidR="492844A9">
        <w:rPr>
          <w:rFonts w:ascii="Arial" w:hAnsi="Arial" w:eastAsia="Arial" w:cs="Arial"/>
          <w:b w:val="1"/>
          <w:bCs w:val="1"/>
          <w:noProof w:val="0"/>
          <w:color w:val="000000" w:themeColor="text1" w:themeTint="FF" w:themeShade="FF"/>
          <w:sz w:val="22"/>
          <w:szCs w:val="22"/>
          <w:lang w:val="en-GB"/>
        </w:rPr>
        <w:t>Establish a comprehensive reskilling and digital literacy programme.</w:t>
      </w:r>
      <w:r>
        <w:br/>
      </w:r>
      <w:r w:rsidRPr="784FB87E" w:rsidR="492844A9">
        <w:rPr>
          <w:rFonts w:ascii="Arial" w:hAnsi="Arial" w:eastAsia="Arial" w:cs="Arial"/>
          <w:noProof w:val="0"/>
          <w:color w:val="000000" w:themeColor="text1" w:themeTint="FF" w:themeShade="FF"/>
          <w:sz w:val="22"/>
          <w:szCs w:val="22"/>
          <w:lang w:val="en-GB"/>
        </w:rPr>
        <w:t xml:space="preserve">Every employee should have ongoing access to modern learning resources that enhance both technical and soft skills. Training should be practical, inclusive and linked to career progression. </w:t>
      </w:r>
    </w:p>
    <w:p xmlns:wp14="http://schemas.microsoft.com/office/word/2010/wordml" w:rsidP="784FB87E" wp14:paraId="3896E793" wp14:textId="552CBE53">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2. </w:t>
      </w:r>
      <w:r w:rsidRPr="784FB87E" w:rsidR="492844A9">
        <w:rPr>
          <w:rFonts w:ascii="Arial" w:hAnsi="Arial" w:eastAsia="Arial" w:cs="Arial"/>
          <w:b w:val="1"/>
          <w:bCs w:val="1"/>
          <w:noProof w:val="0"/>
          <w:color w:val="000000" w:themeColor="text1" w:themeTint="FF" w:themeShade="FF"/>
          <w:sz w:val="22"/>
          <w:szCs w:val="22"/>
          <w:lang w:val="en-GB"/>
        </w:rPr>
        <w:t>Reinforce talent and wellbeing strategies to prevent attrition.</w:t>
      </w:r>
      <w:r>
        <w:br/>
      </w:r>
      <w:r w:rsidRPr="784FB87E" w:rsidR="492844A9">
        <w:rPr>
          <w:rFonts w:ascii="Arial" w:hAnsi="Arial" w:eastAsia="Arial" w:cs="Arial"/>
          <w:noProof w:val="0"/>
          <w:color w:val="000000" w:themeColor="text1" w:themeTint="FF" w:themeShade="FF"/>
          <w:sz w:val="22"/>
          <w:szCs w:val="22"/>
          <w:lang w:val="en-GB"/>
        </w:rPr>
        <w:t>Expand internal mobility schemes, mentorship networks and wellness support to encourage long</w:t>
      </w:r>
      <w:r>
        <w:noBreakHyphen/>
      </w:r>
      <w:r w:rsidRPr="784FB87E" w:rsidR="492844A9">
        <w:rPr>
          <w:rFonts w:ascii="Arial" w:hAnsi="Arial" w:eastAsia="Arial" w:cs="Arial"/>
          <w:noProof w:val="0"/>
          <w:color w:val="000000" w:themeColor="text1" w:themeTint="FF" w:themeShade="FF"/>
          <w:sz w:val="22"/>
          <w:szCs w:val="22"/>
          <w:lang w:val="en-GB"/>
        </w:rPr>
        <w:t xml:space="preserve">term commitment. Use analytics to identify turnover hot spots and tailor interventions accordingly. </w:t>
      </w:r>
    </w:p>
    <w:p xmlns:wp14="http://schemas.microsoft.com/office/word/2010/wordml" w:rsidP="784FB87E" wp14:paraId="2CC7E862" wp14:textId="3523DED4">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3. </w:t>
      </w:r>
      <w:r w:rsidRPr="784FB87E" w:rsidR="492844A9">
        <w:rPr>
          <w:rFonts w:ascii="Arial" w:hAnsi="Arial" w:eastAsia="Arial" w:cs="Arial"/>
          <w:b w:val="1"/>
          <w:bCs w:val="1"/>
          <w:noProof w:val="0"/>
          <w:color w:val="000000" w:themeColor="text1" w:themeTint="FF" w:themeShade="FF"/>
          <w:sz w:val="22"/>
          <w:szCs w:val="22"/>
          <w:lang w:val="en-GB"/>
        </w:rPr>
        <w:t>Institutionalise DEI through accountability and leadership.</w:t>
      </w:r>
      <w:r>
        <w:br/>
      </w:r>
      <w:r w:rsidRPr="784FB87E" w:rsidR="492844A9">
        <w:rPr>
          <w:rFonts w:ascii="Arial" w:hAnsi="Arial" w:eastAsia="Arial" w:cs="Arial"/>
          <w:noProof w:val="0"/>
          <w:color w:val="000000" w:themeColor="text1" w:themeTint="FF" w:themeShade="FF"/>
          <w:sz w:val="22"/>
          <w:szCs w:val="22"/>
          <w:lang w:val="en-GB"/>
        </w:rPr>
        <w:t xml:space="preserve">Make inclusion a measurable leadership requirement. Communicate progress transparently through regular reports and celebrate success stories publicly to maintain momentum. </w:t>
      </w:r>
    </w:p>
    <w:p xmlns:wp14="http://schemas.microsoft.com/office/word/2010/wordml" w:rsidP="784FB87E" wp14:paraId="049E05A8" wp14:textId="681CB674">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When these recommendations are applied collectively, Tesco can cultivate a workforce that is skilled, engaged and inclusive. The </w:t>
      </w:r>
      <w:r w:rsidRPr="784FB87E" w:rsidR="492844A9">
        <w:rPr>
          <w:rFonts w:ascii="Arial" w:hAnsi="Arial" w:eastAsia="Arial" w:cs="Arial"/>
          <w:i w:val="1"/>
          <w:iCs w:val="1"/>
          <w:noProof w:val="0"/>
          <w:color w:val="000000" w:themeColor="text1" w:themeTint="FF" w:themeShade="FF"/>
          <w:sz w:val="22"/>
          <w:szCs w:val="22"/>
          <w:lang w:val="en-GB"/>
        </w:rPr>
        <w:t>CIPD (2026)</w:t>
      </w:r>
      <w:r w:rsidRPr="784FB87E" w:rsidR="492844A9">
        <w:rPr>
          <w:rFonts w:ascii="Arial" w:hAnsi="Arial" w:eastAsia="Arial" w:cs="Arial"/>
          <w:noProof w:val="0"/>
          <w:color w:val="000000" w:themeColor="text1" w:themeTint="FF" w:themeShade="FF"/>
          <w:sz w:val="22"/>
          <w:szCs w:val="22"/>
          <w:lang w:val="en-GB"/>
        </w:rPr>
        <w:t xml:space="preserve"> and </w:t>
      </w:r>
      <w:r w:rsidRPr="784FB87E" w:rsidR="492844A9">
        <w:rPr>
          <w:rFonts w:ascii="Arial" w:hAnsi="Arial" w:eastAsia="Arial" w:cs="Arial"/>
          <w:i w:val="1"/>
          <w:iCs w:val="1"/>
          <w:noProof w:val="0"/>
          <w:color w:val="000000" w:themeColor="text1" w:themeTint="FF" w:themeShade="FF"/>
          <w:sz w:val="22"/>
          <w:szCs w:val="22"/>
          <w:lang w:val="en-GB"/>
        </w:rPr>
        <w:t>Lewis Silkin (2026)</w:t>
      </w:r>
      <w:r w:rsidRPr="784FB87E" w:rsidR="492844A9">
        <w:rPr>
          <w:rFonts w:ascii="Arial" w:hAnsi="Arial" w:eastAsia="Arial" w:cs="Arial"/>
          <w:noProof w:val="0"/>
          <w:color w:val="000000" w:themeColor="text1" w:themeTint="FF" w:themeShade="FF"/>
          <w:sz w:val="22"/>
          <w:szCs w:val="22"/>
          <w:lang w:val="en-GB"/>
        </w:rPr>
        <w:t xml:space="preserve"> both highlight that organisations balancing innovation with humanity achieve superior resilience and reputation. Tesco’s continued emphasis on people</w:t>
      </w:r>
      <w:r>
        <w:noBreakHyphen/>
      </w:r>
      <w:r w:rsidRPr="784FB87E" w:rsidR="492844A9">
        <w:rPr>
          <w:rFonts w:ascii="Arial" w:hAnsi="Arial" w:eastAsia="Arial" w:cs="Arial"/>
          <w:noProof w:val="0"/>
          <w:color w:val="000000" w:themeColor="text1" w:themeTint="FF" w:themeShade="FF"/>
          <w:sz w:val="22"/>
          <w:szCs w:val="22"/>
          <w:lang w:val="en-GB"/>
        </w:rPr>
        <w:t xml:space="preserve">centred leadership will ensure it remains not only a market leader in retail but also a model employer committed to growth, respect and inclusion in an evolving world of work. </w:t>
      </w:r>
    </w:p>
    <w:p xmlns:wp14="http://schemas.microsoft.com/office/word/2010/wordml" w:rsidP="784FB87E" wp14:paraId="51B5FE10" wp14:textId="53D15741">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784FB87E" w:rsidR="492844A9">
        <w:rPr>
          <w:rFonts w:ascii="Arial" w:hAnsi="Arial" w:eastAsia="Arial" w:cs="Arial"/>
          <w:b w:val="1"/>
          <w:bCs w:val="1"/>
          <w:noProof w:val="0"/>
          <w:color w:val="000000" w:themeColor="text1" w:themeTint="FF" w:themeShade="FF"/>
          <w:sz w:val="22"/>
          <w:szCs w:val="22"/>
          <w:lang w:val="en-GB"/>
        </w:rPr>
        <w:t>References</w:t>
      </w:r>
    </w:p>
    <w:p xmlns:wp14="http://schemas.microsoft.com/office/word/2010/wordml" w:rsidP="784FB87E" wp14:paraId="7D62F7B3" wp14:textId="5D1CD408">
      <w:pPr>
        <w:spacing w:before="240" w:beforeAutospacing="off" w:after="240" w:afterAutospacing="off"/>
        <w:rPr>
          <w:rFonts w:ascii="Arial" w:hAnsi="Arial" w:eastAsia="Arial" w:cs="Arial"/>
          <w:noProof w:val="0"/>
          <w:color w:val="000000" w:themeColor="text1" w:themeTint="FF" w:themeShade="FF"/>
          <w:sz w:val="22"/>
          <w:szCs w:val="22"/>
          <w:lang w:val="en-GB"/>
        </w:rPr>
      </w:pPr>
      <w:r w:rsidRPr="784FB87E" w:rsidR="492844A9">
        <w:rPr>
          <w:rFonts w:ascii="Arial" w:hAnsi="Arial" w:eastAsia="Arial" w:cs="Arial"/>
          <w:noProof w:val="0"/>
          <w:color w:val="000000" w:themeColor="text1" w:themeTint="FF" w:themeShade="FF"/>
          <w:sz w:val="22"/>
          <w:szCs w:val="22"/>
          <w:lang w:val="en-GB"/>
        </w:rPr>
        <w:t xml:space="preserve">CIPD (2024). </w:t>
      </w:r>
      <w:r w:rsidRPr="784FB87E" w:rsidR="492844A9">
        <w:rPr>
          <w:rFonts w:ascii="Arial" w:hAnsi="Arial" w:eastAsia="Arial" w:cs="Arial"/>
          <w:i w:val="1"/>
          <w:iCs w:val="1"/>
          <w:noProof w:val="0"/>
          <w:color w:val="000000" w:themeColor="text1" w:themeTint="FF" w:themeShade="FF"/>
          <w:sz w:val="22"/>
          <w:szCs w:val="22"/>
          <w:lang w:val="en-GB"/>
        </w:rPr>
        <w:t>Resourcing and Talent Planning Report 2024.</w:t>
      </w:r>
      <w:r w:rsidRPr="784FB87E" w:rsidR="492844A9">
        <w:rPr>
          <w:rFonts w:ascii="Arial" w:hAnsi="Arial" w:eastAsia="Arial" w:cs="Arial"/>
          <w:noProof w:val="0"/>
          <w:color w:val="000000" w:themeColor="text1" w:themeTint="FF" w:themeShade="FF"/>
          <w:sz w:val="22"/>
          <w:szCs w:val="22"/>
          <w:lang w:val="en-GB"/>
        </w:rPr>
        <w:t xml:space="preserve"> </w:t>
      </w:r>
      <w:hyperlink r:id="R275f3291aa56432c">
        <w:r w:rsidRPr="784FB87E" w:rsidR="492844A9">
          <w:rPr>
            <w:rStyle w:val="Hyperlink"/>
            <w:rFonts w:ascii="Arial" w:hAnsi="Arial" w:eastAsia="Arial" w:cs="Arial"/>
            <w:noProof w:val="0"/>
            <w:color w:val="000000" w:themeColor="text1" w:themeTint="FF" w:themeShade="FF"/>
            <w:sz w:val="22"/>
            <w:szCs w:val="22"/>
            <w:lang w:val="en-GB"/>
          </w:rPr>
          <w:t>https://www.cipd.org/uk/knowledge/reports/resourcing-surveys</w:t>
        </w:r>
      </w:hyperlink>
      <w:r>
        <w:br/>
      </w:r>
      <w:r w:rsidRPr="784FB87E" w:rsidR="492844A9">
        <w:rPr>
          <w:rFonts w:ascii="Arial" w:hAnsi="Arial" w:eastAsia="Arial" w:cs="Arial"/>
          <w:noProof w:val="0"/>
          <w:color w:val="000000" w:themeColor="text1" w:themeTint="FF" w:themeShade="FF"/>
          <w:sz w:val="22"/>
          <w:szCs w:val="22"/>
          <w:lang w:val="en-GB"/>
        </w:rPr>
        <w:t xml:space="preserve">CIPD (2026). </w:t>
      </w:r>
      <w:r w:rsidRPr="784FB87E" w:rsidR="492844A9">
        <w:rPr>
          <w:rFonts w:ascii="Arial" w:hAnsi="Arial" w:eastAsia="Arial" w:cs="Arial"/>
          <w:i w:val="1"/>
          <w:iCs w:val="1"/>
          <w:noProof w:val="0"/>
          <w:color w:val="000000" w:themeColor="text1" w:themeTint="FF" w:themeShade="FF"/>
          <w:sz w:val="22"/>
          <w:szCs w:val="22"/>
          <w:lang w:val="en-GB"/>
        </w:rPr>
        <w:t>Futureproofing Your Skills: AI is Changing How HR Skills Are Applied.</w:t>
      </w:r>
      <w:r w:rsidRPr="784FB87E" w:rsidR="492844A9">
        <w:rPr>
          <w:rFonts w:ascii="Arial" w:hAnsi="Arial" w:eastAsia="Arial" w:cs="Arial"/>
          <w:noProof w:val="0"/>
          <w:color w:val="000000" w:themeColor="text1" w:themeTint="FF" w:themeShade="FF"/>
          <w:sz w:val="22"/>
          <w:szCs w:val="22"/>
          <w:lang w:val="en-GB"/>
        </w:rPr>
        <w:t xml:space="preserve"> </w:t>
      </w:r>
      <w:hyperlink r:id="Rb34686f7df084a03">
        <w:r w:rsidRPr="784FB87E" w:rsidR="492844A9">
          <w:rPr>
            <w:rStyle w:val="Hyperlink"/>
            <w:rFonts w:ascii="Arial" w:hAnsi="Arial" w:eastAsia="Arial" w:cs="Arial"/>
            <w:noProof w:val="0"/>
            <w:color w:val="000000" w:themeColor="text1" w:themeTint="FF" w:themeShade="FF"/>
            <w:sz w:val="22"/>
            <w:szCs w:val="22"/>
            <w:lang w:val="en-GB"/>
          </w:rPr>
          <w:t>https://www.cipd.org/uk/views-and-insights/thought-leadership/insight/futureproofing-skills-ai/</w:t>
        </w:r>
      </w:hyperlink>
      <w:r>
        <w:br/>
      </w:r>
      <w:r w:rsidRPr="784FB87E" w:rsidR="492844A9">
        <w:rPr>
          <w:rFonts w:ascii="Arial" w:hAnsi="Arial" w:eastAsia="Arial" w:cs="Arial"/>
          <w:noProof w:val="0"/>
          <w:color w:val="000000" w:themeColor="text1" w:themeTint="FF" w:themeShade="FF"/>
          <w:sz w:val="22"/>
          <w:szCs w:val="22"/>
          <w:lang w:val="en-GB"/>
        </w:rPr>
        <w:t xml:space="preserve">Lewis Silkin (2026). </w:t>
      </w:r>
      <w:r w:rsidRPr="784FB87E" w:rsidR="492844A9">
        <w:rPr>
          <w:rFonts w:ascii="Arial" w:hAnsi="Arial" w:eastAsia="Arial" w:cs="Arial"/>
          <w:i w:val="1"/>
          <w:iCs w:val="1"/>
          <w:noProof w:val="0"/>
          <w:color w:val="000000" w:themeColor="text1" w:themeTint="FF" w:themeShade="FF"/>
          <w:sz w:val="22"/>
          <w:szCs w:val="22"/>
          <w:lang w:val="en-GB"/>
        </w:rPr>
        <w:t>Future @ Work 2026 – Executive Summary.</w:t>
      </w:r>
      <w:r w:rsidRPr="784FB87E" w:rsidR="492844A9">
        <w:rPr>
          <w:rFonts w:ascii="Arial" w:hAnsi="Arial" w:eastAsia="Arial" w:cs="Arial"/>
          <w:noProof w:val="0"/>
          <w:color w:val="000000" w:themeColor="text1" w:themeTint="FF" w:themeShade="FF"/>
          <w:sz w:val="22"/>
          <w:szCs w:val="22"/>
          <w:lang w:val="en-GB"/>
        </w:rPr>
        <w:t xml:space="preserve"> </w:t>
      </w:r>
      <w:hyperlink r:id="R9636cd73da424cb4">
        <w:r w:rsidRPr="784FB87E" w:rsidR="492844A9">
          <w:rPr>
            <w:rStyle w:val="Hyperlink"/>
            <w:rFonts w:ascii="Arial" w:hAnsi="Arial" w:eastAsia="Arial" w:cs="Arial"/>
            <w:noProof w:val="0"/>
            <w:color w:val="000000" w:themeColor="text1" w:themeTint="FF" w:themeShade="FF"/>
            <w:sz w:val="22"/>
            <w:szCs w:val="22"/>
            <w:lang w:val="en-GB"/>
          </w:rPr>
          <w:t>https://www.lewissilkin.com/our-thinking/future-of-work-hub/insights/2026/02/04/future-at-work-2026-executive-summary</w:t>
        </w:r>
      </w:hyperlink>
      <w:r>
        <w:br/>
      </w:r>
      <w:r w:rsidRPr="784FB87E" w:rsidR="492844A9">
        <w:rPr>
          <w:rFonts w:ascii="Arial" w:hAnsi="Arial" w:eastAsia="Arial" w:cs="Arial"/>
          <w:noProof w:val="0"/>
          <w:color w:val="000000" w:themeColor="text1" w:themeTint="FF" w:themeShade="FF"/>
          <w:sz w:val="22"/>
          <w:szCs w:val="22"/>
          <w:lang w:val="en-GB"/>
        </w:rPr>
        <w:t xml:space="preserve">ManpowerGroup (2026). </w:t>
      </w:r>
      <w:r w:rsidRPr="784FB87E" w:rsidR="492844A9">
        <w:rPr>
          <w:rFonts w:ascii="Arial" w:hAnsi="Arial" w:eastAsia="Arial" w:cs="Arial"/>
          <w:i w:val="1"/>
          <w:iCs w:val="1"/>
          <w:noProof w:val="0"/>
          <w:color w:val="000000" w:themeColor="text1" w:themeTint="FF" w:themeShade="FF"/>
          <w:sz w:val="22"/>
          <w:szCs w:val="22"/>
          <w:lang w:val="en-GB"/>
        </w:rPr>
        <w:t>UK Talent Shortage Report 2026.</w:t>
      </w:r>
      <w:hyperlink r:id="Re269bc44bdce464d">
        <w:r w:rsidRPr="784FB87E" w:rsidR="492844A9">
          <w:rPr>
            <w:rStyle w:val="Hyperlink"/>
            <w:rFonts w:ascii="Arial" w:hAnsi="Arial" w:eastAsia="Arial" w:cs="Arial"/>
            <w:noProof w:val="0"/>
            <w:color w:val="000000" w:themeColor="text1" w:themeTint="FF" w:themeShade="FF"/>
            <w:sz w:val="22"/>
            <w:szCs w:val="22"/>
            <w:lang w:val="en-GB"/>
          </w:rPr>
          <w:t>https://www.manpower.co.uk/en/insights/blogs/2026/03/05/uk-talent-shortage-2026</w:t>
        </w:r>
      </w:hyperlink>
      <w:r>
        <w:br/>
      </w:r>
      <w:r w:rsidRPr="784FB87E" w:rsidR="492844A9">
        <w:rPr>
          <w:rFonts w:ascii="Arial" w:hAnsi="Arial" w:eastAsia="Arial" w:cs="Arial"/>
          <w:noProof w:val="0"/>
          <w:color w:val="000000" w:themeColor="text1" w:themeTint="FF" w:themeShade="FF"/>
          <w:sz w:val="22"/>
          <w:szCs w:val="22"/>
          <w:lang w:val="en-GB"/>
        </w:rPr>
        <w:t xml:space="preserve">Tesco PLC (2025). </w:t>
      </w:r>
      <w:r w:rsidRPr="784FB87E" w:rsidR="492844A9">
        <w:rPr>
          <w:rFonts w:ascii="Arial" w:hAnsi="Arial" w:eastAsia="Arial" w:cs="Arial"/>
          <w:i w:val="1"/>
          <w:iCs w:val="1"/>
          <w:noProof w:val="0"/>
          <w:color w:val="000000" w:themeColor="text1" w:themeTint="FF" w:themeShade="FF"/>
          <w:sz w:val="22"/>
          <w:szCs w:val="22"/>
          <w:lang w:val="en-GB"/>
        </w:rPr>
        <w:t>Annual Report and ESG Highlights.</w:t>
      </w:r>
      <w:r w:rsidRPr="784FB87E" w:rsidR="492844A9">
        <w:rPr>
          <w:rFonts w:ascii="Arial" w:hAnsi="Arial" w:eastAsia="Arial" w:cs="Arial"/>
          <w:noProof w:val="0"/>
          <w:color w:val="000000" w:themeColor="text1" w:themeTint="FF" w:themeShade="FF"/>
          <w:sz w:val="22"/>
          <w:szCs w:val="22"/>
          <w:lang w:val="en-GB"/>
        </w:rPr>
        <w:t> Tesco.com</w:t>
      </w:r>
      <w:r>
        <w:br/>
      </w:r>
      <w:r w:rsidRPr="784FB87E" w:rsidR="492844A9">
        <w:rPr>
          <w:rFonts w:ascii="Arial" w:hAnsi="Arial" w:eastAsia="Arial" w:cs="Arial"/>
          <w:noProof w:val="0"/>
          <w:color w:val="000000" w:themeColor="text1" w:themeTint="FF" w:themeShade="FF"/>
          <w:sz w:val="22"/>
          <w:szCs w:val="22"/>
          <w:lang w:val="en-GB"/>
        </w:rPr>
        <w:t xml:space="preserve">Armstrong, M. &amp; Taylor, S. (2020). </w:t>
      </w:r>
      <w:r w:rsidRPr="784FB87E" w:rsidR="492844A9">
        <w:rPr>
          <w:rFonts w:ascii="Arial" w:hAnsi="Arial" w:eastAsia="Arial" w:cs="Arial"/>
          <w:i w:val="1"/>
          <w:iCs w:val="1"/>
          <w:noProof w:val="0"/>
          <w:color w:val="000000" w:themeColor="text1" w:themeTint="FF" w:themeShade="FF"/>
          <w:sz w:val="22"/>
          <w:szCs w:val="22"/>
          <w:lang w:val="en-GB"/>
        </w:rPr>
        <w:t>Armstrong’s Handbook of Human Resource Management Practice.</w:t>
      </w:r>
      <w:r w:rsidRPr="784FB87E" w:rsidR="492844A9">
        <w:rPr>
          <w:rFonts w:ascii="Arial" w:hAnsi="Arial" w:eastAsia="Arial" w:cs="Arial"/>
          <w:noProof w:val="0"/>
          <w:color w:val="000000" w:themeColor="text1" w:themeTint="FF" w:themeShade="FF"/>
          <w:sz w:val="22"/>
          <w:szCs w:val="22"/>
          <w:lang w:val="en-GB"/>
        </w:rPr>
        <w:t> Kogan Page.</w:t>
      </w:r>
      <w:r>
        <w:br/>
      </w:r>
      <w:r w:rsidRPr="784FB87E" w:rsidR="492844A9">
        <w:rPr>
          <w:rFonts w:ascii="Arial" w:hAnsi="Arial" w:eastAsia="Arial" w:cs="Arial"/>
          <w:noProof w:val="0"/>
          <w:color w:val="000000" w:themeColor="text1" w:themeTint="FF" w:themeShade="FF"/>
          <w:sz w:val="22"/>
          <w:szCs w:val="22"/>
          <w:lang w:val="en-GB"/>
        </w:rPr>
        <w:t xml:space="preserve">Beardwell, J. &amp; Thompson, A. (2021). </w:t>
      </w:r>
      <w:r w:rsidRPr="784FB87E" w:rsidR="492844A9">
        <w:rPr>
          <w:rFonts w:ascii="Arial" w:hAnsi="Arial" w:eastAsia="Arial" w:cs="Arial"/>
          <w:i w:val="1"/>
          <w:iCs w:val="1"/>
          <w:noProof w:val="0"/>
          <w:color w:val="000000" w:themeColor="text1" w:themeTint="FF" w:themeShade="FF"/>
          <w:sz w:val="22"/>
          <w:szCs w:val="22"/>
          <w:lang w:val="en-GB"/>
        </w:rPr>
        <w:t>Human Resource Management: A Contemporary Approach.</w:t>
      </w:r>
      <w:r w:rsidRPr="784FB87E" w:rsidR="492844A9">
        <w:rPr>
          <w:rFonts w:ascii="Arial" w:hAnsi="Arial" w:eastAsia="Arial" w:cs="Arial"/>
          <w:noProof w:val="0"/>
          <w:color w:val="000000" w:themeColor="text1" w:themeTint="FF" w:themeShade="FF"/>
          <w:sz w:val="22"/>
          <w:szCs w:val="22"/>
          <w:lang w:val="en-GB"/>
        </w:rPr>
        <w:t> Pearson Education.</w:t>
      </w:r>
      <w:r>
        <w:br/>
      </w:r>
      <w:r w:rsidRPr="784FB87E" w:rsidR="492844A9">
        <w:rPr>
          <w:rFonts w:ascii="Arial" w:hAnsi="Arial" w:eastAsia="Arial" w:cs="Arial"/>
          <w:noProof w:val="0"/>
          <w:color w:val="000000" w:themeColor="text1" w:themeTint="FF" w:themeShade="FF"/>
          <w:sz w:val="22"/>
          <w:szCs w:val="22"/>
          <w:lang w:val="en-GB"/>
        </w:rPr>
        <w:t xml:space="preserve">Ulrich, D. (2019). </w:t>
      </w:r>
      <w:r w:rsidRPr="784FB87E" w:rsidR="492844A9">
        <w:rPr>
          <w:rFonts w:ascii="Arial" w:hAnsi="Arial" w:eastAsia="Arial" w:cs="Arial"/>
          <w:i w:val="1"/>
          <w:iCs w:val="1"/>
          <w:noProof w:val="0"/>
          <w:color w:val="000000" w:themeColor="text1" w:themeTint="FF" w:themeShade="FF"/>
          <w:sz w:val="22"/>
          <w:szCs w:val="22"/>
          <w:lang w:val="en-GB"/>
        </w:rPr>
        <w:t>HR from the Outside In.</w:t>
      </w:r>
      <w:r w:rsidRPr="784FB87E" w:rsidR="492844A9">
        <w:rPr>
          <w:rFonts w:ascii="Arial" w:hAnsi="Arial" w:eastAsia="Arial" w:cs="Arial"/>
          <w:noProof w:val="0"/>
          <w:color w:val="000000" w:themeColor="text1" w:themeTint="FF" w:themeShade="FF"/>
          <w:sz w:val="22"/>
          <w:szCs w:val="22"/>
          <w:lang w:val="en-GB"/>
        </w:rPr>
        <w:t> McGraw</w:t>
      </w:r>
      <w:r>
        <w:noBreakHyphen/>
      </w:r>
      <w:r w:rsidRPr="784FB87E" w:rsidR="492844A9">
        <w:rPr>
          <w:rFonts w:ascii="Arial" w:hAnsi="Arial" w:eastAsia="Arial" w:cs="Arial"/>
          <w:noProof w:val="0"/>
          <w:color w:val="000000" w:themeColor="text1" w:themeTint="FF" w:themeShade="FF"/>
          <w:sz w:val="22"/>
          <w:szCs w:val="22"/>
          <w:lang w:val="en-GB"/>
        </w:rPr>
        <w:t>Hill.</w:t>
      </w:r>
    </w:p>
    <w:p xmlns:wp14="http://schemas.microsoft.com/office/word/2010/wordml" wp14:paraId="5E5787A5" wp14:textId="5C11726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18cdf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c85c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5344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28d7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7DCBE0"/>
    <w:rsid w:val="0A65D2ED"/>
    <w:rsid w:val="0D0442FE"/>
    <w:rsid w:val="15BCBD3C"/>
    <w:rsid w:val="164C6E78"/>
    <w:rsid w:val="16C97789"/>
    <w:rsid w:val="1D30C83A"/>
    <w:rsid w:val="1F8C1DD3"/>
    <w:rsid w:val="2163B0E1"/>
    <w:rsid w:val="255C2108"/>
    <w:rsid w:val="267DCBE0"/>
    <w:rsid w:val="28E83AA1"/>
    <w:rsid w:val="2AF8BF61"/>
    <w:rsid w:val="341061D7"/>
    <w:rsid w:val="41097792"/>
    <w:rsid w:val="4380E62D"/>
    <w:rsid w:val="48C8ECD5"/>
    <w:rsid w:val="492844A9"/>
    <w:rsid w:val="4CD9D6C3"/>
    <w:rsid w:val="54A51966"/>
    <w:rsid w:val="592A28C5"/>
    <w:rsid w:val="59353585"/>
    <w:rsid w:val="5F70783F"/>
    <w:rsid w:val="60FB666D"/>
    <w:rsid w:val="6624DA23"/>
    <w:rsid w:val="676751A1"/>
    <w:rsid w:val="6A52BD1D"/>
    <w:rsid w:val="6B467DA7"/>
    <w:rsid w:val="6BE5B00C"/>
    <w:rsid w:val="6C70BBC3"/>
    <w:rsid w:val="6E81A98B"/>
    <w:rsid w:val="784FB87E"/>
    <w:rsid w:val="79709184"/>
    <w:rsid w:val="7A52A5A7"/>
    <w:rsid w:val="7D3C64F2"/>
    <w:rsid w:val="7D7C2B2C"/>
    <w:rsid w:val="7D963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DCBE0"/>
  <w15:chartTrackingRefBased/>
  <w15:docId w15:val="{D58CD32C-F872-4C70-BB8A-2F35C2F489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84FB87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84FB87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84FB87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84FB87E"/>
    <w:pPr>
      <w:spacing/>
      <w:ind w:left="720"/>
      <w:contextualSpacing/>
    </w:pPr>
  </w:style>
  <w:style w:type="character" w:styleId="Hyperlink">
    <w:uiPriority w:val="99"/>
    <w:name w:val="Hyperlink"/>
    <w:basedOn w:val="DefaultParagraphFont"/>
    <w:unhideWhenUsed/>
    <w:rsid w:val="784FB8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reports/resourcing-surveys" TargetMode="External" Id="R275f3291aa56432c" /><Relationship Type="http://schemas.openxmlformats.org/officeDocument/2006/relationships/hyperlink" Target="https://www.cipd.org/uk/views-and-insights/thought-leadership/insight/futureproofing-skills-ai/" TargetMode="External" Id="Rb34686f7df084a03" /><Relationship Type="http://schemas.openxmlformats.org/officeDocument/2006/relationships/hyperlink" Target="https://www.lewissilkin.com/our-thinking/future-of-work-hub/insights/2026/02/04/future-at-work-2026-executive-summary" TargetMode="External" Id="R9636cd73da424cb4" /><Relationship Type="http://schemas.openxmlformats.org/officeDocument/2006/relationships/hyperlink" Target="https://www.manpower.co.uk/en/insights/blogs/2026/03/05/uk-talent-shortage-2026" TargetMode="External" Id="Re269bc44bdce464d" /><Relationship Type="http://schemas.openxmlformats.org/officeDocument/2006/relationships/numbering" Target="/word/numbering.xml" Id="R5e9683be660446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Marvynn Bruno Junior Mendes Horta (2430201)</dc:creator>
  <keywords/>
  <dc:description/>
  <lastModifiedBy>Marvynn Bruno Junior Mendes Horta (2430201)</lastModifiedBy>
  <revision>2</revision>
  <dcterms:created xsi:type="dcterms:W3CDTF">2026-05-01T00:15:29.3784352Z</dcterms:created>
  <dcterms:modified xsi:type="dcterms:W3CDTF">2026-05-01T00:37:48.8062591Z</dcterms:modified>
</coreProperties>
</file>