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9DE28" w14:textId="25182FBB" w:rsidR="00AF0A44" w:rsidRPr="00031BC5" w:rsidRDefault="00255791" w:rsidP="00FF52D5">
      <w:pPr>
        <w:jc w:val="both"/>
        <w:rPr>
          <w:rFonts w:ascii="Arial" w:hAnsi="Arial" w:cs="Arial"/>
        </w:rPr>
      </w:pPr>
      <w:r w:rsidRPr="00031BC5">
        <w:rPr>
          <w:rFonts w:ascii="Arial" w:hAnsi="Arial" w:cs="Arial"/>
        </w:rPr>
        <w:drawing>
          <wp:anchor distT="0" distB="0" distL="114300" distR="114300" simplePos="0" relativeHeight="251658240" behindDoc="0" locked="0" layoutInCell="1" allowOverlap="1" wp14:anchorId="34E0AE45" wp14:editId="33D615A0">
            <wp:simplePos x="0" y="0"/>
            <wp:positionH relativeFrom="page">
              <wp:align>right</wp:align>
            </wp:positionH>
            <wp:positionV relativeFrom="paragraph">
              <wp:posOffset>-1382596</wp:posOffset>
            </wp:positionV>
            <wp:extent cx="7783551" cy="10997214"/>
            <wp:effectExtent l="0" t="0" r="8255" b="0"/>
            <wp:wrapNone/>
            <wp:docPr id="1210595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95115" name=""/>
                    <pic:cNvPicPr/>
                  </pic:nvPicPr>
                  <pic:blipFill>
                    <a:blip r:embed="rId5">
                      <a:extLst>
                        <a:ext uri="{28A0092B-C50C-407E-A947-70E740481C1C}">
                          <a14:useLocalDpi xmlns:a14="http://schemas.microsoft.com/office/drawing/2010/main" val="0"/>
                        </a:ext>
                      </a:extLst>
                    </a:blip>
                    <a:stretch>
                      <a:fillRect/>
                    </a:stretch>
                  </pic:blipFill>
                  <pic:spPr>
                    <a:xfrm>
                      <a:off x="0" y="0"/>
                      <a:ext cx="7783551" cy="10997214"/>
                    </a:xfrm>
                    <a:prstGeom prst="rect">
                      <a:avLst/>
                    </a:prstGeom>
                  </pic:spPr>
                </pic:pic>
              </a:graphicData>
            </a:graphic>
            <wp14:sizeRelH relativeFrom="margin">
              <wp14:pctWidth>0</wp14:pctWidth>
            </wp14:sizeRelH>
            <wp14:sizeRelV relativeFrom="margin">
              <wp14:pctHeight>0</wp14:pctHeight>
            </wp14:sizeRelV>
          </wp:anchor>
        </w:drawing>
      </w:r>
    </w:p>
    <w:p w14:paraId="16495891" w14:textId="77777777" w:rsidR="006B122F" w:rsidRPr="00031BC5" w:rsidRDefault="006B122F" w:rsidP="00FF52D5">
      <w:pPr>
        <w:jc w:val="both"/>
        <w:rPr>
          <w:rFonts w:ascii="Arial" w:hAnsi="Arial" w:cs="Arial"/>
        </w:rPr>
      </w:pPr>
    </w:p>
    <w:p w14:paraId="1A1D7D17" w14:textId="77777777" w:rsidR="006B122F" w:rsidRPr="00031BC5" w:rsidRDefault="006B122F" w:rsidP="00FF52D5">
      <w:pPr>
        <w:jc w:val="both"/>
        <w:rPr>
          <w:rFonts w:ascii="Arial" w:hAnsi="Arial" w:cs="Arial"/>
        </w:rPr>
      </w:pPr>
    </w:p>
    <w:p w14:paraId="622E6E10" w14:textId="77777777" w:rsidR="006B122F" w:rsidRPr="00031BC5" w:rsidRDefault="006B122F" w:rsidP="00FF52D5">
      <w:pPr>
        <w:jc w:val="both"/>
        <w:rPr>
          <w:rFonts w:ascii="Arial" w:hAnsi="Arial" w:cs="Arial"/>
        </w:rPr>
      </w:pPr>
    </w:p>
    <w:p w14:paraId="243B07C1" w14:textId="77777777" w:rsidR="006B122F" w:rsidRPr="00031BC5" w:rsidRDefault="006B122F" w:rsidP="00FF52D5">
      <w:pPr>
        <w:jc w:val="both"/>
        <w:rPr>
          <w:rFonts w:ascii="Arial" w:hAnsi="Arial" w:cs="Arial"/>
        </w:rPr>
      </w:pPr>
    </w:p>
    <w:p w14:paraId="688D5B70" w14:textId="77777777" w:rsidR="006B122F" w:rsidRPr="00031BC5" w:rsidRDefault="006B122F" w:rsidP="00FF52D5">
      <w:pPr>
        <w:jc w:val="both"/>
        <w:rPr>
          <w:rFonts w:ascii="Arial" w:hAnsi="Arial" w:cs="Arial"/>
        </w:rPr>
      </w:pPr>
    </w:p>
    <w:p w14:paraId="33F6CFE3" w14:textId="552C71D7" w:rsidR="006B122F" w:rsidRPr="00031BC5" w:rsidRDefault="006B122F" w:rsidP="00FF52D5">
      <w:pPr>
        <w:jc w:val="both"/>
        <w:rPr>
          <w:rFonts w:ascii="Arial" w:hAnsi="Arial" w:cs="Arial"/>
        </w:rPr>
      </w:pPr>
    </w:p>
    <w:p w14:paraId="63ABFAA5" w14:textId="77777777" w:rsidR="006B122F" w:rsidRPr="00031BC5" w:rsidRDefault="006B122F" w:rsidP="00FF52D5">
      <w:pPr>
        <w:jc w:val="both"/>
        <w:rPr>
          <w:rFonts w:ascii="Arial" w:hAnsi="Arial" w:cs="Arial"/>
        </w:rPr>
      </w:pPr>
    </w:p>
    <w:p w14:paraId="4F024FE0" w14:textId="77777777" w:rsidR="006B122F" w:rsidRPr="00031BC5" w:rsidRDefault="006B122F" w:rsidP="00FF52D5">
      <w:pPr>
        <w:jc w:val="both"/>
        <w:rPr>
          <w:rFonts w:ascii="Arial" w:hAnsi="Arial" w:cs="Arial"/>
        </w:rPr>
      </w:pPr>
    </w:p>
    <w:p w14:paraId="0C5BBCA4" w14:textId="77777777" w:rsidR="006B122F" w:rsidRPr="00031BC5" w:rsidRDefault="006B122F" w:rsidP="00FF52D5">
      <w:pPr>
        <w:jc w:val="both"/>
        <w:rPr>
          <w:rFonts w:ascii="Arial" w:hAnsi="Arial" w:cs="Arial"/>
        </w:rPr>
      </w:pPr>
    </w:p>
    <w:p w14:paraId="30BFDFBA" w14:textId="77777777" w:rsidR="006B122F" w:rsidRPr="00031BC5" w:rsidRDefault="006B122F" w:rsidP="00FF52D5">
      <w:pPr>
        <w:jc w:val="both"/>
        <w:rPr>
          <w:rFonts w:ascii="Arial" w:hAnsi="Arial" w:cs="Arial"/>
        </w:rPr>
      </w:pPr>
    </w:p>
    <w:p w14:paraId="514B34F9" w14:textId="77777777" w:rsidR="006B122F" w:rsidRPr="00031BC5" w:rsidRDefault="006B122F" w:rsidP="00FF52D5">
      <w:pPr>
        <w:jc w:val="both"/>
        <w:rPr>
          <w:rFonts w:ascii="Arial" w:hAnsi="Arial" w:cs="Arial"/>
        </w:rPr>
      </w:pPr>
    </w:p>
    <w:p w14:paraId="17222713" w14:textId="77777777" w:rsidR="006B122F" w:rsidRPr="00031BC5" w:rsidRDefault="006B122F" w:rsidP="00FF52D5">
      <w:pPr>
        <w:jc w:val="both"/>
        <w:rPr>
          <w:rFonts w:ascii="Arial" w:hAnsi="Arial" w:cs="Arial"/>
        </w:rPr>
      </w:pPr>
    </w:p>
    <w:p w14:paraId="37A09BDC" w14:textId="77777777" w:rsidR="006B122F" w:rsidRPr="00031BC5" w:rsidRDefault="006B122F" w:rsidP="00FF52D5">
      <w:pPr>
        <w:jc w:val="both"/>
        <w:rPr>
          <w:rFonts w:ascii="Arial" w:hAnsi="Arial" w:cs="Arial"/>
        </w:rPr>
      </w:pPr>
    </w:p>
    <w:p w14:paraId="2BF62F2B" w14:textId="77777777" w:rsidR="006B122F" w:rsidRPr="00031BC5" w:rsidRDefault="006B122F" w:rsidP="00FF52D5">
      <w:pPr>
        <w:jc w:val="both"/>
        <w:rPr>
          <w:rFonts w:ascii="Arial" w:hAnsi="Arial" w:cs="Arial"/>
        </w:rPr>
      </w:pPr>
    </w:p>
    <w:p w14:paraId="236BF01C" w14:textId="77777777" w:rsidR="006B122F" w:rsidRPr="00031BC5" w:rsidRDefault="006B122F" w:rsidP="00FF52D5">
      <w:pPr>
        <w:jc w:val="both"/>
        <w:rPr>
          <w:rFonts w:ascii="Arial" w:hAnsi="Arial" w:cs="Arial"/>
        </w:rPr>
      </w:pPr>
    </w:p>
    <w:p w14:paraId="079A14E7" w14:textId="77777777" w:rsidR="006B122F" w:rsidRPr="00031BC5" w:rsidRDefault="006B122F" w:rsidP="00FF52D5">
      <w:pPr>
        <w:jc w:val="both"/>
        <w:rPr>
          <w:rFonts w:ascii="Arial" w:hAnsi="Arial" w:cs="Arial"/>
        </w:rPr>
      </w:pPr>
    </w:p>
    <w:p w14:paraId="288878EA" w14:textId="77777777" w:rsidR="006B122F" w:rsidRPr="00031BC5" w:rsidRDefault="006B122F" w:rsidP="00FF52D5">
      <w:pPr>
        <w:jc w:val="both"/>
        <w:rPr>
          <w:rFonts w:ascii="Arial" w:hAnsi="Arial" w:cs="Arial"/>
        </w:rPr>
      </w:pPr>
    </w:p>
    <w:p w14:paraId="305AFB2F" w14:textId="77777777" w:rsidR="006B122F" w:rsidRPr="00031BC5" w:rsidRDefault="006B122F" w:rsidP="00FF52D5">
      <w:pPr>
        <w:jc w:val="both"/>
        <w:rPr>
          <w:rFonts w:ascii="Arial" w:hAnsi="Arial" w:cs="Arial"/>
        </w:rPr>
      </w:pPr>
    </w:p>
    <w:p w14:paraId="49C3EEED" w14:textId="77777777" w:rsidR="006B122F" w:rsidRPr="00031BC5" w:rsidRDefault="006B122F" w:rsidP="00FF52D5">
      <w:pPr>
        <w:jc w:val="both"/>
        <w:rPr>
          <w:rFonts w:ascii="Arial" w:hAnsi="Arial" w:cs="Arial"/>
        </w:rPr>
      </w:pPr>
    </w:p>
    <w:p w14:paraId="4CAF34C6" w14:textId="77777777" w:rsidR="006B122F" w:rsidRPr="00031BC5" w:rsidRDefault="006B122F" w:rsidP="00FF52D5">
      <w:pPr>
        <w:jc w:val="both"/>
        <w:rPr>
          <w:rFonts w:ascii="Arial" w:hAnsi="Arial" w:cs="Arial"/>
        </w:rPr>
      </w:pPr>
    </w:p>
    <w:p w14:paraId="24B5F796" w14:textId="77777777" w:rsidR="006B122F" w:rsidRPr="00031BC5" w:rsidRDefault="006B122F" w:rsidP="00FF52D5">
      <w:pPr>
        <w:jc w:val="both"/>
        <w:rPr>
          <w:rFonts w:ascii="Arial" w:hAnsi="Arial" w:cs="Arial"/>
        </w:rPr>
      </w:pPr>
    </w:p>
    <w:p w14:paraId="23993B7E" w14:textId="77777777" w:rsidR="006B122F" w:rsidRPr="00031BC5" w:rsidRDefault="006B122F" w:rsidP="00FF52D5">
      <w:pPr>
        <w:jc w:val="both"/>
        <w:rPr>
          <w:rFonts w:ascii="Arial" w:hAnsi="Arial" w:cs="Arial"/>
        </w:rPr>
      </w:pPr>
    </w:p>
    <w:p w14:paraId="3F38552A" w14:textId="77777777" w:rsidR="006B122F" w:rsidRPr="00031BC5" w:rsidRDefault="006B122F" w:rsidP="00FF52D5">
      <w:pPr>
        <w:jc w:val="both"/>
        <w:rPr>
          <w:rFonts w:ascii="Arial" w:hAnsi="Arial" w:cs="Arial"/>
        </w:rPr>
      </w:pPr>
    </w:p>
    <w:p w14:paraId="6ADE1D04" w14:textId="77777777" w:rsidR="006B122F" w:rsidRPr="00031BC5" w:rsidRDefault="006B122F" w:rsidP="00FF52D5">
      <w:pPr>
        <w:jc w:val="both"/>
        <w:rPr>
          <w:rFonts w:ascii="Arial" w:hAnsi="Arial" w:cs="Arial"/>
        </w:rPr>
      </w:pPr>
    </w:p>
    <w:p w14:paraId="759292B7" w14:textId="77777777" w:rsidR="006B122F" w:rsidRPr="00031BC5" w:rsidRDefault="006B122F" w:rsidP="00FF52D5">
      <w:pPr>
        <w:jc w:val="both"/>
        <w:rPr>
          <w:rFonts w:ascii="Arial" w:hAnsi="Arial" w:cs="Arial"/>
        </w:rPr>
      </w:pPr>
    </w:p>
    <w:p w14:paraId="68AF3815" w14:textId="77777777" w:rsidR="006B122F" w:rsidRPr="00031BC5" w:rsidRDefault="006B122F" w:rsidP="00FF52D5">
      <w:pPr>
        <w:jc w:val="both"/>
        <w:rPr>
          <w:rFonts w:ascii="Arial" w:hAnsi="Arial" w:cs="Arial"/>
        </w:rPr>
      </w:pPr>
    </w:p>
    <w:sdt>
      <w:sdtPr>
        <w:rPr>
          <w:rFonts w:ascii="Arial" w:hAnsi="Arial" w:cs="Arial"/>
        </w:rPr>
        <w:id w:val="608855678"/>
        <w:docPartObj>
          <w:docPartGallery w:val="Table of Contents"/>
          <w:docPartUnique/>
        </w:docPartObj>
      </w:sdtPr>
      <w:sdtEndPr>
        <w:rPr>
          <w:rFonts w:eastAsiaTheme="minorHAnsi"/>
          <w:b/>
          <w:bCs/>
          <w:noProof/>
          <w:color w:val="auto"/>
          <w:kern w:val="2"/>
          <w:sz w:val="24"/>
          <w:szCs w:val="24"/>
          <w14:ligatures w14:val="standardContextual"/>
        </w:rPr>
      </w:sdtEndPr>
      <w:sdtContent>
        <w:p w14:paraId="3D1A172A" w14:textId="1662F5EA" w:rsidR="00FF52D5" w:rsidRPr="00031BC5" w:rsidRDefault="00FF52D5" w:rsidP="00FF52D5">
          <w:pPr>
            <w:pStyle w:val="TOCHeading"/>
            <w:jc w:val="center"/>
            <w:rPr>
              <w:rFonts w:ascii="Arial" w:hAnsi="Arial" w:cs="Arial"/>
              <w:b/>
              <w:bCs/>
              <w:color w:val="000000" w:themeColor="text1"/>
            </w:rPr>
          </w:pPr>
          <w:r w:rsidRPr="00031BC5">
            <w:rPr>
              <w:rFonts w:ascii="Arial" w:hAnsi="Arial" w:cs="Arial"/>
              <w:b/>
              <w:bCs/>
              <w:color w:val="000000" w:themeColor="text1"/>
            </w:rPr>
            <w:t>Table of Contents</w:t>
          </w:r>
        </w:p>
        <w:p w14:paraId="09F56A58" w14:textId="6689D6E9" w:rsidR="00031BC5" w:rsidRPr="00031BC5" w:rsidRDefault="00FF52D5">
          <w:pPr>
            <w:pStyle w:val="TOC1"/>
            <w:tabs>
              <w:tab w:val="right" w:leader="dot" w:pos="9350"/>
            </w:tabs>
            <w:rPr>
              <w:rFonts w:ascii="Arial" w:eastAsiaTheme="minorEastAsia" w:hAnsi="Arial" w:cs="Arial"/>
              <w:noProof/>
            </w:rPr>
          </w:pPr>
          <w:r w:rsidRPr="00031BC5">
            <w:rPr>
              <w:rFonts w:ascii="Arial" w:hAnsi="Arial" w:cs="Arial"/>
            </w:rPr>
            <w:fldChar w:fldCharType="begin"/>
          </w:r>
          <w:r w:rsidRPr="00031BC5">
            <w:rPr>
              <w:rFonts w:ascii="Arial" w:hAnsi="Arial" w:cs="Arial"/>
            </w:rPr>
            <w:instrText xml:space="preserve"> TOC \o "1-3" \h \z \u </w:instrText>
          </w:r>
          <w:r w:rsidRPr="00031BC5">
            <w:rPr>
              <w:rFonts w:ascii="Arial" w:hAnsi="Arial" w:cs="Arial"/>
            </w:rPr>
            <w:fldChar w:fldCharType="separate"/>
          </w:r>
          <w:hyperlink w:anchor="_Toc242886281" w:history="1">
            <w:r w:rsidR="00031BC5" w:rsidRPr="00031BC5">
              <w:rPr>
                <w:rStyle w:val="Hyperlink"/>
                <w:rFonts w:ascii="Arial" w:hAnsi="Arial" w:cs="Arial"/>
                <w:noProof/>
              </w:rPr>
              <w:t>Introduction</w:t>
            </w:r>
            <w:r w:rsidR="00031BC5" w:rsidRPr="00031BC5">
              <w:rPr>
                <w:rFonts w:ascii="Arial" w:hAnsi="Arial" w:cs="Arial"/>
                <w:noProof/>
                <w:webHidden/>
              </w:rPr>
              <w:tab/>
            </w:r>
            <w:r w:rsidR="00031BC5" w:rsidRPr="00031BC5">
              <w:rPr>
                <w:rFonts w:ascii="Arial" w:hAnsi="Arial" w:cs="Arial"/>
                <w:noProof/>
                <w:webHidden/>
              </w:rPr>
              <w:fldChar w:fldCharType="begin"/>
            </w:r>
            <w:r w:rsidR="00031BC5" w:rsidRPr="00031BC5">
              <w:rPr>
                <w:rFonts w:ascii="Arial" w:hAnsi="Arial" w:cs="Arial"/>
                <w:noProof/>
                <w:webHidden/>
              </w:rPr>
              <w:instrText xml:space="preserve"> PAGEREF _Toc242886281 \h </w:instrText>
            </w:r>
            <w:r w:rsidR="00031BC5" w:rsidRPr="00031BC5">
              <w:rPr>
                <w:rFonts w:ascii="Arial" w:hAnsi="Arial" w:cs="Arial"/>
                <w:noProof/>
                <w:webHidden/>
              </w:rPr>
            </w:r>
            <w:r w:rsidR="00031BC5" w:rsidRPr="00031BC5">
              <w:rPr>
                <w:rFonts w:ascii="Arial" w:hAnsi="Arial" w:cs="Arial"/>
                <w:noProof/>
                <w:webHidden/>
              </w:rPr>
              <w:fldChar w:fldCharType="separate"/>
            </w:r>
            <w:r w:rsidR="00031BC5" w:rsidRPr="00031BC5">
              <w:rPr>
                <w:rFonts w:ascii="Arial" w:hAnsi="Arial" w:cs="Arial"/>
                <w:noProof/>
                <w:webHidden/>
              </w:rPr>
              <w:t>3</w:t>
            </w:r>
            <w:r w:rsidR="00031BC5" w:rsidRPr="00031BC5">
              <w:rPr>
                <w:rFonts w:ascii="Arial" w:hAnsi="Arial" w:cs="Arial"/>
                <w:noProof/>
                <w:webHidden/>
              </w:rPr>
              <w:fldChar w:fldCharType="end"/>
            </w:r>
          </w:hyperlink>
        </w:p>
        <w:p w14:paraId="26FD6F30" w14:textId="03C289F6" w:rsidR="00031BC5" w:rsidRPr="00031BC5" w:rsidRDefault="00031BC5">
          <w:pPr>
            <w:pStyle w:val="TOC2"/>
            <w:tabs>
              <w:tab w:val="right" w:leader="dot" w:pos="9350"/>
            </w:tabs>
            <w:rPr>
              <w:rFonts w:ascii="Arial" w:eastAsiaTheme="minorEastAsia" w:hAnsi="Arial" w:cs="Arial"/>
              <w:noProof/>
            </w:rPr>
          </w:pPr>
          <w:hyperlink w:anchor="_Toc242886282" w:history="1">
            <w:r w:rsidRPr="00031BC5">
              <w:rPr>
                <w:rStyle w:val="Hyperlink"/>
                <w:rFonts w:ascii="Arial" w:hAnsi="Arial" w:cs="Arial"/>
                <w:noProof/>
              </w:rPr>
              <w:t>Task A: Designing Innovative Working Practices</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_Toc242886282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3</w:t>
            </w:r>
            <w:r w:rsidRPr="00031BC5">
              <w:rPr>
                <w:rFonts w:ascii="Arial" w:hAnsi="Arial" w:cs="Arial"/>
                <w:noProof/>
                <w:webHidden/>
              </w:rPr>
              <w:fldChar w:fldCharType="end"/>
            </w:r>
          </w:hyperlink>
        </w:p>
        <w:p w14:paraId="639F4746" w14:textId="21E9CBB6" w:rsidR="00031BC5" w:rsidRPr="00031BC5" w:rsidRDefault="00031BC5">
          <w:pPr>
            <w:pStyle w:val="TOC2"/>
            <w:tabs>
              <w:tab w:val="right" w:leader="dot" w:pos="9350"/>
            </w:tabs>
            <w:rPr>
              <w:rFonts w:ascii="Arial" w:eastAsiaTheme="minorEastAsia" w:hAnsi="Arial" w:cs="Arial"/>
              <w:noProof/>
            </w:rPr>
          </w:pPr>
          <w:hyperlink w:anchor="_Toc242886283" w:history="1">
            <w:r w:rsidRPr="00031BC5">
              <w:rPr>
                <w:rStyle w:val="Hyperlink"/>
                <w:rFonts w:ascii="Arial" w:hAnsi="Arial" w:cs="Arial"/>
                <w:noProof/>
              </w:rPr>
              <w:t>A2. Proposed Integrated Innovative Working Framework</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_Toc242886283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4</w:t>
            </w:r>
            <w:r w:rsidRPr="00031BC5">
              <w:rPr>
                <w:rFonts w:ascii="Arial" w:hAnsi="Arial" w:cs="Arial"/>
                <w:noProof/>
                <w:webHidden/>
              </w:rPr>
              <w:fldChar w:fldCharType="end"/>
            </w:r>
          </w:hyperlink>
        </w:p>
        <w:p w14:paraId="707E232A" w14:textId="1ACBD156" w:rsidR="00031BC5" w:rsidRPr="00031BC5" w:rsidRDefault="00031BC5">
          <w:pPr>
            <w:pStyle w:val="TOC2"/>
            <w:tabs>
              <w:tab w:val="right" w:leader="dot" w:pos="9350"/>
            </w:tabs>
            <w:rPr>
              <w:rFonts w:ascii="Arial" w:eastAsiaTheme="minorEastAsia" w:hAnsi="Arial" w:cs="Arial"/>
              <w:noProof/>
            </w:rPr>
          </w:pPr>
          <w:hyperlink w:anchor="_Toc242886284" w:history="1">
            <w:r w:rsidRPr="00031BC5">
              <w:rPr>
                <w:rStyle w:val="Hyperlink"/>
                <w:rFonts w:ascii="Arial" w:hAnsi="Arial" w:cs="Arial"/>
                <w:noProof/>
              </w:rPr>
              <w:t>A3. Implementation, Performance and Critical Risks</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_Toc242886284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6</w:t>
            </w:r>
            <w:r w:rsidRPr="00031BC5">
              <w:rPr>
                <w:rFonts w:ascii="Arial" w:hAnsi="Arial" w:cs="Arial"/>
                <w:noProof/>
                <w:webHidden/>
              </w:rPr>
              <w:fldChar w:fldCharType="end"/>
            </w:r>
          </w:hyperlink>
        </w:p>
        <w:p w14:paraId="32180130" w14:textId="3684080B" w:rsidR="00031BC5" w:rsidRPr="00031BC5" w:rsidRDefault="00031BC5">
          <w:pPr>
            <w:pStyle w:val="TOC1"/>
            <w:tabs>
              <w:tab w:val="right" w:leader="dot" w:pos="9350"/>
            </w:tabs>
            <w:rPr>
              <w:rFonts w:ascii="Arial" w:eastAsiaTheme="minorEastAsia" w:hAnsi="Arial" w:cs="Arial"/>
              <w:noProof/>
            </w:rPr>
          </w:pPr>
          <w:hyperlink w:anchor="_Toc242886285" w:history="1">
            <w:r w:rsidRPr="00031BC5">
              <w:rPr>
                <w:rStyle w:val="Hyperlink"/>
                <w:rFonts w:ascii="Arial" w:hAnsi="Arial" w:cs="Arial"/>
                <w:noProof/>
              </w:rPr>
              <w:t>Task B: Breeding an Environment Where Talent May Grow</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_Toc242886285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7</w:t>
            </w:r>
            <w:r w:rsidRPr="00031BC5">
              <w:rPr>
                <w:rFonts w:ascii="Arial" w:hAnsi="Arial" w:cs="Arial"/>
                <w:noProof/>
                <w:webHidden/>
              </w:rPr>
              <w:fldChar w:fldCharType="end"/>
            </w:r>
          </w:hyperlink>
        </w:p>
        <w:p w14:paraId="5DF25CE3" w14:textId="57363EE5" w:rsidR="00031BC5" w:rsidRPr="00031BC5" w:rsidRDefault="00031BC5">
          <w:pPr>
            <w:pStyle w:val="TOC2"/>
            <w:tabs>
              <w:tab w:val="right" w:leader="dot" w:pos="9350"/>
            </w:tabs>
            <w:rPr>
              <w:rFonts w:ascii="Arial" w:eastAsiaTheme="minorEastAsia" w:hAnsi="Arial" w:cs="Arial"/>
              <w:noProof/>
            </w:rPr>
          </w:pPr>
          <w:hyperlink w:anchor="_Toc242886286" w:history="1">
            <w:r w:rsidRPr="00031BC5">
              <w:rPr>
                <w:rStyle w:val="Hyperlink"/>
                <w:rFonts w:ascii="Arial" w:hAnsi="Arial" w:cs="Arial"/>
                <w:noProof/>
              </w:rPr>
              <w:t>B1. Critical Evaluation of Conditions Supporting Talent Growth</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_Toc242886286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7</w:t>
            </w:r>
            <w:r w:rsidRPr="00031BC5">
              <w:rPr>
                <w:rFonts w:ascii="Arial" w:hAnsi="Arial" w:cs="Arial"/>
                <w:noProof/>
                <w:webHidden/>
              </w:rPr>
              <w:fldChar w:fldCharType="end"/>
            </w:r>
          </w:hyperlink>
        </w:p>
        <w:p w14:paraId="35E25120" w14:textId="437F221D" w:rsidR="00031BC5" w:rsidRPr="00031BC5" w:rsidRDefault="00031BC5">
          <w:pPr>
            <w:pStyle w:val="TOC2"/>
            <w:tabs>
              <w:tab w:val="right" w:leader="dot" w:pos="9350"/>
            </w:tabs>
            <w:rPr>
              <w:rFonts w:ascii="Arial" w:eastAsiaTheme="minorEastAsia" w:hAnsi="Arial" w:cs="Arial"/>
              <w:noProof/>
            </w:rPr>
          </w:pPr>
          <w:hyperlink w:anchor="_Toc242886287" w:history="1">
            <w:r w:rsidRPr="00031BC5">
              <w:rPr>
                <w:rStyle w:val="Hyperlink"/>
                <w:rFonts w:ascii="Arial" w:hAnsi="Arial" w:cs="Arial"/>
                <w:noProof/>
              </w:rPr>
              <w:t>B2. Proposed Integrated Talent Growth Ecosystem</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_Toc242886287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8</w:t>
            </w:r>
            <w:r w:rsidRPr="00031BC5">
              <w:rPr>
                <w:rFonts w:ascii="Arial" w:hAnsi="Arial" w:cs="Arial"/>
                <w:noProof/>
                <w:webHidden/>
              </w:rPr>
              <w:fldChar w:fldCharType="end"/>
            </w:r>
          </w:hyperlink>
        </w:p>
        <w:p w14:paraId="464EF83D" w14:textId="38E29754" w:rsidR="00031BC5" w:rsidRPr="00031BC5" w:rsidRDefault="00031BC5">
          <w:pPr>
            <w:pStyle w:val="TOC2"/>
            <w:tabs>
              <w:tab w:val="right" w:leader="dot" w:pos="9350"/>
            </w:tabs>
            <w:rPr>
              <w:rFonts w:ascii="Arial" w:eastAsiaTheme="minorEastAsia" w:hAnsi="Arial" w:cs="Arial"/>
              <w:noProof/>
            </w:rPr>
          </w:pPr>
          <w:hyperlink w:anchor="_Toc242886288" w:history="1">
            <w:r w:rsidRPr="00031BC5">
              <w:rPr>
                <w:rStyle w:val="Hyperlink"/>
                <w:rFonts w:ascii="Arial" w:hAnsi="Arial" w:cs="Arial"/>
                <w:noProof/>
              </w:rPr>
              <w:t>B3. Implementation, Evaluation and Strategic Risks</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_Toc242886288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9</w:t>
            </w:r>
            <w:r w:rsidRPr="00031BC5">
              <w:rPr>
                <w:rFonts w:ascii="Arial" w:hAnsi="Arial" w:cs="Arial"/>
                <w:noProof/>
                <w:webHidden/>
              </w:rPr>
              <w:fldChar w:fldCharType="end"/>
            </w:r>
          </w:hyperlink>
        </w:p>
        <w:p w14:paraId="5E961E2A" w14:textId="569AF0E2" w:rsidR="00031BC5" w:rsidRPr="00031BC5" w:rsidRDefault="00031BC5">
          <w:pPr>
            <w:pStyle w:val="TOC1"/>
            <w:tabs>
              <w:tab w:val="right" w:leader="dot" w:pos="9350"/>
            </w:tabs>
            <w:rPr>
              <w:rFonts w:ascii="Arial" w:eastAsiaTheme="minorEastAsia" w:hAnsi="Arial" w:cs="Arial"/>
              <w:noProof/>
            </w:rPr>
          </w:pPr>
          <w:hyperlink w:anchor="_Toc242886289" w:history="1">
            <w:r w:rsidRPr="00031BC5">
              <w:rPr>
                <w:rStyle w:val="Hyperlink"/>
                <w:rFonts w:ascii="Arial" w:hAnsi="Arial" w:cs="Arial"/>
                <w:noProof/>
              </w:rPr>
              <w:t>Task C: Critical Reflection on the Ethical Use of Artificial Intelligence in Strategic Human Resource Management and Professional Development</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_Toc242886289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10</w:t>
            </w:r>
            <w:r w:rsidRPr="00031BC5">
              <w:rPr>
                <w:rFonts w:ascii="Arial" w:hAnsi="Arial" w:cs="Arial"/>
                <w:noProof/>
                <w:webHidden/>
              </w:rPr>
              <w:fldChar w:fldCharType="end"/>
            </w:r>
          </w:hyperlink>
        </w:p>
        <w:p w14:paraId="40102193" w14:textId="60C1B0D6" w:rsidR="00031BC5" w:rsidRPr="00031BC5" w:rsidRDefault="00031BC5">
          <w:pPr>
            <w:pStyle w:val="TOC2"/>
            <w:tabs>
              <w:tab w:val="right" w:leader="dot" w:pos="9350"/>
            </w:tabs>
            <w:rPr>
              <w:rFonts w:ascii="Arial" w:eastAsiaTheme="minorEastAsia" w:hAnsi="Arial" w:cs="Arial"/>
              <w:noProof/>
            </w:rPr>
          </w:pPr>
          <w:hyperlink w:anchor="_Toc242886290" w:history="1">
            <w:r w:rsidRPr="00031BC5">
              <w:rPr>
                <w:rStyle w:val="Hyperlink"/>
                <w:rFonts w:ascii="Arial" w:hAnsi="Arial" w:cs="Arial"/>
                <w:noProof/>
              </w:rPr>
              <w:t>C1. Artificial Intelligence as a Strategic HR Decision-Support Tool</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_Toc242886290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10</w:t>
            </w:r>
            <w:r w:rsidRPr="00031BC5">
              <w:rPr>
                <w:rFonts w:ascii="Arial" w:hAnsi="Arial" w:cs="Arial"/>
                <w:noProof/>
                <w:webHidden/>
              </w:rPr>
              <w:fldChar w:fldCharType="end"/>
            </w:r>
          </w:hyperlink>
        </w:p>
        <w:p w14:paraId="45E4E8F5" w14:textId="6FE04C31" w:rsidR="00031BC5" w:rsidRPr="00031BC5" w:rsidRDefault="00031BC5">
          <w:pPr>
            <w:pStyle w:val="TOC2"/>
            <w:tabs>
              <w:tab w:val="right" w:leader="dot" w:pos="9350"/>
            </w:tabs>
            <w:rPr>
              <w:rFonts w:ascii="Arial" w:eastAsiaTheme="minorEastAsia" w:hAnsi="Arial" w:cs="Arial"/>
              <w:noProof/>
            </w:rPr>
          </w:pPr>
          <w:hyperlink w:anchor="_Toc242886291" w:history="1">
            <w:r w:rsidRPr="00031BC5">
              <w:rPr>
                <w:rStyle w:val="Hyperlink"/>
                <w:rFonts w:ascii="Arial" w:hAnsi="Arial" w:cs="Arial"/>
                <w:noProof/>
              </w:rPr>
              <w:t>C2. Critical Reflection on Three Personal AI-Use Experiences</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_Toc242886291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10</w:t>
            </w:r>
            <w:r w:rsidRPr="00031BC5">
              <w:rPr>
                <w:rFonts w:ascii="Arial" w:hAnsi="Arial" w:cs="Arial"/>
                <w:noProof/>
                <w:webHidden/>
              </w:rPr>
              <w:fldChar w:fldCharType="end"/>
            </w:r>
          </w:hyperlink>
        </w:p>
        <w:p w14:paraId="79C9CFB3" w14:textId="157458CC" w:rsidR="00031BC5" w:rsidRPr="00031BC5" w:rsidRDefault="00031BC5">
          <w:pPr>
            <w:pStyle w:val="TOC3"/>
            <w:tabs>
              <w:tab w:val="right" w:leader="dot" w:pos="9350"/>
            </w:tabs>
            <w:rPr>
              <w:rFonts w:ascii="Arial" w:eastAsiaTheme="minorEastAsia" w:hAnsi="Arial" w:cs="Arial"/>
              <w:noProof/>
            </w:rPr>
          </w:pPr>
          <w:hyperlink w:anchor="_Toc242886292" w:history="1">
            <w:r w:rsidRPr="00031BC5">
              <w:rPr>
                <w:rStyle w:val="Hyperlink"/>
                <w:rFonts w:ascii="Arial" w:hAnsi="Arial" w:cs="Arial"/>
                <w:noProof/>
              </w:rPr>
              <w:t>Experience 1: Microsoft Copilot Information Analysis</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_Toc242886292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10</w:t>
            </w:r>
            <w:r w:rsidRPr="00031BC5">
              <w:rPr>
                <w:rFonts w:ascii="Arial" w:hAnsi="Arial" w:cs="Arial"/>
                <w:noProof/>
                <w:webHidden/>
              </w:rPr>
              <w:fldChar w:fldCharType="end"/>
            </w:r>
          </w:hyperlink>
        </w:p>
        <w:p w14:paraId="4E31F7EB" w14:textId="4B33D79F" w:rsidR="00031BC5" w:rsidRPr="00031BC5" w:rsidRDefault="00031BC5">
          <w:pPr>
            <w:pStyle w:val="TOC3"/>
            <w:tabs>
              <w:tab w:val="right" w:leader="dot" w:pos="9350"/>
            </w:tabs>
            <w:rPr>
              <w:rFonts w:ascii="Arial" w:eastAsiaTheme="minorEastAsia" w:hAnsi="Arial" w:cs="Arial"/>
              <w:noProof/>
            </w:rPr>
          </w:pPr>
          <w:hyperlink w:anchor="_Toc242886293" w:history="1">
            <w:r w:rsidRPr="00031BC5">
              <w:rPr>
                <w:rStyle w:val="Hyperlink"/>
                <w:rFonts w:ascii="Arial" w:hAnsi="Arial" w:cs="Arial"/>
                <w:noProof/>
              </w:rPr>
              <w:t>Experience 2: Elicit Academic Research and Critical Evaluation</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_Toc242886293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11</w:t>
            </w:r>
            <w:r w:rsidRPr="00031BC5">
              <w:rPr>
                <w:rFonts w:ascii="Arial" w:hAnsi="Arial" w:cs="Arial"/>
                <w:noProof/>
                <w:webHidden/>
              </w:rPr>
              <w:fldChar w:fldCharType="end"/>
            </w:r>
          </w:hyperlink>
        </w:p>
        <w:p w14:paraId="6E00CFCE" w14:textId="23BEABAE" w:rsidR="00031BC5" w:rsidRPr="00031BC5" w:rsidRDefault="00031BC5">
          <w:pPr>
            <w:pStyle w:val="TOC3"/>
            <w:tabs>
              <w:tab w:val="right" w:leader="dot" w:pos="9350"/>
            </w:tabs>
            <w:rPr>
              <w:rFonts w:ascii="Arial" w:eastAsiaTheme="minorEastAsia" w:hAnsi="Arial" w:cs="Arial"/>
              <w:noProof/>
            </w:rPr>
          </w:pPr>
          <w:hyperlink w:anchor="_Toc242886294" w:history="1">
            <w:r w:rsidRPr="00031BC5">
              <w:rPr>
                <w:rStyle w:val="Hyperlink"/>
                <w:rFonts w:ascii="Arial" w:hAnsi="Arial" w:cs="Arial"/>
                <w:noProof/>
              </w:rPr>
              <w:t>Experience 3: Grammarly Professional Communication</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_Toc242886294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11</w:t>
            </w:r>
            <w:r w:rsidRPr="00031BC5">
              <w:rPr>
                <w:rFonts w:ascii="Arial" w:hAnsi="Arial" w:cs="Arial"/>
                <w:noProof/>
                <w:webHidden/>
              </w:rPr>
              <w:fldChar w:fldCharType="end"/>
            </w:r>
          </w:hyperlink>
        </w:p>
        <w:p w14:paraId="3030FF15" w14:textId="25BF29A7" w:rsidR="00031BC5" w:rsidRPr="00031BC5" w:rsidRDefault="00031BC5">
          <w:pPr>
            <w:pStyle w:val="TOC2"/>
            <w:tabs>
              <w:tab w:val="right" w:leader="dot" w:pos="9350"/>
            </w:tabs>
            <w:rPr>
              <w:rFonts w:ascii="Arial" w:eastAsiaTheme="minorEastAsia" w:hAnsi="Arial" w:cs="Arial"/>
              <w:noProof/>
            </w:rPr>
          </w:pPr>
          <w:hyperlink w:anchor="_Toc242886295" w:history="1">
            <w:r w:rsidRPr="00031BC5">
              <w:rPr>
                <w:rStyle w:val="Hyperlink"/>
                <w:rFonts w:ascii="Arial" w:hAnsi="Arial" w:cs="Arial"/>
                <w:noProof/>
              </w:rPr>
              <w:t>C3. SMART Professional Development and Employability Action Plan</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_Toc242886295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11</w:t>
            </w:r>
            <w:r w:rsidRPr="00031BC5">
              <w:rPr>
                <w:rFonts w:ascii="Arial" w:hAnsi="Arial" w:cs="Arial"/>
                <w:noProof/>
                <w:webHidden/>
              </w:rPr>
              <w:fldChar w:fldCharType="end"/>
            </w:r>
          </w:hyperlink>
        </w:p>
        <w:p w14:paraId="62B69C2C" w14:textId="6E37AF2B" w:rsidR="00031BC5" w:rsidRPr="00031BC5" w:rsidRDefault="00031BC5">
          <w:pPr>
            <w:pStyle w:val="TOC1"/>
            <w:tabs>
              <w:tab w:val="right" w:leader="dot" w:pos="9350"/>
            </w:tabs>
            <w:rPr>
              <w:rFonts w:ascii="Arial" w:eastAsiaTheme="minorEastAsia" w:hAnsi="Arial" w:cs="Arial"/>
              <w:noProof/>
            </w:rPr>
          </w:pPr>
          <w:hyperlink w:anchor="_Toc242886296" w:history="1">
            <w:r w:rsidRPr="00031BC5">
              <w:rPr>
                <w:rStyle w:val="Hyperlink"/>
                <w:rFonts w:ascii="Arial" w:hAnsi="Arial" w:cs="Arial"/>
                <w:noProof/>
              </w:rPr>
              <w:t>References</w:t>
            </w:r>
            <w:r w:rsidRPr="00031BC5">
              <w:rPr>
                <w:rFonts w:ascii="Arial" w:hAnsi="Arial" w:cs="Arial"/>
                <w:noProof/>
                <w:webHidden/>
              </w:rPr>
              <w:tab/>
            </w:r>
            <w:r w:rsidRPr="00031BC5">
              <w:rPr>
                <w:rFonts w:ascii="Arial" w:hAnsi="Arial" w:cs="Arial"/>
                <w:noProof/>
                <w:webHidden/>
              </w:rPr>
              <w:fldChar w:fldCharType="begin"/>
            </w:r>
            <w:r w:rsidRPr="00031BC5">
              <w:rPr>
                <w:rFonts w:ascii="Arial" w:hAnsi="Arial" w:cs="Arial"/>
                <w:noProof/>
                <w:webHidden/>
              </w:rPr>
              <w:instrText xml:space="preserve"> PAGEREF _Toc242886296 \h </w:instrText>
            </w:r>
            <w:r w:rsidRPr="00031BC5">
              <w:rPr>
                <w:rFonts w:ascii="Arial" w:hAnsi="Arial" w:cs="Arial"/>
                <w:noProof/>
                <w:webHidden/>
              </w:rPr>
            </w:r>
            <w:r w:rsidRPr="00031BC5">
              <w:rPr>
                <w:rFonts w:ascii="Arial" w:hAnsi="Arial" w:cs="Arial"/>
                <w:noProof/>
                <w:webHidden/>
              </w:rPr>
              <w:fldChar w:fldCharType="separate"/>
            </w:r>
            <w:r w:rsidRPr="00031BC5">
              <w:rPr>
                <w:rFonts w:ascii="Arial" w:hAnsi="Arial" w:cs="Arial"/>
                <w:noProof/>
                <w:webHidden/>
              </w:rPr>
              <w:t>12</w:t>
            </w:r>
            <w:r w:rsidRPr="00031BC5">
              <w:rPr>
                <w:rFonts w:ascii="Arial" w:hAnsi="Arial" w:cs="Arial"/>
                <w:noProof/>
                <w:webHidden/>
              </w:rPr>
              <w:fldChar w:fldCharType="end"/>
            </w:r>
          </w:hyperlink>
        </w:p>
        <w:p w14:paraId="2CF76AF8" w14:textId="12923222" w:rsidR="00FF52D5" w:rsidRPr="00031BC5" w:rsidRDefault="00FF52D5">
          <w:pPr>
            <w:rPr>
              <w:rFonts w:ascii="Arial" w:hAnsi="Arial" w:cs="Arial"/>
            </w:rPr>
          </w:pPr>
          <w:r w:rsidRPr="00031BC5">
            <w:rPr>
              <w:rFonts w:ascii="Arial" w:hAnsi="Arial" w:cs="Arial"/>
              <w:b/>
              <w:bCs/>
              <w:noProof/>
            </w:rPr>
            <w:fldChar w:fldCharType="end"/>
          </w:r>
        </w:p>
      </w:sdtContent>
    </w:sdt>
    <w:p w14:paraId="2673FF9A" w14:textId="77777777" w:rsidR="006B122F" w:rsidRPr="00031BC5" w:rsidRDefault="006B122F" w:rsidP="00FF52D5">
      <w:pPr>
        <w:jc w:val="both"/>
        <w:rPr>
          <w:rFonts w:ascii="Arial" w:hAnsi="Arial" w:cs="Arial"/>
        </w:rPr>
      </w:pPr>
    </w:p>
    <w:p w14:paraId="6088AE87" w14:textId="77777777" w:rsidR="006B122F" w:rsidRPr="00031BC5" w:rsidRDefault="006B122F" w:rsidP="00FF52D5">
      <w:pPr>
        <w:jc w:val="both"/>
        <w:rPr>
          <w:rFonts w:ascii="Arial" w:hAnsi="Arial" w:cs="Arial"/>
        </w:rPr>
      </w:pPr>
    </w:p>
    <w:p w14:paraId="67B791D4" w14:textId="77777777" w:rsidR="006B122F" w:rsidRPr="00031BC5" w:rsidRDefault="006B122F" w:rsidP="00FF52D5">
      <w:pPr>
        <w:jc w:val="both"/>
        <w:rPr>
          <w:rFonts w:ascii="Arial" w:hAnsi="Arial" w:cs="Arial"/>
        </w:rPr>
      </w:pPr>
    </w:p>
    <w:p w14:paraId="40A583F8" w14:textId="77777777" w:rsidR="006B122F" w:rsidRPr="00031BC5" w:rsidRDefault="006B122F" w:rsidP="00FF52D5">
      <w:pPr>
        <w:jc w:val="both"/>
        <w:rPr>
          <w:rFonts w:ascii="Arial" w:hAnsi="Arial" w:cs="Arial"/>
        </w:rPr>
      </w:pPr>
    </w:p>
    <w:p w14:paraId="189E1E54" w14:textId="77777777" w:rsidR="006B122F" w:rsidRPr="00031BC5" w:rsidRDefault="006B122F" w:rsidP="00FF52D5">
      <w:pPr>
        <w:jc w:val="both"/>
        <w:rPr>
          <w:rFonts w:ascii="Arial" w:hAnsi="Arial" w:cs="Arial"/>
        </w:rPr>
      </w:pPr>
    </w:p>
    <w:p w14:paraId="27642ADC" w14:textId="77777777" w:rsidR="006B122F" w:rsidRPr="00031BC5" w:rsidRDefault="006B122F" w:rsidP="00FF52D5">
      <w:pPr>
        <w:jc w:val="both"/>
        <w:rPr>
          <w:rFonts w:ascii="Arial" w:hAnsi="Arial" w:cs="Arial"/>
        </w:rPr>
      </w:pPr>
    </w:p>
    <w:p w14:paraId="7C3D0B60" w14:textId="77777777" w:rsidR="006B122F" w:rsidRPr="00031BC5" w:rsidRDefault="006B122F" w:rsidP="00FF52D5">
      <w:pPr>
        <w:jc w:val="both"/>
        <w:rPr>
          <w:rFonts w:ascii="Arial" w:hAnsi="Arial" w:cs="Arial"/>
        </w:rPr>
      </w:pPr>
    </w:p>
    <w:p w14:paraId="53B94DEE" w14:textId="77777777" w:rsidR="006B122F" w:rsidRPr="00031BC5" w:rsidRDefault="006B122F" w:rsidP="00FF52D5">
      <w:pPr>
        <w:jc w:val="both"/>
        <w:rPr>
          <w:rFonts w:ascii="Arial" w:hAnsi="Arial" w:cs="Arial"/>
        </w:rPr>
      </w:pPr>
    </w:p>
    <w:p w14:paraId="2DA69923" w14:textId="77777777" w:rsidR="006B122F" w:rsidRPr="00031BC5" w:rsidRDefault="006B122F" w:rsidP="00FF52D5">
      <w:pPr>
        <w:jc w:val="both"/>
        <w:rPr>
          <w:rFonts w:ascii="Arial" w:hAnsi="Arial" w:cs="Arial"/>
        </w:rPr>
      </w:pPr>
    </w:p>
    <w:p w14:paraId="4201AEE8" w14:textId="77777777" w:rsidR="006B122F" w:rsidRPr="00031BC5" w:rsidRDefault="006B122F" w:rsidP="00FF52D5">
      <w:pPr>
        <w:jc w:val="both"/>
        <w:rPr>
          <w:rFonts w:ascii="Arial" w:hAnsi="Arial" w:cs="Arial"/>
        </w:rPr>
      </w:pPr>
    </w:p>
    <w:p w14:paraId="5C8243D4" w14:textId="77777777" w:rsidR="006B122F" w:rsidRPr="00031BC5" w:rsidRDefault="006B122F" w:rsidP="00FF52D5">
      <w:pPr>
        <w:pStyle w:val="Heading1"/>
        <w:jc w:val="both"/>
        <w:rPr>
          <w:rFonts w:ascii="Arial" w:hAnsi="Arial" w:cs="Arial"/>
          <w:szCs w:val="24"/>
        </w:rPr>
      </w:pPr>
      <w:bookmarkStart w:id="0" w:name="_Toc242886281"/>
      <w:r w:rsidRPr="00031BC5">
        <w:rPr>
          <w:rFonts w:ascii="Arial" w:hAnsi="Arial" w:cs="Arial"/>
          <w:szCs w:val="24"/>
        </w:rPr>
        <w:lastRenderedPageBreak/>
        <w:t>Introduction</w:t>
      </w:r>
      <w:bookmarkEnd w:id="0"/>
    </w:p>
    <w:p w14:paraId="6D5A94CC" w14:textId="22CD6F8A" w:rsidR="006B122F" w:rsidRPr="00031BC5" w:rsidRDefault="006B122F" w:rsidP="00FF52D5">
      <w:pPr>
        <w:jc w:val="both"/>
        <w:rPr>
          <w:rFonts w:ascii="Arial" w:hAnsi="Arial" w:cs="Arial"/>
        </w:rPr>
      </w:pPr>
      <w:r w:rsidRPr="00031BC5">
        <w:rPr>
          <w:rFonts w:ascii="Arial" w:hAnsi="Arial" w:cs="Arial"/>
        </w:rPr>
        <w:t>Nex</w:t>
      </w:r>
      <w:r w:rsidRPr="00031BC5">
        <w:rPr>
          <w:rFonts w:ascii="Arial" w:hAnsi="Arial" w:cs="Arial"/>
        </w:rPr>
        <w:t xml:space="preserve"> </w:t>
      </w:r>
      <w:r w:rsidRPr="00031BC5">
        <w:rPr>
          <w:rFonts w:ascii="Arial" w:hAnsi="Arial" w:cs="Arial"/>
        </w:rPr>
        <w:t xml:space="preserve">Space Health Systems (NHSX) is a health-technology company, with around 600 staff in the UK, India and UAE, and is focused on AI-powered digital healthcare solutions. Yet, even as NHSX grows, it is dogged by a system of bureaucratic governance and delivery, too little innovation, weak inter-border teamwork and rising productivity attrition of its best performers. The challenges suggest a need to match working practices and development of talents with the </w:t>
      </w:r>
      <w:r w:rsidRPr="00031BC5">
        <w:rPr>
          <w:rFonts w:ascii="Arial" w:hAnsi="Arial" w:cs="Arial"/>
        </w:rPr>
        <w:t>organizational</w:t>
      </w:r>
      <w:r w:rsidRPr="00031BC5">
        <w:rPr>
          <w:rFonts w:ascii="Arial" w:hAnsi="Arial" w:cs="Arial"/>
        </w:rPr>
        <w:t xml:space="preserve"> strategy (CIPD, 2025). This external (Strategic Human Capital Consultant) report examines the innovative working practices and suggests an integrated talent-growth approach to promote a culture of enhanced collaboration, staff autonomy and lifelong learning and engagement. It also exploring the ethical implementation and application of AI in strategic HR decision-making, focusing on the importance of responsible usage and maintaining employee wellbeing, as well as </w:t>
      </w:r>
      <w:r w:rsidRPr="00031BC5">
        <w:rPr>
          <w:rFonts w:ascii="Arial" w:hAnsi="Arial" w:cs="Arial"/>
        </w:rPr>
        <w:t>organizational</w:t>
      </w:r>
      <w:r w:rsidRPr="00031BC5">
        <w:rPr>
          <w:rFonts w:ascii="Arial" w:hAnsi="Arial" w:cs="Arial"/>
        </w:rPr>
        <w:t xml:space="preserve"> sustainability.</w:t>
      </w:r>
    </w:p>
    <w:p w14:paraId="5E63FB76" w14:textId="77777777" w:rsidR="006B122F" w:rsidRPr="00031BC5" w:rsidRDefault="006B122F" w:rsidP="00FF52D5">
      <w:pPr>
        <w:pStyle w:val="Heading2"/>
        <w:jc w:val="both"/>
        <w:rPr>
          <w:rFonts w:ascii="Arial" w:hAnsi="Arial" w:cs="Arial"/>
          <w:szCs w:val="24"/>
        </w:rPr>
      </w:pPr>
      <w:bookmarkStart w:id="1" w:name="_Toc242886282"/>
      <w:r w:rsidRPr="00031BC5">
        <w:rPr>
          <w:rFonts w:ascii="Arial" w:hAnsi="Arial" w:cs="Arial"/>
          <w:szCs w:val="24"/>
        </w:rPr>
        <w:t>Task A: Designing Innovative Working Practices</w:t>
      </w:r>
      <w:bookmarkEnd w:id="1"/>
    </w:p>
    <w:p w14:paraId="3CB2B66F" w14:textId="77777777" w:rsidR="006B122F" w:rsidRPr="00031BC5" w:rsidRDefault="006B122F" w:rsidP="00FF52D5">
      <w:pPr>
        <w:jc w:val="both"/>
        <w:rPr>
          <w:rFonts w:ascii="Arial" w:hAnsi="Arial" w:cs="Arial"/>
          <w:b/>
          <w:bCs/>
        </w:rPr>
      </w:pPr>
      <w:r w:rsidRPr="00031BC5">
        <w:rPr>
          <w:rFonts w:ascii="Arial" w:hAnsi="Arial" w:cs="Arial"/>
          <w:b/>
          <w:bCs/>
        </w:rPr>
        <w:t>A1. Critical Evaluation of Traditional and Contemporary Work Design</w:t>
      </w:r>
    </w:p>
    <w:p w14:paraId="06FB9979" w14:textId="10AA57C3" w:rsidR="006B122F" w:rsidRPr="00031BC5" w:rsidRDefault="006B122F" w:rsidP="00FF52D5">
      <w:pPr>
        <w:jc w:val="both"/>
        <w:rPr>
          <w:rFonts w:ascii="Arial" w:hAnsi="Arial" w:cs="Arial"/>
        </w:rPr>
      </w:pPr>
      <w:r w:rsidRPr="00031BC5">
        <w:rPr>
          <w:rFonts w:ascii="Arial" w:hAnsi="Arial" w:cs="Arial"/>
        </w:rPr>
        <w:t xml:space="preserve">The hierarchical organization of the NHS is a root cause of the disparity between the need for inter-agency collaboration in AI-driven healthcare innovation and the resistance to it. The </w:t>
      </w:r>
      <w:r w:rsidRPr="00031BC5">
        <w:rPr>
          <w:rFonts w:ascii="Arial" w:hAnsi="Arial" w:cs="Arial"/>
        </w:rPr>
        <w:t>standardization</w:t>
      </w:r>
      <w:r w:rsidRPr="00031BC5">
        <w:rPr>
          <w:rFonts w:ascii="Arial" w:hAnsi="Arial" w:cs="Arial"/>
        </w:rPr>
        <w:t xml:space="preserve"> and accountability that comes with traditional working methods, linked to Taylor's Scientific Management and Weber's bureaucracy, may increase </w:t>
      </w:r>
      <w:r w:rsidRPr="00031BC5">
        <w:rPr>
          <w:rFonts w:ascii="Arial" w:hAnsi="Arial" w:cs="Arial"/>
        </w:rPr>
        <w:t>centralization</w:t>
      </w:r>
      <w:r w:rsidRPr="00031BC5">
        <w:rPr>
          <w:rFonts w:ascii="Arial" w:hAnsi="Arial" w:cs="Arial"/>
        </w:rPr>
        <w:t xml:space="preserve">, which can slow down decision making, stifle innovation and create a geographical divide. NHSX thus needs a model of </w:t>
      </w:r>
      <w:r w:rsidRPr="00031BC5">
        <w:rPr>
          <w:rFonts w:ascii="Arial" w:hAnsi="Arial" w:cs="Arial"/>
        </w:rPr>
        <w:t>work</w:t>
      </w:r>
      <w:r w:rsidRPr="00031BC5">
        <w:rPr>
          <w:rFonts w:ascii="Arial" w:hAnsi="Arial" w:cs="Arial"/>
        </w:rPr>
        <w:t xml:space="preserve"> that integrates to allow better responsiveness without loss of clinical safety.</w:t>
      </w:r>
      <w:r w:rsidRPr="00031BC5">
        <w:rPr>
          <w:rFonts w:ascii="Arial" w:hAnsi="Arial" w:cs="Arial"/>
        </w:rPr>
        <w:t xml:space="preserve"> </w:t>
      </w:r>
      <w:r w:rsidRPr="00031BC5">
        <w:rPr>
          <w:rFonts w:ascii="Arial" w:hAnsi="Arial" w:cs="Arial"/>
        </w:rPr>
        <w:t xml:space="preserve">An appropriate base is provided by Sociotechnical Systems Theory (STS), which </w:t>
      </w:r>
      <w:r w:rsidRPr="00031BC5">
        <w:rPr>
          <w:rFonts w:ascii="Arial" w:hAnsi="Arial" w:cs="Arial"/>
        </w:rPr>
        <w:t>focuses</w:t>
      </w:r>
      <w:r w:rsidRPr="00031BC5">
        <w:rPr>
          <w:rFonts w:ascii="Arial" w:hAnsi="Arial" w:cs="Arial"/>
        </w:rPr>
        <w:t xml:space="preserve"> on the simultaneous optimization of people, technology and organization procedures. Marjanovic et al. (2020) point to the need for an interdisciplinary way to orchestrate social and technological systems in the context of healthcare innovations. Thus, if not accompanied by management changes within NHSX, the use of digital collaboration platforms will be a re-presentation of current NHSX barriers and limitations.</w:t>
      </w:r>
    </w:p>
    <w:p w14:paraId="3C9B774E" w14:textId="3280810B" w:rsidR="006B122F" w:rsidRPr="00031BC5" w:rsidRDefault="006B122F" w:rsidP="00FF52D5">
      <w:pPr>
        <w:jc w:val="both"/>
        <w:rPr>
          <w:rFonts w:ascii="Arial" w:hAnsi="Arial" w:cs="Arial"/>
        </w:rPr>
      </w:pPr>
      <w:r w:rsidRPr="00031BC5">
        <w:rPr>
          <w:rFonts w:ascii="Arial" w:hAnsi="Arial" w:cs="Arial"/>
        </w:rPr>
        <w:t>High-Performance</w:t>
      </w:r>
      <w:r w:rsidRPr="00031BC5">
        <w:rPr>
          <w:rFonts w:ascii="Arial" w:hAnsi="Arial" w:cs="Arial"/>
        </w:rPr>
        <w:t xml:space="preserve"> Work Systems (HPWS) enhance employee capability and performance </w:t>
      </w:r>
      <w:r w:rsidR="00D60C3B" w:rsidRPr="00031BC5">
        <w:rPr>
          <w:rFonts w:ascii="Arial" w:hAnsi="Arial" w:cs="Arial"/>
        </w:rPr>
        <w:t>using</w:t>
      </w:r>
      <w:r w:rsidRPr="00031BC5">
        <w:rPr>
          <w:rFonts w:ascii="Arial" w:hAnsi="Arial" w:cs="Arial"/>
        </w:rPr>
        <w:t xml:space="preserve"> complementary human resource practices, such as training, performance management and rewards. The latter, however, are more concerned about employee voice, autonomy and participative involvement in decision-making, as illustrated by High-Involvement Work Systems (HIWS). These strategies can interact with each other, but having a focus on productivity with a lack of employee engagement can result in work intensification. Boxall and Macky (2014) clearly illustrate the benefit of participation and autonomy to employee wellbeing, and how increased work leads to increased stress and fatigue. Capability development needs to be paired with employees' influence within the NHS, therefore, at NHSX.</w:t>
      </w:r>
      <w:r w:rsidRPr="00031BC5">
        <w:rPr>
          <w:rFonts w:ascii="Arial" w:hAnsi="Arial" w:cs="Arial"/>
        </w:rPr>
        <w:t xml:space="preserve"> </w:t>
      </w:r>
      <w:r w:rsidRPr="00031BC5">
        <w:rPr>
          <w:rFonts w:ascii="Arial" w:hAnsi="Arial" w:cs="Arial"/>
        </w:rPr>
        <w:t xml:space="preserve">Agile working also encourages iterative </w:t>
      </w:r>
      <w:r w:rsidRPr="00031BC5">
        <w:rPr>
          <w:rFonts w:ascii="Arial" w:hAnsi="Arial" w:cs="Arial"/>
        </w:rPr>
        <w:lastRenderedPageBreak/>
        <w:t xml:space="preserve">development and multidisciplinary collaboration, with rapid experimentation potentially putting healthcare technologies at risk of unacceptable quality and safety issues if not monitored properly. Controlled </w:t>
      </w:r>
      <w:r w:rsidRPr="00031BC5">
        <w:rPr>
          <w:rFonts w:ascii="Arial" w:hAnsi="Arial" w:cs="Arial"/>
        </w:rPr>
        <w:t>decentralization</w:t>
      </w:r>
      <w:r w:rsidRPr="00031BC5">
        <w:rPr>
          <w:rFonts w:ascii="Arial" w:hAnsi="Arial" w:cs="Arial"/>
        </w:rPr>
        <w:t xml:space="preserve">, and not </w:t>
      </w:r>
      <w:r w:rsidRPr="00031BC5">
        <w:rPr>
          <w:rFonts w:ascii="Arial" w:hAnsi="Arial" w:cs="Arial"/>
        </w:rPr>
        <w:t>organizational</w:t>
      </w:r>
      <w:r w:rsidRPr="00031BC5">
        <w:rPr>
          <w:rFonts w:ascii="Arial" w:hAnsi="Arial" w:cs="Arial"/>
        </w:rPr>
        <w:t xml:space="preserve"> oversight, is the correct way to go.</w:t>
      </w:r>
    </w:p>
    <w:p w14:paraId="7A6139C9" w14:textId="00311ABF" w:rsidR="006B122F" w:rsidRPr="00031BC5" w:rsidRDefault="00055EFB" w:rsidP="00FF52D5">
      <w:pPr>
        <w:jc w:val="both"/>
        <w:rPr>
          <w:rFonts w:ascii="Arial" w:hAnsi="Arial" w:cs="Arial"/>
        </w:rPr>
      </w:pPr>
      <w:r w:rsidRPr="00031BC5">
        <w:rPr>
          <w:rFonts w:ascii="Arial" w:hAnsi="Arial" w:cs="Arial"/>
        </w:rPr>
        <w:drawing>
          <wp:inline distT="0" distB="0" distL="0" distR="0" wp14:anchorId="76DBBAF8" wp14:editId="5B1B28E2">
            <wp:extent cx="5943600" cy="3297555"/>
            <wp:effectExtent l="0" t="0" r="0" b="0"/>
            <wp:docPr id="1634748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748528" name=""/>
                    <pic:cNvPicPr/>
                  </pic:nvPicPr>
                  <pic:blipFill>
                    <a:blip r:embed="rId6"/>
                    <a:stretch>
                      <a:fillRect/>
                    </a:stretch>
                  </pic:blipFill>
                  <pic:spPr>
                    <a:xfrm>
                      <a:off x="0" y="0"/>
                      <a:ext cx="5943600" cy="3297555"/>
                    </a:xfrm>
                    <a:prstGeom prst="rect">
                      <a:avLst/>
                    </a:prstGeom>
                  </pic:spPr>
                </pic:pic>
              </a:graphicData>
            </a:graphic>
          </wp:inline>
        </w:drawing>
      </w:r>
    </w:p>
    <w:p w14:paraId="0BB70002" w14:textId="77777777" w:rsidR="00055EFB" w:rsidRPr="00031BC5" w:rsidRDefault="00055EFB" w:rsidP="00FF52D5">
      <w:pPr>
        <w:pStyle w:val="Heading2"/>
        <w:jc w:val="both"/>
        <w:rPr>
          <w:rFonts w:ascii="Arial" w:hAnsi="Arial" w:cs="Arial"/>
          <w:szCs w:val="24"/>
        </w:rPr>
      </w:pPr>
      <w:bookmarkStart w:id="2" w:name="_Toc242886283"/>
      <w:r w:rsidRPr="00031BC5">
        <w:rPr>
          <w:rFonts w:ascii="Arial" w:hAnsi="Arial" w:cs="Arial"/>
          <w:szCs w:val="24"/>
        </w:rPr>
        <w:t>A2. Proposed Integrated Innovative Working Framework</w:t>
      </w:r>
      <w:bookmarkEnd w:id="2"/>
    </w:p>
    <w:p w14:paraId="5812928E" w14:textId="4A631971" w:rsidR="00055EFB" w:rsidRPr="00031BC5" w:rsidRDefault="00055EFB" w:rsidP="00FF52D5">
      <w:pPr>
        <w:jc w:val="both"/>
        <w:rPr>
          <w:rFonts w:ascii="Arial" w:hAnsi="Arial" w:cs="Arial"/>
        </w:rPr>
      </w:pPr>
      <w:r w:rsidRPr="00031BC5">
        <w:rPr>
          <w:rFonts w:ascii="Arial" w:hAnsi="Arial" w:cs="Arial"/>
        </w:rPr>
        <w:t xml:space="preserve">NHSX should undertake four inter-related practices. </w:t>
      </w:r>
      <w:proofErr w:type="gramStart"/>
      <w:r w:rsidRPr="00031BC5">
        <w:rPr>
          <w:rFonts w:ascii="Arial" w:hAnsi="Arial" w:cs="Arial"/>
        </w:rPr>
        <w:t>So</w:t>
      </w:r>
      <w:proofErr w:type="gramEnd"/>
      <w:r w:rsidRPr="00031BC5">
        <w:rPr>
          <w:rFonts w:ascii="Arial" w:hAnsi="Arial" w:cs="Arial"/>
        </w:rPr>
        <w:t xml:space="preserve"> the first would be </w:t>
      </w:r>
      <w:proofErr w:type="gramStart"/>
      <w:r w:rsidRPr="00031BC5">
        <w:rPr>
          <w:rFonts w:ascii="Arial" w:hAnsi="Arial" w:cs="Arial"/>
        </w:rPr>
        <w:t>actually cross</w:t>
      </w:r>
      <w:proofErr w:type="gramEnd"/>
      <w:r w:rsidRPr="00031BC5">
        <w:rPr>
          <w:rFonts w:ascii="Arial" w:hAnsi="Arial" w:cs="Arial"/>
        </w:rPr>
        <w:t xml:space="preserve"> functional agile teams. The true collaboration of AI engineers with clinical advisers in addition to cyber security experts and product managers via quick development cycles, common project goals, and frequent retrospectives. Routine operational decisions delegated to team leaders, safety related changes formally clinically &amp; information security reviewed. This would lead to minimization of the unnecessary delay of approvals, while </w:t>
      </w:r>
      <w:proofErr w:type="gramStart"/>
      <w:r w:rsidRPr="00031BC5">
        <w:rPr>
          <w:rFonts w:ascii="Arial" w:hAnsi="Arial" w:cs="Arial"/>
        </w:rPr>
        <w:t>still keeping</w:t>
      </w:r>
      <w:proofErr w:type="gramEnd"/>
      <w:r w:rsidRPr="00031BC5">
        <w:rPr>
          <w:rFonts w:ascii="Arial" w:hAnsi="Arial" w:cs="Arial"/>
        </w:rPr>
        <w:t xml:space="preserve"> the accountabilities in place. Then enhance autonomy and involvement of employees. Participative planning and innovation forums and transparent decision-making responsibilities should be implemented at NHSX. Management staff should encourage staff members to </w:t>
      </w:r>
      <w:r w:rsidRPr="00031BC5">
        <w:rPr>
          <w:rFonts w:ascii="Arial" w:hAnsi="Arial" w:cs="Arial"/>
        </w:rPr>
        <w:t>challenge themselves</w:t>
      </w:r>
      <w:r w:rsidRPr="00031BC5">
        <w:rPr>
          <w:rFonts w:ascii="Arial" w:hAnsi="Arial" w:cs="Arial"/>
        </w:rPr>
        <w:t xml:space="preserve">, especially in a constructive manner, and do not just supervise. However, it is essential that consultation with employees </w:t>
      </w:r>
      <w:proofErr w:type="gramStart"/>
      <w:r w:rsidRPr="00031BC5">
        <w:rPr>
          <w:rFonts w:ascii="Arial" w:hAnsi="Arial" w:cs="Arial"/>
        </w:rPr>
        <w:t>actually gives</w:t>
      </w:r>
      <w:proofErr w:type="gramEnd"/>
      <w:r w:rsidRPr="00031BC5">
        <w:rPr>
          <w:rFonts w:ascii="Arial" w:hAnsi="Arial" w:cs="Arial"/>
        </w:rPr>
        <w:t xml:space="preserve"> them a say over decision and action - otherwise they may become more frustrated than involved.</w:t>
      </w:r>
    </w:p>
    <w:p w14:paraId="52346441" w14:textId="3FE3FAB5" w:rsidR="00055EFB" w:rsidRPr="00031BC5" w:rsidRDefault="00055EFB" w:rsidP="00FF52D5">
      <w:pPr>
        <w:jc w:val="both"/>
        <w:rPr>
          <w:rFonts w:ascii="Arial" w:hAnsi="Arial" w:cs="Arial"/>
        </w:rPr>
      </w:pPr>
      <w:r w:rsidRPr="00031BC5">
        <w:rPr>
          <w:rFonts w:ascii="Arial" w:hAnsi="Arial" w:cs="Arial"/>
        </w:rPr>
        <w:t xml:space="preserve">Thirdly, setting up coordinated hybrid and flexible working. The key to understanding the process of collaborative work is the relationship among the physical </w:t>
      </w:r>
      <w:r w:rsidRPr="00031BC5">
        <w:rPr>
          <w:rFonts w:ascii="Arial" w:hAnsi="Arial" w:cs="Arial"/>
        </w:rPr>
        <w:t>workspaces</w:t>
      </w:r>
      <w:r w:rsidRPr="00031BC5">
        <w:rPr>
          <w:rFonts w:ascii="Arial" w:hAnsi="Arial" w:cs="Arial"/>
        </w:rPr>
        <w:t xml:space="preserve">, digital workspace, managerial attitude and </w:t>
      </w:r>
      <w:r w:rsidRPr="00031BC5">
        <w:rPr>
          <w:rFonts w:ascii="Arial" w:hAnsi="Arial" w:cs="Arial"/>
        </w:rPr>
        <w:t>organizational</w:t>
      </w:r>
      <w:r w:rsidRPr="00031BC5">
        <w:rPr>
          <w:rFonts w:ascii="Arial" w:hAnsi="Arial" w:cs="Arial"/>
        </w:rPr>
        <w:t xml:space="preserve"> coordination highlights Grzegorczyk et al. (2021). NHSX should implement flexible as the task, planned collaborative sessions </w:t>
      </w:r>
      <w:r w:rsidRPr="00031BC5">
        <w:rPr>
          <w:rFonts w:ascii="Arial" w:hAnsi="Arial" w:cs="Arial"/>
        </w:rPr>
        <w:lastRenderedPageBreak/>
        <w:t xml:space="preserve">and a </w:t>
      </w:r>
      <w:r w:rsidRPr="00031BC5">
        <w:rPr>
          <w:rFonts w:ascii="Arial" w:hAnsi="Arial" w:cs="Arial"/>
        </w:rPr>
        <w:t>proposer in</w:t>
      </w:r>
      <w:r w:rsidRPr="00031BC5">
        <w:rPr>
          <w:rFonts w:ascii="Arial" w:hAnsi="Arial" w:cs="Arial"/>
        </w:rPr>
        <w:t xml:space="preserve"> international teams.</w:t>
      </w:r>
      <w:r w:rsidRPr="00031BC5">
        <w:rPr>
          <w:rFonts w:ascii="Arial" w:hAnsi="Arial" w:cs="Arial"/>
        </w:rPr>
        <w:t xml:space="preserve"> </w:t>
      </w:r>
      <w:r w:rsidRPr="00031BC5">
        <w:rPr>
          <w:rFonts w:ascii="Arial" w:hAnsi="Arial" w:cs="Arial"/>
        </w:rPr>
        <w:t xml:space="preserve">The authors of this study, Bloom, Han and Liang (2024), conducted a </w:t>
      </w:r>
      <w:r w:rsidRPr="00031BC5">
        <w:rPr>
          <w:rFonts w:ascii="Arial" w:hAnsi="Arial" w:cs="Arial"/>
        </w:rPr>
        <w:t>randomized</w:t>
      </w:r>
      <w:r w:rsidRPr="00031BC5">
        <w:rPr>
          <w:rFonts w:ascii="Arial" w:hAnsi="Arial" w:cs="Arial"/>
        </w:rPr>
        <w:t xml:space="preserve"> experiment with 1,612 employees at Trip.com and found that hybrid working cut employee resignations by about a third, without negatively impacting performance measures. It </w:t>
      </w:r>
      <w:proofErr w:type="gramStart"/>
      <w:r w:rsidRPr="00031BC5">
        <w:rPr>
          <w:rFonts w:ascii="Arial" w:hAnsi="Arial" w:cs="Arial"/>
        </w:rPr>
        <w:t>has to</w:t>
      </w:r>
      <w:proofErr w:type="gramEnd"/>
      <w:r w:rsidRPr="00031BC5">
        <w:rPr>
          <w:rFonts w:ascii="Arial" w:hAnsi="Arial" w:cs="Arial"/>
        </w:rPr>
        <w:t xml:space="preserve"> be assumed that this is the work of a single Chinese tech </w:t>
      </w:r>
      <w:proofErr w:type="gramStart"/>
      <w:r w:rsidRPr="00031BC5">
        <w:rPr>
          <w:rFonts w:ascii="Arial" w:hAnsi="Arial" w:cs="Arial"/>
        </w:rPr>
        <w:t>firm</w:t>
      </w:r>
      <w:proofErr w:type="gramEnd"/>
      <w:r w:rsidRPr="00031BC5">
        <w:rPr>
          <w:rFonts w:ascii="Arial" w:hAnsi="Arial" w:cs="Arial"/>
        </w:rPr>
        <w:t xml:space="preserve"> and the results cannot be assumed to apply to the NHSX healthcare environment. NHSX must therefore "test" such flexibility and assess the impact on a small scale before it's rolled out. The 4th one is to incorporate safe digital collaboration. Project boards would be </w:t>
      </w:r>
      <w:r w:rsidRPr="00031BC5">
        <w:rPr>
          <w:rFonts w:ascii="Arial" w:hAnsi="Arial" w:cs="Arial"/>
        </w:rPr>
        <w:t>shared,</w:t>
      </w:r>
      <w:r w:rsidRPr="00031BC5">
        <w:rPr>
          <w:rFonts w:ascii="Arial" w:hAnsi="Arial" w:cs="Arial"/>
        </w:rPr>
        <w:t xml:space="preserve"> and knowledge repositories would be searchable and decisions would be documented, which would enhance information sharing between the UK, India and UAE. Alternation of events and protected time for focus could minimize time zone disparities and digital fatigue. Most importantly, technological investments need to go hand in hand with leadership growth, and well-defined communication standards. These interventions are interconnected and amount to the proposed framework outlined in Figure 1.</w:t>
      </w:r>
    </w:p>
    <w:p w14:paraId="57D48AB8" w14:textId="5314E3B4" w:rsidR="00055EFB" w:rsidRPr="00031BC5" w:rsidRDefault="00055EFB" w:rsidP="00FF52D5">
      <w:pPr>
        <w:jc w:val="both"/>
        <w:rPr>
          <w:rFonts w:ascii="Arial" w:hAnsi="Arial" w:cs="Arial"/>
        </w:rPr>
      </w:pPr>
      <w:r w:rsidRPr="00031BC5">
        <w:rPr>
          <w:rFonts w:ascii="Arial" w:hAnsi="Arial" w:cs="Arial"/>
        </w:rPr>
        <w:drawing>
          <wp:inline distT="0" distB="0" distL="0" distR="0" wp14:anchorId="63705DB6" wp14:editId="7FF7D942">
            <wp:extent cx="6319838" cy="4473176"/>
            <wp:effectExtent l="0" t="0" r="5080" b="3810"/>
            <wp:docPr id="1934683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683498" name=""/>
                    <pic:cNvPicPr/>
                  </pic:nvPicPr>
                  <pic:blipFill>
                    <a:blip r:embed="rId7"/>
                    <a:stretch>
                      <a:fillRect/>
                    </a:stretch>
                  </pic:blipFill>
                  <pic:spPr>
                    <a:xfrm>
                      <a:off x="0" y="0"/>
                      <a:ext cx="6331826" cy="4481661"/>
                    </a:xfrm>
                    <a:prstGeom prst="rect">
                      <a:avLst/>
                    </a:prstGeom>
                  </pic:spPr>
                </pic:pic>
              </a:graphicData>
            </a:graphic>
          </wp:inline>
        </w:drawing>
      </w:r>
    </w:p>
    <w:p w14:paraId="6869A9CB" w14:textId="2BE2EDD8" w:rsidR="00055EFB" w:rsidRPr="00031BC5" w:rsidRDefault="00055EFB" w:rsidP="00FF52D5">
      <w:pPr>
        <w:jc w:val="both"/>
        <w:rPr>
          <w:rFonts w:ascii="Arial" w:hAnsi="Arial" w:cs="Arial"/>
        </w:rPr>
      </w:pPr>
      <w:r w:rsidRPr="00031BC5">
        <w:rPr>
          <w:rFonts w:ascii="Arial" w:hAnsi="Arial" w:cs="Arial"/>
        </w:rPr>
        <w:t xml:space="preserve">By empowering staff with autonomy, enabling flexible working, using digital tools for collaboration and coordination underpinned by agile approaches, as in Figure 1, NHSX can tackle barriers on a systematic level within the </w:t>
      </w:r>
      <w:r w:rsidRPr="00031BC5">
        <w:rPr>
          <w:rFonts w:ascii="Arial" w:hAnsi="Arial" w:cs="Arial"/>
        </w:rPr>
        <w:t>organization</w:t>
      </w:r>
      <w:r w:rsidRPr="00031BC5">
        <w:rPr>
          <w:rFonts w:ascii="Arial" w:hAnsi="Arial" w:cs="Arial"/>
        </w:rPr>
        <w:t xml:space="preserve">. Through these practices, </w:t>
      </w:r>
      <w:r w:rsidRPr="00031BC5">
        <w:rPr>
          <w:rFonts w:ascii="Arial" w:hAnsi="Arial" w:cs="Arial"/>
        </w:rPr>
        <w:lastRenderedPageBreak/>
        <w:t>opportunities for knowledge transmission and experiential learning and job-enrichment occur as well, which can contribute directly to the talent-development strategy studied in Task B.</w:t>
      </w:r>
    </w:p>
    <w:p w14:paraId="11349F9B" w14:textId="77777777" w:rsidR="00055EFB" w:rsidRPr="00031BC5" w:rsidRDefault="00055EFB" w:rsidP="00FF52D5">
      <w:pPr>
        <w:pStyle w:val="Heading2"/>
        <w:jc w:val="both"/>
        <w:rPr>
          <w:rFonts w:ascii="Arial" w:hAnsi="Arial" w:cs="Arial"/>
          <w:szCs w:val="24"/>
        </w:rPr>
      </w:pPr>
      <w:bookmarkStart w:id="3" w:name="_Toc242886284"/>
      <w:r w:rsidRPr="00031BC5">
        <w:rPr>
          <w:rFonts w:ascii="Arial" w:hAnsi="Arial" w:cs="Arial"/>
          <w:szCs w:val="24"/>
        </w:rPr>
        <w:t>A3. Implementation, Performance and Critical Risks</w:t>
      </w:r>
      <w:bookmarkEnd w:id="3"/>
    </w:p>
    <w:p w14:paraId="33B4AF57" w14:textId="2C663F4D" w:rsidR="00055EFB" w:rsidRPr="00031BC5" w:rsidRDefault="00055EFB" w:rsidP="00FF52D5">
      <w:pPr>
        <w:jc w:val="both"/>
        <w:rPr>
          <w:rFonts w:ascii="Arial" w:hAnsi="Arial" w:cs="Arial"/>
        </w:rPr>
      </w:pPr>
      <w:r w:rsidRPr="00031BC5">
        <w:rPr>
          <w:rFonts w:ascii="Arial" w:hAnsi="Arial" w:cs="Arial"/>
        </w:rPr>
        <w:t xml:space="preserve">The initial step for NHSX must be a 90-day process involving a decision delay analysis, barriers to collaboration, skills and employee experience. Prior to this, the HR Director, technology leadership and clinical governance representatives should carry out a six-month pilot that includes a group of cross-border teams. It is important to measure indicators such as: Time of the Decision Cycle, Delivery Reliability, Participation of the employees, Knowledge Sharing effectiveness, Staff turnover, Staff wellbeing. Meeting clinical safety standards and compliance in data protection must be non-negotiable measures. Possible dangers </w:t>
      </w:r>
      <w:r w:rsidRPr="00031BC5">
        <w:rPr>
          <w:rFonts w:ascii="Arial" w:hAnsi="Arial" w:cs="Arial"/>
        </w:rPr>
        <w:t>include,</w:t>
      </w:r>
      <w:r w:rsidRPr="00031BC5">
        <w:rPr>
          <w:rFonts w:ascii="Arial" w:hAnsi="Arial" w:cs="Arial"/>
        </w:rPr>
        <w:t xml:space="preserve"> for </w:t>
      </w:r>
      <w:proofErr w:type="gramStart"/>
      <w:r w:rsidRPr="00031BC5">
        <w:rPr>
          <w:rFonts w:ascii="Arial" w:hAnsi="Arial" w:cs="Arial"/>
        </w:rPr>
        <w:t>instance</w:t>
      </w:r>
      <w:proofErr w:type="gramEnd"/>
      <w:r w:rsidRPr="00031BC5">
        <w:rPr>
          <w:rFonts w:ascii="Arial" w:hAnsi="Arial" w:cs="Arial"/>
        </w:rPr>
        <w:t xml:space="preserve"> the resistance of managers, unequal access to flexibility, increase in the intensity of work and increased digital connectivity. These concerns will diminish through managerial </w:t>
      </w:r>
      <w:r w:rsidRPr="00031BC5">
        <w:rPr>
          <w:rFonts w:ascii="Arial" w:hAnsi="Arial" w:cs="Arial"/>
        </w:rPr>
        <w:t>training</w:t>
      </w:r>
      <w:r w:rsidRPr="00031BC5">
        <w:rPr>
          <w:rFonts w:ascii="Arial" w:hAnsi="Arial" w:cs="Arial"/>
        </w:rPr>
        <w:t>, clear decision-making authority and frequent workload reviews. There is a need for an integrated SOT approach that NHSX can use to optimize innovation and efficiency with meaningful participation and employee wellbeing and accountable healthcare delivery. It is a way of working environment that gives the reason to latex growth of talents in a sustainable way.</w:t>
      </w:r>
    </w:p>
    <w:p w14:paraId="74E9C032" w14:textId="77777777" w:rsidR="00D60C3B" w:rsidRPr="00031BC5" w:rsidRDefault="00D60C3B" w:rsidP="00FF52D5">
      <w:pPr>
        <w:pStyle w:val="Heading1"/>
        <w:jc w:val="both"/>
        <w:rPr>
          <w:rFonts w:ascii="Arial" w:hAnsi="Arial" w:cs="Arial"/>
          <w:szCs w:val="24"/>
        </w:rPr>
      </w:pPr>
      <w:bookmarkStart w:id="4" w:name="_Toc242886285"/>
      <w:r w:rsidRPr="00031BC5">
        <w:rPr>
          <w:rFonts w:ascii="Arial" w:hAnsi="Arial" w:cs="Arial"/>
          <w:szCs w:val="24"/>
        </w:rPr>
        <w:t>Task B: Breeding an Environment Where Talent May Grow</w:t>
      </w:r>
      <w:bookmarkEnd w:id="4"/>
    </w:p>
    <w:p w14:paraId="467F37C6" w14:textId="77777777" w:rsidR="00D60C3B" w:rsidRPr="00031BC5" w:rsidRDefault="00D60C3B" w:rsidP="00FF52D5">
      <w:pPr>
        <w:pStyle w:val="Heading2"/>
        <w:jc w:val="both"/>
        <w:rPr>
          <w:rFonts w:ascii="Arial" w:hAnsi="Arial" w:cs="Arial"/>
          <w:szCs w:val="24"/>
        </w:rPr>
      </w:pPr>
      <w:bookmarkStart w:id="5" w:name="_Toc242886286"/>
      <w:r w:rsidRPr="00031BC5">
        <w:rPr>
          <w:rFonts w:ascii="Arial" w:hAnsi="Arial" w:cs="Arial"/>
          <w:szCs w:val="24"/>
        </w:rPr>
        <w:t>B1. Critical Evaluation of Conditions Supporting Talent Growth</w:t>
      </w:r>
      <w:bookmarkEnd w:id="5"/>
    </w:p>
    <w:p w14:paraId="577FD054" w14:textId="388CED46" w:rsidR="00D60C3B" w:rsidRPr="00031BC5" w:rsidRDefault="00D60C3B" w:rsidP="00FF52D5">
      <w:pPr>
        <w:jc w:val="both"/>
        <w:rPr>
          <w:rFonts w:ascii="Arial" w:hAnsi="Arial" w:cs="Arial"/>
        </w:rPr>
      </w:pPr>
      <w:r w:rsidRPr="00031BC5">
        <w:rPr>
          <w:rFonts w:ascii="Arial" w:hAnsi="Arial" w:cs="Arial"/>
        </w:rPr>
        <w:t xml:space="preserve">The NHSX </w:t>
      </w:r>
      <w:r w:rsidRPr="00031BC5">
        <w:rPr>
          <w:rFonts w:ascii="Arial" w:hAnsi="Arial" w:cs="Arial"/>
        </w:rPr>
        <w:t>organizational</w:t>
      </w:r>
      <w:r w:rsidRPr="00031BC5">
        <w:rPr>
          <w:rFonts w:ascii="Arial" w:hAnsi="Arial" w:cs="Arial"/>
        </w:rPr>
        <w:t xml:space="preserve"> redesign recommended in Task A could enhance the flexibility, but longer-term benefits rely on how much employees learn new skills and are able to see career progression in their future. The loss of the more effective teachers indicates that fixes from the operational side of things are not going to solve the problem of deficiencies in learning, motivation and retention. NHSX therefore needs to have a talent ecosystem in its design where learning is ingrained, where there's psychological safety, where workers are developed and where progression is transparent.</w:t>
      </w:r>
      <w:r w:rsidRPr="00031BC5">
        <w:rPr>
          <w:rFonts w:ascii="Arial" w:hAnsi="Arial" w:cs="Arial"/>
        </w:rPr>
        <w:t xml:space="preserve"> </w:t>
      </w:r>
      <w:r w:rsidRPr="00031BC5">
        <w:rPr>
          <w:rFonts w:ascii="Arial" w:hAnsi="Arial" w:cs="Arial"/>
        </w:rPr>
        <w:t xml:space="preserve">The systemic underpinning of Senge's (1990) Learning </w:t>
      </w:r>
      <w:r w:rsidRPr="00031BC5">
        <w:rPr>
          <w:rFonts w:ascii="Arial" w:hAnsi="Arial" w:cs="Arial"/>
        </w:rPr>
        <w:t>Organization</w:t>
      </w:r>
      <w:r w:rsidRPr="00031BC5">
        <w:rPr>
          <w:rFonts w:ascii="Arial" w:hAnsi="Arial" w:cs="Arial"/>
        </w:rPr>
        <w:t xml:space="preserve"> is through personal mastery, mental models, shared vision, team learning and systems thinking. These disciplines can be bridged in NHSX with knowledge-sharing </w:t>
      </w:r>
      <w:r w:rsidRPr="00031BC5">
        <w:rPr>
          <w:rFonts w:ascii="Arial" w:hAnsi="Arial" w:cs="Arial"/>
        </w:rPr>
        <w:t>regarding</w:t>
      </w:r>
      <w:r w:rsidRPr="00031BC5">
        <w:rPr>
          <w:rFonts w:ascii="Arial" w:hAnsi="Arial" w:cs="Arial"/>
        </w:rPr>
        <w:t xml:space="preserve"> Indian technical competence and operational approach from the UAE, along with UK clinical expertise. However, continuous learning can be empty talk, if managers are only interested in the targets of delivery, and not in employee development. Workplaces that are </w:t>
      </w:r>
      <w:r w:rsidRPr="00031BC5">
        <w:rPr>
          <w:rFonts w:ascii="Arial" w:hAnsi="Arial" w:cs="Arial"/>
        </w:rPr>
        <w:t>expensive</w:t>
      </w:r>
      <w:r w:rsidRPr="00031BC5">
        <w:rPr>
          <w:rFonts w:ascii="Arial" w:hAnsi="Arial" w:cs="Arial"/>
        </w:rPr>
        <w:t xml:space="preserve"> can provide opportunities for cross-boundary learning and 'broader participation' from those in the workplace whereas more restrictive environments have a 'narrow role' and limited learning opportunities. As a result, NHSX needs to build learning into project tasks and not rely solely on learning courses.</w:t>
      </w:r>
    </w:p>
    <w:p w14:paraId="66F27FDE" w14:textId="40192AE1" w:rsidR="00055EFB" w:rsidRPr="00031BC5" w:rsidRDefault="00D60C3B" w:rsidP="00FF52D5">
      <w:pPr>
        <w:jc w:val="both"/>
        <w:rPr>
          <w:rFonts w:ascii="Arial" w:hAnsi="Arial" w:cs="Arial"/>
        </w:rPr>
      </w:pPr>
      <w:r w:rsidRPr="00031BC5">
        <w:rPr>
          <w:rFonts w:ascii="Arial" w:hAnsi="Arial" w:cs="Arial"/>
        </w:rPr>
        <w:lastRenderedPageBreak/>
        <w:t xml:space="preserve">Dweck's (2006) Growth Mindset goes with this, and utilizes feedback, challenges and strategies to enable such employee capability building. But rewarding perseverance without offering resources can pass the problems with an </w:t>
      </w:r>
      <w:r w:rsidRPr="00031BC5">
        <w:rPr>
          <w:rFonts w:ascii="Arial" w:hAnsi="Arial" w:cs="Arial"/>
        </w:rPr>
        <w:t>organization</w:t>
      </w:r>
      <w:r w:rsidRPr="00031BC5">
        <w:rPr>
          <w:rFonts w:ascii="Arial" w:hAnsi="Arial" w:cs="Arial"/>
        </w:rPr>
        <w:t xml:space="preserve"> onto the individual. </w:t>
      </w:r>
      <w:r w:rsidRPr="00031BC5">
        <w:rPr>
          <w:rFonts w:ascii="Arial" w:hAnsi="Arial" w:cs="Arial"/>
        </w:rPr>
        <w:t>Therefore,</w:t>
      </w:r>
      <w:r w:rsidRPr="00031BC5">
        <w:rPr>
          <w:rFonts w:ascii="Arial" w:hAnsi="Arial" w:cs="Arial"/>
        </w:rPr>
        <w:t xml:space="preserve"> support must be provided through manager coaching, protected time and opportunities.</w:t>
      </w:r>
      <w:r w:rsidRPr="00031BC5">
        <w:rPr>
          <w:rFonts w:ascii="Arial" w:hAnsi="Arial" w:cs="Arial"/>
        </w:rPr>
        <w:t xml:space="preserve"> </w:t>
      </w:r>
      <w:r w:rsidRPr="00031BC5">
        <w:rPr>
          <w:rFonts w:ascii="Arial" w:hAnsi="Arial" w:cs="Arial"/>
        </w:rPr>
        <w:t>In this post, we'll delve into the reasons behind the importance of feeling safe to challenge decisions, admit errors, and share new concepts: Edmondson's (1999) Psychological Safety. This transparency is especially crucial with the creation of AI-powered healthcare solutions. However, no accountability goes away when it comes to clinical risks – formal escalation and corrective action must be done.</w:t>
      </w:r>
      <w:r w:rsidRPr="00031BC5">
        <w:rPr>
          <w:rFonts w:ascii="Arial" w:hAnsi="Arial" w:cs="Arial"/>
        </w:rPr>
        <w:t xml:space="preserve"> </w:t>
      </w:r>
      <w:r w:rsidRPr="00031BC5">
        <w:rPr>
          <w:rFonts w:ascii="Arial" w:hAnsi="Arial" w:cs="Arial"/>
        </w:rPr>
        <w:t>According to Self-Determination Theory, there are three essential motivational needs which are autonomy, competence and relatedness (Ryan and Deci, 2000). These must be fulfilled by NHSX with meaningful decision making, developing skills and participating in cross-border relationships. These elements are combined in the learning system, Dweck developmental beliefs, Edmondson inter-personal climate and Self-Determination Theories employee motivation, explains Senge.</w:t>
      </w:r>
    </w:p>
    <w:p w14:paraId="3D2B01D2" w14:textId="77777777" w:rsidR="00D60C3B" w:rsidRPr="00031BC5" w:rsidRDefault="00D60C3B" w:rsidP="00FF52D5">
      <w:pPr>
        <w:pStyle w:val="Heading2"/>
        <w:jc w:val="both"/>
        <w:rPr>
          <w:rFonts w:ascii="Arial" w:hAnsi="Arial" w:cs="Arial"/>
          <w:szCs w:val="24"/>
        </w:rPr>
      </w:pPr>
      <w:bookmarkStart w:id="6" w:name="_Toc242886287"/>
      <w:r w:rsidRPr="00031BC5">
        <w:rPr>
          <w:rFonts w:ascii="Arial" w:hAnsi="Arial" w:cs="Arial"/>
          <w:szCs w:val="24"/>
        </w:rPr>
        <w:t>B2. Proposed Integrated Talent Growth Ecosystem</w:t>
      </w:r>
      <w:bookmarkEnd w:id="6"/>
    </w:p>
    <w:p w14:paraId="604FE515" w14:textId="185B1CC1" w:rsidR="00D60C3B" w:rsidRPr="00031BC5" w:rsidRDefault="00D60C3B" w:rsidP="00FF52D5">
      <w:pPr>
        <w:jc w:val="both"/>
        <w:rPr>
          <w:rFonts w:ascii="Arial" w:hAnsi="Arial" w:cs="Arial"/>
        </w:rPr>
      </w:pPr>
      <w:r w:rsidRPr="00031BC5">
        <w:rPr>
          <w:rFonts w:ascii="Arial" w:hAnsi="Arial" w:cs="Arial"/>
        </w:rPr>
        <w:t xml:space="preserve">CIPD (2025) claims talent management is about ensuring hiring, identification, development, engagement and retention and deployment are in line with </w:t>
      </w:r>
      <w:r w:rsidRPr="00031BC5">
        <w:rPr>
          <w:rFonts w:ascii="Arial" w:hAnsi="Arial" w:cs="Arial"/>
        </w:rPr>
        <w:t>organizational</w:t>
      </w:r>
      <w:r w:rsidRPr="00031BC5">
        <w:rPr>
          <w:rFonts w:ascii="Arial" w:hAnsi="Arial" w:cs="Arial"/>
        </w:rPr>
        <w:t xml:space="preserve"> strategy. NHSX should make this concept into five interconnected interventions. The first is workforce planning, commonly known as strategic workforce planning. Both HR and departmental leaders need to provide a </w:t>
      </w:r>
      <w:r w:rsidRPr="00031BC5">
        <w:rPr>
          <w:rFonts w:ascii="Arial" w:hAnsi="Arial" w:cs="Arial"/>
        </w:rPr>
        <w:t>map</w:t>
      </w:r>
      <w:r w:rsidRPr="00031BC5">
        <w:rPr>
          <w:rFonts w:ascii="Arial" w:hAnsi="Arial" w:cs="Arial"/>
        </w:rPr>
        <w:t xml:space="preserve"> of the skills they are currently looking for and project future needs within clinical AI scrutiny, cybersecurity, data governance, and international project management. In a balanced build–buy–borrow–bind approach, employees should be recruited only when there are “skill shortfalls” and be given career opportunities to keep them engaged; 3) use outside experts to fill limited, short-term requirements; and 4) build internal talent. This is more sustainable than external </w:t>
      </w:r>
      <w:r w:rsidRPr="00031BC5">
        <w:rPr>
          <w:rFonts w:ascii="Arial" w:hAnsi="Arial" w:cs="Arial"/>
        </w:rPr>
        <w:t>recruitment,</w:t>
      </w:r>
      <w:r w:rsidRPr="00031BC5">
        <w:rPr>
          <w:rFonts w:ascii="Arial" w:hAnsi="Arial" w:cs="Arial"/>
        </w:rPr>
        <w:t xml:space="preserve"> which </w:t>
      </w:r>
      <w:proofErr w:type="gramStart"/>
      <w:r w:rsidRPr="00031BC5">
        <w:rPr>
          <w:rFonts w:ascii="Arial" w:hAnsi="Arial" w:cs="Arial"/>
        </w:rPr>
        <w:t>has to</w:t>
      </w:r>
      <w:proofErr w:type="gramEnd"/>
      <w:r w:rsidRPr="00031BC5">
        <w:rPr>
          <w:rFonts w:ascii="Arial" w:hAnsi="Arial" w:cs="Arial"/>
        </w:rPr>
        <w:t xml:space="preserve"> be costly. Secondly, ongoing learning and capability development. Mentoring and stretch assignment with targeted training along with communities of practices that meet every month across countries would help the transfer of tacit knowledge among employees and help develop their PDPs in the agile teams formed in Task A. Managers need to consider allocating protected learning time and acknowledging skill application rather than providing a tally of course completions. Thirdly, there is a career pathway and job crafting. NHSX should create open technical and leadership pathways within and have an internal market for rotations and short-term assignments. Ray's (2024) review emphasizes the need to comprehend the mechanisms promoting and lateral within internal mobility systems. Moreo, </w:t>
      </w:r>
      <w:proofErr w:type="spellStart"/>
      <w:r w:rsidRPr="00031BC5">
        <w:rPr>
          <w:rFonts w:ascii="Arial" w:hAnsi="Arial" w:cs="Arial"/>
        </w:rPr>
        <w:t>Silapurem</w:t>
      </w:r>
      <w:proofErr w:type="spellEnd"/>
      <w:r w:rsidRPr="00031BC5">
        <w:rPr>
          <w:rFonts w:ascii="Arial" w:hAnsi="Arial" w:cs="Arial"/>
        </w:rPr>
        <w:t xml:space="preserve">, Slemp and Jarden (2024) also established positive relationships over time between job crafting and a variety of positive outcomes, such as work engagement, job satisfaction, and performance. NHSX could thus enable an engineer to be involved in patient </w:t>
      </w:r>
      <w:r w:rsidRPr="00031BC5">
        <w:rPr>
          <w:rFonts w:ascii="Arial" w:hAnsi="Arial" w:cs="Arial"/>
        </w:rPr>
        <w:t>centered</w:t>
      </w:r>
      <w:r w:rsidRPr="00031BC5">
        <w:rPr>
          <w:rFonts w:ascii="Arial" w:hAnsi="Arial" w:cs="Arial"/>
        </w:rPr>
        <w:t xml:space="preserve"> </w:t>
      </w:r>
      <w:r w:rsidRPr="00031BC5">
        <w:rPr>
          <w:rFonts w:ascii="Arial" w:hAnsi="Arial" w:cs="Arial"/>
        </w:rPr>
        <w:lastRenderedPageBreak/>
        <w:t xml:space="preserve">design, mentoring/cross functional innovation. </w:t>
      </w:r>
      <w:proofErr w:type="gramStart"/>
      <w:r w:rsidRPr="00031BC5">
        <w:rPr>
          <w:rFonts w:ascii="Arial" w:hAnsi="Arial" w:cs="Arial"/>
        </w:rPr>
        <w:t>But,</w:t>
      </w:r>
      <w:proofErr w:type="gramEnd"/>
      <w:r w:rsidRPr="00031BC5">
        <w:rPr>
          <w:rFonts w:ascii="Arial" w:hAnsi="Arial" w:cs="Arial"/>
        </w:rPr>
        <w:t xml:space="preserve"> staff are not to be </w:t>
      </w:r>
      <w:r w:rsidRPr="00031BC5">
        <w:rPr>
          <w:rFonts w:ascii="Arial" w:hAnsi="Arial" w:cs="Arial"/>
        </w:rPr>
        <w:t>authorized</w:t>
      </w:r>
      <w:r w:rsidRPr="00031BC5">
        <w:rPr>
          <w:rFonts w:ascii="Arial" w:hAnsi="Arial" w:cs="Arial"/>
        </w:rPr>
        <w:t xml:space="preserve"> to change safety critical duties without formal permission and positive research associations are not necessarily to be read as positive causal improvements.</w:t>
      </w:r>
    </w:p>
    <w:p w14:paraId="2368BA27" w14:textId="11364B3E" w:rsidR="00D60C3B" w:rsidRPr="00031BC5" w:rsidRDefault="00D60C3B" w:rsidP="00FF52D5">
      <w:pPr>
        <w:jc w:val="both"/>
        <w:rPr>
          <w:rFonts w:ascii="Arial" w:hAnsi="Arial" w:cs="Arial"/>
        </w:rPr>
      </w:pPr>
      <w:r w:rsidRPr="00031BC5">
        <w:rPr>
          <w:rFonts w:ascii="Arial" w:hAnsi="Arial" w:cs="Arial"/>
        </w:rPr>
        <w:t xml:space="preserve">Fourthly, inclusive Leadership and succession planning. NHSX should determine the </w:t>
      </w:r>
      <w:r w:rsidR="00C94588" w:rsidRPr="00031BC5">
        <w:rPr>
          <w:rFonts w:ascii="Arial" w:hAnsi="Arial" w:cs="Arial"/>
        </w:rPr>
        <w:t>business-critical</w:t>
      </w:r>
      <w:r w:rsidRPr="00031BC5">
        <w:rPr>
          <w:rFonts w:ascii="Arial" w:hAnsi="Arial" w:cs="Arial"/>
        </w:rPr>
        <w:t xml:space="preserve"> roles, determine potential candidates, and set up leadership development mentoring and acting. The CIPD (2025) highlights readiness for future leadership roles and critical roles. There might, however, be perceptions of </w:t>
      </w:r>
      <w:r w:rsidRPr="00031BC5">
        <w:rPr>
          <w:rFonts w:ascii="Arial" w:hAnsi="Arial" w:cs="Arial"/>
        </w:rPr>
        <w:t>favoritism</w:t>
      </w:r>
      <w:r w:rsidRPr="00031BC5">
        <w:rPr>
          <w:rFonts w:ascii="Arial" w:hAnsi="Arial" w:cs="Arial"/>
        </w:rPr>
        <w:t xml:space="preserve"> of a small group of high ability students. There is a need for transparent selection criteria and access to more opportunities for learning, therefore. Fifth Developmental Performance and employee experience. Managers need to shift their focus and shift their assessment from annual </w:t>
      </w:r>
      <w:r w:rsidR="00C94588" w:rsidRPr="00031BC5">
        <w:rPr>
          <w:rFonts w:ascii="Arial" w:hAnsi="Arial" w:cs="Arial"/>
        </w:rPr>
        <w:t>to</w:t>
      </w:r>
      <w:r w:rsidRPr="00031BC5">
        <w:rPr>
          <w:rFonts w:ascii="Arial" w:hAnsi="Arial" w:cs="Arial"/>
        </w:rPr>
        <w:t xml:space="preserve"> regular coaching conversations that focus on progress, recognition, wellbeing and career aspirations. Employee feedback is to be done during the onboarding phase, during development and within internal mobility. Work together and reward collaboration, knowledge sharing and ethical judgment in addition to individuals' delivery outcomes. As seen in figure 2, all these practices are linked together in an integrated system.</w:t>
      </w:r>
    </w:p>
    <w:p w14:paraId="421D2D6D" w14:textId="178C4570" w:rsidR="00C94588" w:rsidRPr="00031BC5" w:rsidRDefault="00C94588" w:rsidP="00FF52D5">
      <w:pPr>
        <w:jc w:val="both"/>
        <w:rPr>
          <w:rFonts w:ascii="Arial" w:hAnsi="Arial" w:cs="Arial"/>
        </w:rPr>
      </w:pPr>
      <w:r w:rsidRPr="00031BC5">
        <w:rPr>
          <w:rFonts w:ascii="Arial" w:hAnsi="Arial" w:cs="Arial"/>
        </w:rPr>
        <w:drawing>
          <wp:inline distT="0" distB="0" distL="0" distR="0" wp14:anchorId="7B509541" wp14:editId="06223148">
            <wp:extent cx="6439275" cy="4557713"/>
            <wp:effectExtent l="0" t="0" r="0" b="0"/>
            <wp:docPr id="1500342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342346" name=""/>
                    <pic:cNvPicPr/>
                  </pic:nvPicPr>
                  <pic:blipFill>
                    <a:blip r:embed="rId8"/>
                    <a:stretch>
                      <a:fillRect/>
                    </a:stretch>
                  </pic:blipFill>
                  <pic:spPr>
                    <a:xfrm>
                      <a:off x="0" y="0"/>
                      <a:ext cx="6444458" cy="4561381"/>
                    </a:xfrm>
                    <a:prstGeom prst="rect">
                      <a:avLst/>
                    </a:prstGeom>
                  </pic:spPr>
                </pic:pic>
              </a:graphicData>
            </a:graphic>
          </wp:inline>
        </w:drawing>
      </w:r>
    </w:p>
    <w:p w14:paraId="4D54DF12" w14:textId="55106F3F" w:rsidR="00C94588" w:rsidRPr="00031BC5" w:rsidRDefault="00C94588" w:rsidP="00FF52D5">
      <w:pPr>
        <w:jc w:val="both"/>
        <w:rPr>
          <w:rFonts w:ascii="Arial" w:hAnsi="Arial" w:cs="Arial"/>
        </w:rPr>
      </w:pPr>
      <w:r w:rsidRPr="00031BC5">
        <w:rPr>
          <w:rFonts w:ascii="Arial" w:hAnsi="Arial" w:cs="Arial"/>
        </w:rPr>
        <w:lastRenderedPageBreak/>
        <w:t>Organizational</w:t>
      </w:r>
      <w:r w:rsidRPr="00031BC5">
        <w:rPr>
          <w:rFonts w:ascii="Arial" w:hAnsi="Arial" w:cs="Arial"/>
        </w:rPr>
        <w:t xml:space="preserve"> learning and psychological safety, as seen in Figure 2, are crucial to enable Talent Development and Structured Career Opportunities </w:t>
      </w:r>
      <w:r w:rsidRPr="00031BC5">
        <w:rPr>
          <w:rFonts w:ascii="Arial" w:hAnsi="Arial" w:cs="Arial"/>
        </w:rPr>
        <w:t>to help</w:t>
      </w:r>
      <w:r w:rsidRPr="00031BC5">
        <w:rPr>
          <w:rFonts w:ascii="Arial" w:hAnsi="Arial" w:cs="Arial"/>
        </w:rPr>
        <w:t xml:space="preserve"> to translate developed capabilities into value for the organization. This integration ties into the </w:t>
      </w:r>
      <w:r w:rsidRPr="00031BC5">
        <w:rPr>
          <w:rFonts w:ascii="Arial" w:hAnsi="Arial" w:cs="Arial"/>
        </w:rPr>
        <w:t>working practice</w:t>
      </w:r>
      <w:r w:rsidRPr="00031BC5">
        <w:rPr>
          <w:rFonts w:ascii="Arial" w:hAnsi="Arial" w:cs="Arial"/>
        </w:rPr>
        <w:t xml:space="preserve"> changes in Task A in addition to NHSX's desire to </w:t>
      </w:r>
      <w:r w:rsidRPr="00031BC5">
        <w:rPr>
          <w:rFonts w:ascii="Arial" w:hAnsi="Arial" w:cs="Arial"/>
        </w:rPr>
        <w:t>improve</w:t>
      </w:r>
      <w:r w:rsidRPr="00031BC5">
        <w:rPr>
          <w:rFonts w:ascii="Arial" w:hAnsi="Arial" w:cs="Arial"/>
        </w:rPr>
        <w:t xml:space="preserve"> the retention of employees and continuity of leadership.</w:t>
      </w:r>
    </w:p>
    <w:p w14:paraId="30302934" w14:textId="77777777" w:rsidR="00C94588" w:rsidRPr="00031BC5" w:rsidRDefault="00C94588" w:rsidP="00FF52D5">
      <w:pPr>
        <w:pStyle w:val="Heading2"/>
        <w:jc w:val="both"/>
        <w:rPr>
          <w:rFonts w:ascii="Arial" w:hAnsi="Arial" w:cs="Arial"/>
          <w:szCs w:val="24"/>
        </w:rPr>
      </w:pPr>
      <w:bookmarkStart w:id="7" w:name="_Toc242886288"/>
      <w:r w:rsidRPr="00031BC5">
        <w:rPr>
          <w:rFonts w:ascii="Arial" w:hAnsi="Arial" w:cs="Arial"/>
          <w:szCs w:val="24"/>
        </w:rPr>
        <w:t>B3. Implementation, Evaluation and Strategic Risks</w:t>
      </w:r>
      <w:bookmarkEnd w:id="7"/>
    </w:p>
    <w:p w14:paraId="7E5CB723" w14:textId="1C2DD4C8" w:rsidR="00C94588" w:rsidRPr="00031BC5" w:rsidRDefault="00C94588" w:rsidP="00FF52D5">
      <w:pPr>
        <w:jc w:val="both"/>
        <w:rPr>
          <w:rFonts w:ascii="Arial" w:hAnsi="Arial" w:cs="Arial"/>
        </w:rPr>
      </w:pPr>
      <w:r w:rsidRPr="00031BC5">
        <w:rPr>
          <w:rFonts w:ascii="Arial" w:hAnsi="Arial" w:cs="Arial"/>
        </w:rPr>
        <w:t xml:space="preserve">The HR Director should conduct a capability and employee-experience survey for the first 3 months over the three countries. Learning from this first pilot, in the second pilot (six months later), as part of agile teams, mentoring and internal mobility and developmental coaching should be added. Clinical governance leaders need to monitor (not direct, unless they also hold a regulated role) changes relating to regulated responsibilities. Success should be judged based on experience or capability developed, movement in and out of the organization, critical role retention, succession readiness, psychological safety and implementation of learning. It is important to </w:t>
      </w:r>
      <w:r w:rsidRPr="00031BC5">
        <w:rPr>
          <w:rFonts w:ascii="Arial" w:hAnsi="Arial" w:cs="Arial"/>
        </w:rPr>
        <w:t>recognize</w:t>
      </w:r>
      <w:r w:rsidRPr="00031BC5">
        <w:rPr>
          <w:rFonts w:ascii="Arial" w:hAnsi="Arial" w:cs="Arial"/>
        </w:rPr>
        <w:t xml:space="preserve"> that not training evaluation is simply finding out whether employees are happy or not and what they learned in the program. Some of the biggest risks are unequal opportunities for development, managers who don't budge on putting certain people in development positions and doing too much. These concerns should be minimized by transparent eligibility requirements and shared talent ownership and protected learning time. Overall, it is NHSX's responsibility to account for the growth of talent as a strategic </w:t>
      </w:r>
      <w:r w:rsidRPr="00031BC5">
        <w:rPr>
          <w:rFonts w:ascii="Arial" w:hAnsi="Arial" w:cs="Arial"/>
        </w:rPr>
        <w:t>organizational</w:t>
      </w:r>
      <w:r w:rsidRPr="00031BC5">
        <w:rPr>
          <w:rFonts w:ascii="Arial" w:hAnsi="Arial" w:cs="Arial"/>
        </w:rPr>
        <w:t xml:space="preserve"> capability and not just as </w:t>
      </w:r>
      <w:r w:rsidRPr="00031BC5">
        <w:rPr>
          <w:rFonts w:ascii="Arial" w:hAnsi="Arial" w:cs="Arial"/>
        </w:rPr>
        <w:t>an HR</w:t>
      </w:r>
      <w:r w:rsidRPr="00031BC5">
        <w:rPr>
          <w:rFonts w:ascii="Arial" w:hAnsi="Arial" w:cs="Arial"/>
        </w:rPr>
        <w:t xml:space="preserve"> activity. The </w:t>
      </w:r>
      <w:r w:rsidRPr="00031BC5">
        <w:rPr>
          <w:rFonts w:ascii="Arial" w:hAnsi="Arial" w:cs="Arial"/>
        </w:rPr>
        <w:t>organization</w:t>
      </w:r>
      <w:r w:rsidRPr="00031BC5">
        <w:rPr>
          <w:rFonts w:ascii="Arial" w:hAnsi="Arial" w:cs="Arial"/>
        </w:rPr>
        <w:t xml:space="preserve"> can use innovation in working practice to drive inclusive learning; this can result in motivation and career progression and improve retention, preparation for Leadership and sustainable healthcare innovation.</w:t>
      </w:r>
    </w:p>
    <w:p w14:paraId="522FE686" w14:textId="77777777" w:rsidR="00C94588" w:rsidRPr="00031BC5" w:rsidRDefault="00C94588" w:rsidP="00031BC5">
      <w:pPr>
        <w:pStyle w:val="Heading1"/>
        <w:rPr>
          <w:rFonts w:ascii="Arial" w:hAnsi="Arial" w:cs="Arial"/>
        </w:rPr>
      </w:pPr>
      <w:bookmarkStart w:id="8" w:name="_Toc242886289"/>
      <w:r w:rsidRPr="00031BC5">
        <w:rPr>
          <w:rFonts w:ascii="Arial" w:hAnsi="Arial" w:cs="Arial"/>
        </w:rPr>
        <w:t>Task C: Critical Reflection on the Ethical Use of Artificial Intelligence in Strategic Human Resource Management and Professional Development</w:t>
      </w:r>
      <w:bookmarkEnd w:id="8"/>
    </w:p>
    <w:p w14:paraId="12AB93E6" w14:textId="77777777" w:rsidR="00C94588" w:rsidRPr="00031BC5" w:rsidRDefault="00C94588" w:rsidP="00FF52D5">
      <w:pPr>
        <w:pStyle w:val="Heading2"/>
        <w:jc w:val="both"/>
        <w:rPr>
          <w:rFonts w:ascii="Arial" w:hAnsi="Arial" w:cs="Arial"/>
          <w:szCs w:val="24"/>
        </w:rPr>
      </w:pPr>
      <w:bookmarkStart w:id="9" w:name="_Toc242886290"/>
      <w:r w:rsidRPr="00031BC5">
        <w:rPr>
          <w:rFonts w:ascii="Arial" w:hAnsi="Arial" w:cs="Arial"/>
          <w:szCs w:val="24"/>
        </w:rPr>
        <w:t>C1. Artificial Intelligence as a Strategic HR Decision-Support Tool</w:t>
      </w:r>
      <w:bookmarkEnd w:id="9"/>
    </w:p>
    <w:p w14:paraId="7EDDD8C5" w14:textId="501C9A03" w:rsidR="00C94588" w:rsidRPr="00031BC5" w:rsidRDefault="00C94588" w:rsidP="00FF52D5">
      <w:pPr>
        <w:jc w:val="both"/>
        <w:rPr>
          <w:rFonts w:ascii="Arial" w:hAnsi="Arial" w:cs="Arial"/>
        </w:rPr>
      </w:pPr>
      <w:r w:rsidRPr="00031BC5">
        <w:rPr>
          <w:rFonts w:ascii="Arial" w:hAnsi="Arial" w:cs="Arial"/>
        </w:rPr>
        <w:t xml:space="preserve">The proposed </w:t>
      </w:r>
      <w:r w:rsidRPr="00031BC5">
        <w:rPr>
          <w:rFonts w:ascii="Arial" w:hAnsi="Arial" w:cs="Arial"/>
        </w:rPr>
        <w:t>organizational</w:t>
      </w:r>
      <w:r w:rsidRPr="00031BC5">
        <w:rPr>
          <w:rFonts w:ascii="Arial" w:hAnsi="Arial" w:cs="Arial"/>
        </w:rPr>
        <w:t xml:space="preserve"> change at NHSX reflects and reinforces my increased appreciation of artificial intelligence (AI) as a strategic tool for HR and not a replacement for human decision making. AI can be used to aid workforce planning, skills gap assessment, staff recruiting and individual staff training. There are significant issues identified by Tambe, Cappelli and Yakubovich (2019) around issues of limited data sets, algorithmic accountability and fairness, however. Similarly, </w:t>
      </w:r>
      <w:proofErr w:type="spellStart"/>
      <w:r w:rsidRPr="00031BC5">
        <w:rPr>
          <w:rFonts w:ascii="Arial" w:hAnsi="Arial" w:cs="Arial"/>
        </w:rPr>
        <w:t>Bankins</w:t>
      </w:r>
      <w:proofErr w:type="spellEnd"/>
      <w:r w:rsidRPr="00031BC5">
        <w:rPr>
          <w:rFonts w:ascii="Arial" w:hAnsi="Arial" w:cs="Arial"/>
        </w:rPr>
        <w:t xml:space="preserve"> (2021) underscores that the ethical aspect is crucial in the use of AI in HRM.</w:t>
      </w:r>
      <w:r w:rsidRPr="00031BC5">
        <w:rPr>
          <w:rFonts w:ascii="Arial" w:hAnsi="Arial" w:cs="Arial"/>
        </w:rPr>
        <w:t xml:space="preserve"> </w:t>
      </w:r>
      <w:r w:rsidRPr="00031BC5">
        <w:rPr>
          <w:rFonts w:ascii="Arial" w:hAnsi="Arial" w:cs="Arial"/>
        </w:rPr>
        <w:t xml:space="preserve">But these worries are particularly pertinent to NHSX, given that AI-generated assessments may shape the promotion, performance review, and learning path scenarios for individuals in various countries. </w:t>
      </w:r>
      <w:r w:rsidRPr="00031BC5">
        <w:rPr>
          <w:rFonts w:ascii="Arial" w:hAnsi="Arial" w:cs="Arial"/>
        </w:rPr>
        <w:t>Therefore,</w:t>
      </w:r>
      <w:r w:rsidRPr="00031BC5">
        <w:rPr>
          <w:rFonts w:ascii="Arial" w:hAnsi="Arial" w:cs="Arial"/>
        </w:rPr>
        <w:t xml:space="preserve"> it is essential that human oversight, transparent criteria, data protection and employees' right to challenge the consequences of their data should remain at the heart. </w:t>
      </w:r>
      <w:r w:rsidRPr="00031BC5">
        <w:rPr>
          <w:rFonts w:ascii="Arial" w:hAnsi="Arial" w:cs="Arial"/>
        </w:rPr>
        <w:lastRenderedPageBreak/>
        <w:t>AI promise of efficiency must not go hand in hand with dignity, employee wellbeing, or trust.</w:t>
      </w:r>
    </w:p>
    <w:p w14:paraId="5C463B2B" w14:textId="77777777" w:rsidR="00FF52D5" w:rsidRPr="00031BC5" w:rsidRDefault="00FF52D5" w:rsidP="00FF52D5">
      <w:pPr>
        <w:pStyle w:val="Heading2"/>
        <w:jc w:val="both"/>
        <w:rPr>
          <w:rFonts w:ascii="Arial" w:hAnsi="Arial" w:cs="Arial"/>
          <w:szCs w:val="24"/>
        </w:rPr>
      </w:pPr>
      <w:bookmarkStart w:id="10" w:name="_Toc242886291"/>
      <w:r w:rsidRPr="00031BC5">
        <w:rPr>
          <w:rFonts w:ascii="Arial" w:hAnsi="Arial" w:cs="Arial"/>
          <w:szCs w:val="24"/>
        </w:rPr>
        <w:t>C2. Critical Reflection on Three Personal AI-Use Experiences</w:t>
      </w:r>
      <w:bookmarkEnd w:id="10"/>
    </w:p>
    <w:p w14:paraId="0D58C507" w14:textId="44B4B26E" w:rsidR="00FF52D5" w:rsidRPr="00031BC5" w:rsidRDefault="00FF52D5" w:rsidP="00FF52D5">
      <w:pPr>
        <w:pStyle w:val="Heading3"/>
        <w:jc w:val="both"/>
        <w:rPr>
          <w:rFonts w:ascii="Arial" w:hAnsi="Arial" w:cs="Arial"/>
          <w:szCs w:val="24"/>
        </w:rPr>
      </w:pPr>
      <w:bookmarkStart w:id="11" w:name="_Toc242886292"/>
      <w:r w:rsidRPr="00031BC5">
        <w:rPr>
          <w:rFonts w:ascii="Arial" w:hAnsi="Arial" w:cs="Arial"/>
          <w:szCs w:val="24"/>
        </w:rPr>
        <w:t>Experience 1: Microsoft Copilot Information Analysis</w:t>
      </w:r>
      <w:bookmarkEnd w:id="11"/>
    </w:p>
    <w:p w14:paraId="21298931" w14:textId="1E95CE63" w:rsidR="00FF52D5" w:rsidRPr="00031BC5" w:rsidRDefault="00FF52D5" w:rsidP="00FF52D5">
      <w:pPr>
        <w:jc w:val="both"/>
        <w:rPr>
          <w:rFonts w:ascii="Arial" w:hAnsi="Arial" w:cs="Arial"/>
        </w:rPr>
      </w:pPr>
      <w:r w:rsidRPr="00031BC5">
        <w:rPr>
          <w:rFonts w:ascii="Arial" w:hAnsi="Arial" w:cs="Arial"/>
        </w:rPr>
        <w:t xml:space="preserve">Another tool I had the opportunity to use is Microsoft Copilot for </w:t>
      </w:r>
      <w:r w:rsidRPr="00031BC5">
        <w:rPr>
          <w:rFonts w:ascii="Arial" w:hAnsi="Arial" w:cs="Arial"/>
        </w:rPr>
        <w:t>organizing</w:t>
      </w:r>
      <w:r w:rsidRPr="00031BC5">
        <w:rPr>
          <w:rFonts w:ascii="Arial" w:hAnsi="Arial" w:cs="Arial"/>
        </w:rPr>
        <w:t xml:space="preserve"> complex information, which has the potential to enhance efficiency and detect key themes. These features could help NHSX to understand the workforce reports and to target future skills needs. However, </w:t>
      </w:r>
      <w:r w:rsidRPr="00031BC5">
        <w:rPr>
          <w:rFonts w:ascii="Arial" w:hAnsi="Arial" w:cs="Arial"/>
        </w:rPr>
        <w:t>the summaries generated</w:t>
      </w:r>
      <w:r w:rsidRPr="00031BC5">
        <w:rPr>
          <w:rFonts w:ascii="Arial" w:hAnsi="Arial" w:cs="Arial"/>
        </w:rPr>
        <w:t xml:space="preserve"> can be limited in terms of context or they may not accurately capture relationships between variables. I therefore acknowledge that I need to review outputs from AI with original evidence prior to suggesting workforce interventions.</w:t>
      </w:r>
    </w:p>
    <w:p w14:paraId="6634B1F1" w14:textId="5F7CF819" w:rsidR="00FF52D5" w:rsidRPr="00031BC5" w:rsidRDefault="00FF52D5" w:rsidP="00FF52D5">
      <w:pPr>
        <w:pStyle w:val="Heading3"/>
        <w:jc w:val="both"/>
        <w:rPr>
          <w:rFonts w:ascii="Arial" w:hAnsi="Arial" w:cs="Arial"/>
          <w:szCs w:val="24"/>
        </w:rPr>
      </w:pPr>
      <w:bookmarkStart w:id="12" w:name="_Toc242886293"/>
      <w:r w:rsidRPr="00031BC5">
        <w:rPr>
          <w:rFonts w:ascii="Arial" w:hAnsi="Arial" w:cs="Arial"/>
          <w:szCs w:val="24"/>
        </w:rPr>
        <w:t xml:space="preserve">Experience 2: </w:t>
      </w:r>
      <w:r w:rsidRPr="00031BC5">
        <w:rPr>
          <w:rFonts w:ascii="Arial" w:hAnsi="Arial" w:cs="Arial"/>
          <w:szCs w:val="24"/>
        </w:rPr>
        <w:t>Elicit Academic</w:t>
      </w:r>
      <w:r w:rsidRPr="00031BC5">
        <w:rPr>
          <w:rFonts w:ascii="Arial" w:hAnsi="Arial" w:cs="Arial"/>
          <w:szCs w:val="24"/>
        </w:rPr>
        <w:t xml:space="preserve"> Research and Critical Evaluation</w:t>
      </w:r>
      <w:bookmarkEnd w:id="12"/>
    </w:p>
    <w:p w14:paraId="5B17AD7A" w14:textId="6E998D9A" w:rsidR="00FF52D5" w:rsidRPr="00031BC5" w:rsidRDefault="00FF52D5" w:rsidP="00FF52D5">
      <w:pPr>
        <w:jc w:val="both"/>
        <w:rPr>
          <w:rFonts w:ascii="Arial" w:hAnsi="Arial" w:cs="Arial"/>
        </w:rPr>
      </w:pPr>
      <w:r w:rsidRPr="00031BC5">
        <w:rPr>
          <w:rFonts w:ascii="Arial" w:hAnsi="Arial" w:cs="Arial"/>
        </w:rPr>
        <w:t xml:space="preserve">The process of brainstorming topics and checking what people say in research papers with Elicit was quite instructive for this. But short research summaries can mask methodological flaws, small numbers of participants or other factors that limit </w:t>
      </w:r>
      <w:r w:rsidRPr="00031BC5">
        <w:rPr>
          <w:rFonts w:ascii="Arial" w:hAnsi="Arial" w:cs="Arial"/>
        </w:rPr>
        <w:t>generalizability</w:t>
      </w:r>
      <w:r w:rsidRPr="00031BC5">
        <w:rPr>
          <w:rFonts w:ascii="Arial" w:hAnsi="Arial" w:cs="Arial"/>
        </w:rPr>
        <w:t xml:space="preserve">. This brought a greater awareness about the issue of identifying relevant studies vs. assessing their credibility. I would therefore look at original publications when considering NHSX's proposed hybrid-working and talent-development for moving to a different </w:t>
      </w:r>
      <w:r w:rsidRPr="00031BC5">
        <w:rPr>
          <w:rFonts w:ascii="Arial" w:hAnsi="Arial" w:cs="Arial"/>
        </w:rPr>
        <w:t>organization</w:t>
      </w:r>
      <w:r w:rsidRPr="00031BC5">
        <w:rPr>
          <w:rFonts w:ascii="Arial" w:hAnsi="Arial" w:cs="Arial"/>
        </w:rPr>
        <w:t xml:space="preserve"> context.</w:t>
      </w:r>
    </w:p>
    <w:p w14:paraId="64854026" w14:textId="0D6D8FA4" w:rsidR="00FF52D5" w:rsidRPr="00031BC5" w:rsidRDefault="00FF52D5" w:rsidP="00FF52D5">
      <w:pPr>
        <w:pStyle w:val="Heading3"/>
        <w:jc w:val="both"/>
        <w:rPr>
          <w:rFonts w:ascii="Arial" w:hAnsi="Arial" w:cs="Arial"/>
          <w:szCs w:val="24"/>
        </w:rPr>
      </w:pPr>
      <w:bookmarkStart w:id="13" w:name="_Toc242886294"/>
      <w:r w:rsidRPr="00031BC5">
        <w:rPr>
          <w:rFonts w:ascii="Arial" w:hAnsi="Arial" w:cs="Arial"/>
          <w:szCs w:val="24"/>
        </w:rPr>
        <w:t>Experience 3: Grammarly Professional Communication</w:t>
      </w:r>
      <w:bookmarkEnd w:id="13"/>
    </w:p>
    <w:p w14:paraId="40038A8F" w14:textId="056B9F41" w:rsidR="00FF52D5" w:rsidRPr="00031BC5" w:rsidRDefault="00FF52D5" w:rsidP="00FF52D5">
      <w:pPr>
        <w:jc w:val="both"/>
        <w:rPr>
          <w:rFonts w:ascii="Arial" w:hAnsi="Arial" w:cs="Arial"/>
        </w:rPr>
      </w:pPr>
      <w:r w:rsidRPr="00031BC5">
        <w:rPr>
          <w:rFonts w:ascii="Arial" w:hAnsi="Arial" w:cs="Arial"/>
        </w:rPr>
        <w:t xml:space="preserve">Grammarly's AI-powered tools have showcased the power of technology in ensuring clear and professional communication. Proposed edits, however, can others have an unintended impact on meaning of the sentence or important qualifications or cultural differences. Especially when the NHSX workforce is multinational and practices its core business regularly on both sides of the Atlantic, communications with employees should be accurate, inclusive and empathetic. As a result, I also understand that a sense of context and responsibility in the conveyance of meaning, rather than just grammatical correctness, is the key to the quality of </w:t>
      </w:r>
      <w:r w:rsidRPr="00031BC5">
        <w:rPr>
          <w:rFonts w:ascii="Arial" w:hAnsi="Arial" w:cs="Arial"/>
        </w:rPr>
        <w:t>communication</w:t>
      </w:r>
      <w:r w:rsidRPr="00031BC5">
        <w:rPr>
          <w:rFonts w:ascii="Arial" w:hAnsi="Arial" w:cs="Arial"/>
        </w:rPr>
        <w:t>.</w:t>
      </w:r>
    </w:p>
    <w:p w14:paraId="2DD0F7F6" w14:textId="77777777" w:rsidR="00FF52D5" w:rsidRPr="00031BC5" w:rsidRDefault="00FF52D5" w:rsidP="00FF52D5">
      <w:pPr>
        <w:pStyle w:val="Heading2"/>
        <w:jc w:val="both"/>
        <w:rPr>
          <w:rFonts w:ascii="Arial" w:hAnsi="Arial" w:cs="Arial"/>
          <w:szCs w:val="24"/>
        </w:rPr>
      </w:pPr>
      <w:bookmarkStart w:id="14" w:name="_Toc242886295"/>
      <w:r w:rsidRPr="00031BC5">
        <w:rPr>
          <w:rFonts w:ascii="Arial" w:hAnsi="Arial" w:cs="Arial"/>
          <w:szCs w:val="24"/>
        </w:rPr>
        <w:t>C3. SMART Professional Development and Employability Action Plan</w:t>
      </w:r>
      <w:bookmarkEnd w:id="14"/>
    </w:p>
    <w:p w14:paraId="1ECBDD6D" w14:textId="7CDF5830" w:rsidR="00FF52D5" w:rsidRPr="00031BC5" w:rsidRDefault="00FF52D5" w:rsidP="00FF52D5">
      <w:pPr>
        <w:jc w:val="both"/>
        <w:rPr>
          <w:rFonts w:ascii="Arial" w:hAnsi="Arial" w:cs="Arial"/>
        </w:rPr>
      </w:pPr>
      <w:r w:rsidRPr="00031BC5">
        <w:rPr>
          <w:rFonts w:ascii="Arial" w:hAnsi="Arial" w:cs="Arial"/>
        </w:rPr>
        <w:t xml:space="preserve">These experiences have guided me to see that development priorities are to achieve increased literacy in data, to evaluate research and recognize the appropriate application of AI. Principles-led, evidence-based and outcomes-driven professional practice is a key focus of the CIPD Profession Map (CIPD, n.d.). In three months, I will have completed the basic training in people analytics and critically reviewed 5 peer-reviewed studies in HR and noted the strengths and weaknesses of the studies methodology. In 6 months, I will learn about how to use AI ethically and </w:t>
      </w:r>
      <w:r w:rsidRPr="00031BC5">
        <w:rPr>
          <w:rFonts w:ascii="Arial" w:hAnsi="Arial" w:cs="Arial"/>
        </w:rPr>
        <w:t>protect</w:t>
      </w:r>
      <w:r w:rsidRPr="00031BC5">
        <w:rPr>
          <w:rFonts w:ascii="Arial" w:hAnsi="Arial" w:cs="Arial"/>
        </w:rPr>
        <w:t xml:space="preserve"> data as well and then be given a simulated 3 HR decisions and use a checklist of fairness, privacy and human oversight </w:t>
      </w:r>
      <w:r w:rsidRPr="00031BC5">
        <w:rPr>
          <w:rFonts w:ascii="Arial" w:hAnsi="Arial" w:cs="Arial"/>
        </w:rPr>
        <w:lastRenderedPageBreak/>
        <w:t xml:space="preserve">to answer whether they are ethical or not. In nine </w:t>
      </w:r>
      <w:r w:rsidRPr="00031BC5">
        <w:rPr>
          <w:rFonts w:ascii="Arial" w:hAnsi="Arial" w:cs="Arial"/>
        </w:rPr>
        <w:t>months’, time</w:t>
      </w:r>
      <w:r w:rsidRPr="00031BC5">
        <w:rPr>
          <w:rFonts w:ascii="Arial" w:hAnsi="Arial" w:cs="Arial"/>
        </w:rPr>
        <w:t>, I will participate in two case exercises related to workforce planning and communicate regarding the appropriate level of quality/completeness of my analysis and recommendations. As a professional, I want to be digitally competent, a reflective professional, and use AI as a tool to aid evidence-based HR decision-making to retain empathy, ethical responsibility, and independent thinking.</w:t>
      </w:r>
    </w:p>
    <w:p w14:paraId="0488F332" w14:textId="77777777" w:rsidR="00FF52D5" w:rsidRPr="00031BC5" w:rsidRDefault="00FF52D5" w:rsidP="00FF52D5">
      <w:pPr>
        <w:jc w:val="both"/>
        <w:rPr>
          <w:rFonts w:ascii="Arial" w:hAnsi="Arial" w:cs="Arial"/>
        </w:rPr>
      </w:pPr>
    </w:p>
    <w:p w14:paraId="31E9791F" w14:textId="77777777" w:rsidR="00FF52D5" w:rsidRPr="00031BC5" w:rsidRDefault="00FF52D5" w:rsidP="00FF52D5">
      <w:pPr>
        <w:jc w:val="both"/>
        <w:rPr>
          <w:rFonts w:ascii="Arial" w:hAnsi="Arial" w:cs="Arial"/>
        </w:rPr>
      </w:pPr>
    </w:p>
    <w:p w14:paraId="5B198716" w14:textId="77777777" w:rsidR="00FF52D5" w:rsidRPr="00031BC5" w:rsidRDefault="00FF52D5" w:rsidP="00FF52D5">
      <w:pPr>
        <w:jc w:val="both"/>
        <w:rPr>
          <w:rFonts w:ascii="Arial" w:hAnsi="Arial" w:cs="Arial"/>
        </w:rPr>
      </w:pPr>
    </w:p>
    <w:p w14:paraId="712F4B2A" w14:textId="77777777" w:rsidR="00FF52D5" w:rsidRPr="00031BC5" w:rsidRDefault="00FF52D5" w:rsidP="00FF52D5">
      <w:pPr>
        <w:jc w:val="both"/>
        <w:rPr>
          <w:rFonts w:ascii="Arial" w:hAnsi="Arial" w:cs="Arial"/>
        </w:rPr>
      </w:pPr>
    </w:p>
    <w:p w14:paraId="0ADDACF7" w14:textId="77777777" w:rsidR="00FF52D5" w:rsidRPr="00031BC5" w:rsidRDefault="00FF52D5" w:rsidP="00FF52D5">
      <w:pPr>
        <w:jc w:val="both"/>
        <w:rPr>
          <w:rFonts w:ascii="Arial" w:hAnsi="Arial" w:cs="Arial"/>
        </w:rPr>
      </w:pPr>
    </w:p>
    <w:p w14:paraId="5FFA7993" w14:textId="77777777" w:rsidR="00FF52D5" w:rsidRPr="00031BC5" w:rsidRDefault="00FF52D5" w:rsidP="00FF52D5">
      <w:pPr>
        <w:jc w:val="both"/>
        <w:rPr>
          <w:rFonts w:ascii="Arial" w:hAnsi="Arial" w:cs="Arial"/>
        </w:rPr>
      </w:pPr>
    </w:p>
    <w:p w14:paraId="32149AF9" w14:textId="77777777" w:rsidR="00FF52D5" w:rsidRPr="00031BC5" w:rsidRDefault="00FF52D5" w:rsidP="00FF52D5">
      <w:pPr>
        <w:jc w:val="both"/>
        <w:rPr>
          <w:rFonts w:ascii="Arial" w:hAnsi="Arial" w:cs="Arial"/>
        </w:rPr>
      </w:pPr>
    </w:p>
    <w:p w14:paraId="5A4FF998" w14:textId="77777777" w:rsidR="00FF52D5" w:rsidRPr="00031BC5" w:rsidRDefault="00FF52D5" w:rsidP="00FF52D5">
      <w:pPr>
        <w:jc w:val="both"/>
        <w:rPr>
          <w:rFonts w:ascii="Arial" w:hAnsi="Arial" w:cs="Arial"/>
        </w:rPr>
      </w:pPr>
    </w:p>
    <w:p w14:paraId="7C9442F6" w14:textId="77777777" w:rsidR="00FF52D5" w:rsidRPr="00031BC5" w:rsidRDefault="00FF52D5" w:rsidP="00FF52D5">
      <w:pPr>
        <w:jc w:val="both"/>
        <w:rPr>
          <w:rFonts w:ascii="Arial" w:hAnsi="Arial" w:cs="Arial"/>
        </w:rPr>
      </w:pPr>
    </w:p>
    <w:p w14:paraId="658ED507" w14:textId="77777777" w:rsidR="00FF52D5" w:rsidRPr="00031BC5" w:rsidRDefault="00FF52D5" w:rsidP="00FF52D5">
      <w:pPr>
        <w:jc w:val="both"/>
        <w:rPr>
          <w:rFonts w:ascii="Arial" w:hAnsi="Arial" w:cs="Arial"/>
        </w:rPr>
      </w:pPr>
    </w:p>
    <w:p w14:paraId="1BC35FFD" w14:textId="77777777" w:rsidR="00FF52D5" w:rsidRPr="00031BC5" w:rsidRDefault="00FF52D5" w:rsidP="00FF52D5">
      <w:pPr>
        <w:jc w:val="both"/>
        <w:rPr>
          <w:rFonts w:ascii="Arial" w:hAnsi="Arial" w:cs="Arial"/>
        </w:rPr>
      </w:pPr>
    </w:p>
    <w:p w14:paraId="6ED5F3C6" w14:textId="77777777" w:rsidR="00FF52D5" w:rsidRPr="00031BC5" w:rsidRDefault="00FF52D5" w:rsidP="00FF52D5">
      <w:pPr>
        <w:jc w:val="both"/>
        <w:rPr>
          <w:rFonts w:ascii="Arial" w:hAnsi="Arial" w:cs="Arial"/>
        </w:rPr>
      </w:pPr>
    </w:p>
    <w:p w14:paraId="15FBD6FF" w14:textId="77777777" w:rsidR="00FF52D5" w:rsidRPr="00031BC5" w:rsidRDefault="00FF52D5" w:rsidP="00FF52D5">
      <w:pPr>
        <w:jc w:val="both"/>
        <w:rPr>
          <w:rFonts w:ascii="Arial" w:hAnsi="Arial" w:cs="Arial"/>
        </w:rPr>
      </w:pPr>
    </w:p>
    <w:p w14:paraId="661645EB" w14:textId="77777777" w:rsidR="00FF52D5" w:rsidRPr="00031BC5" w:rsidRDefault="00FF52D5" w:rsidP="00FF52D5">
      <w:pPr>
        <w:jc w:val="both"/>
        <w:rPr>
          <w:rFonts w:ascii="Arial" w:hAnsi="Arial" w:cs="Arial"/>
        </w:rPr>
      </w:pPr>
    </w:p>
    <w:p w14:paraId="3601CF4D" w14:textId="77777777" w:rsidR="00FF52D5" w:rsidRPr="00031BC5" w:rsidRDefault="00FF52D5" w:rsidP="00FF52D5">
      <w:pPr>
        <w:jc w:val="both"/>
        <w:rPr>
          <w:rFonts w:ascii="Arial" w:hAnsi="Arial" w:cs="Arial"/>
        </w:rPr>
      </w:pPr>
    </w:p>
    <w:p w14:paraId="3ED9082B" w14:textId="77777777" w:rsidR="00FF52D5" w:rsidRPr="00031BC5" w:rsidRDefault="00FF52D5" w:rsidP="00FF52D5">
      <w:pPr>
        <w:jc w:val="both"/>
        <w:rPr>
          <w:rFonts w:ascii="Arial" w:hAnsi="Arial" w:cs="Arial"/>
        </w:rPr>
      </w:pPr>
    </w:p>
    <w:p w14:paraId="580B1920" w14:textId="77777777" w:rsidR="00FF52D5" w:rsidRPr="00031BC5" w:rsidRDefault="00FF52D5" w:rsidP="00FF52D5">
      <w:pPr>
        <w:jc w:val="both"/>
        <w:rPr>
          <w:rFonts w:ascii="Arial" w:hAnsi="Arial" w:cs="Arial"/>
        </w:rPr>
      </w:pPr>
    </w:p>
    <w:p w14:paraId="0BA0D155" w14:textId="77777777" w:rsidR="00FF52D5" w:rsidRPr="00031BC5" w:rsidRDefault="00FF52D5" w:rsidP="00FF52D5">
      <w:pPr>
        <w:jc w:val="both"/>
        <w:rPr>
          <w:rFonts w:ascii="Arial" w:hAnsi="Arial" w:cs="Arial"/>
        </w:rPr>
      </w:pPr>
    </w:p>
    <w:p w14:paraId="0535B5FA" w14:textId="77777777" w:rsidR="00FF52D5" w:rsidRPr="00031BC5" w:rsidRDefault="00FF52D5" w:rsidP="00FF52D5">
      <w:pPr>
        <w:jc w:val="both"/>
        <w:rPr>
          <w:rFonts w:ascii="Arial" w:hAnsi="Arial" w:cs="Arial"/>
        </w:rPr>
      </w:pPr>
    </w:p>
    <w:p w14:paraId="34B8F28B" w14:textId="77777777" w:rsidR="00FF52D5" w:rsidRPr="00031BC5" w:rsidRDefault="00FF52D5" w:rsidP="00FF52D5">
      <w:pPr>
        <w:jc w:val="both"/>
        <w:rPr>
          <w:rFonts w:ascii="Arial" w:hAnsi="Arial" w:cs="Arial"/>
        </w:rPr>
      </w:pPr>
    </w:p>
    <w:p w14:paraId="74C1E4A2" w14:textId="77777777" w:rsidR="00FF52D5" w:rsidRPr="00031BC5" w:rsidRDefault="00FF52D5" w:rsidP="00FF52D5">
      <w:pPr>
        <w:jc w:val="both"/>
        <w:rPr>
          <w:rFonts w:ascii="Arial" w:hAnsi="Arial" w:cs="Arial"/>
        </w:rPr>
      </w:pPr>
    </w:p>
    <w:p w14:paraId="6E5A7254" w14:textId="77777777" w:rsidR="00FF52D5" w:rsidRPr="00031BC5" w:rsidRDefault="00FF52D5" w:rsidP="00FF52D5">
      <w:pPr>
        <w:jc w:val="both"/>
        <w:rPr>
          <w:rFonts w:ascii="Arial" w:hAnsi="Arial" w:cs="Arial"/>
        </w:rPr>
      </w:pPr>
    </w:p>
    <w:p w14:paraId="12046417" w14:textId="77777777" w:rsidR="00FF52D5" w:rsidRPr="00031BC5" w:rsidRDefault="00FF52D5" w:rsidP="00FF52D5">
      <w:pPr>
        <w:jc w:val="both"/>
        <w:rPr>
          <w:rFonts w:ascii="Arial" w:hAnsi="Arial" w:cs="Arial"/>
        </w:rPr>
      </w:pPr>
    </w:p>
    <w:p w14:paraId="63EE7B04" w14:textId="77777777" w:rsidR="00FF52D5" w:rsidRPr="00031BC5" w:rsidRDefault="00FF52D5" w:rsidP="00FF52D5">
      <w:pPr>
        <w:pStyle w:val="Heading1"/>
        <w:rPr>
          <w:rFonts w:ascii="Arial" w:hAnsi="Arial" w:cs="Arial"/>
        </w:rPr>
      </w:pPr>
      <w:bookmarkStart w:id="15" w:name="_Toc242886296"/>
      <w:r w:rsidRPr="00031BC5">
        <w:rPr>
          <w:rFonts w:ascii="Arial" w:hAnsi="Arial" w:cs="Arial"/>
        </w:rPr>
        <w:lastRenderedPageBreak/>
        <w:t>References</w:t>
      </w:r>
      <w:bookmarkEnd w:id="15"/>
    </w:p>
    <w:p w14:paraId="4EF23420" w14:textId="77777777" w:rsidR="00FF52D5" w:rsidRPr="00031BC5" w:rsidRDefault="00FF52D5" w:rsidP="00FF52D5">
      <w:pPr>
        <w:jc w:val="both"/>
        <w:rPr>
          <w:rFonts w:ascii="Arial" w:hAnsi="Arial" w:cs="Arial"/>
        </w:rPr>
      </w:pPr>
      <w:proofErr w:type="spellStart"/>
      <w:r w:rsidRPr="00031BC5">
        <w:rPr>
          <w:rFonts w:ascii="Arial" w:hAnsi="Arial" w:cs="Arial"/>
        </w:rPr>
        <w:t>Bankins</w:t>
      </w:r>
      <w:proofErr w:type="spellEnd"/>
      <w:r w:rsidRPr="00031BC5">
        <w:rPr>
          <w:rFonts w:ascii="Arial" w:hAnsi="Arial" w:cs="Arial"/>
        </w:rPr>
        <w:t xml:space="preserve">, S. (2021) ‘The ethical use of artificial intelligence in human resource management: A decision-making framework’, </w:t>
      </w:r>
      <w:r w:rsidRPr="00031BC5">
        <w:rPr>
          <w:rFonts w:ascii="Arial" w:hAnsi="Arial" w:cs="Arial"/>
          <w:i/>
          <w:iCs/>
        </w:rPr>
        <w:t>Ethics and Information Technology</w:t>
      </w:r>
      <w:r w:rsidRPr="00031BC5">
        <w:rPr>
          <w:rFonts w:ascii="Arial" w:hAnsi="Arial" w:cs="Arial"/>
        </w:rPr>
        <w:t xml:space="preserve">, 23(4), pp. 841–854. Available at: </w:t>
      </w:r>
      <w:hyperlink r:id="rId9" w:history="1">
        <w:r w:rsidRPr="00031BC5">
          <w:rPr>
            <w:rStyle w:val="Hyperlink"/>
            <w:rFonts w:ascii="Arial" w:hAnsi="Arial" w:cs="Arial"/>
          </w:rPr>
          <w:t>https://doi.org/10.1007/s10676-021-09619-6</w:t>
        </w:r>
      </w:hyperlink>
      <w:r w:rsidRPr="00031BC5">
        <w:rPr>
          <w:rFonts w:ascii="Arial" w:hAnsi="Arial" w:cs="Arial"/>
        </w:rPr>
        <w:t>.</w:t>
      </w:r>
    </w:p>
    <w:p w14:paraId="3CC68A24" w14:textId="77777777" w:rsidR="00FF52D5" w:rsidRPr="00031BC5" w:rsidRDefault="00FF52D5" w:rsidP="00FF52D5">
      <w:pPr>
        <w:jc w:val="both"/>
        <w:rPr>
          <w:rFonts w:ascii="Arial" w:hAnsi="Arial" w:cs="Arial"/>
        </w:rPr>
      </w:pPr>
      <w:r w:rsidRPr="00031BC5">
        <w:rPr>
          <w:rFonts w:ascii="Arial" w:hAnsi="Arial" w:cs="Arial"/>
        </w:rPr>
        <w:t xml:space="preserve">Bloom, N., Han, R. and Liang, J. (2024) ‘Hybrid working from home improves retention without damaging performance’, </w:t>
      </w:r>
      <w:r w:rsidRPr="00031BC5">
        <w:rPr>
          <w:rFonts w:ascii="Arial" w:hAnsi="Arial" w:cs="Arial"/>
          <w:i/>
          <w:iCs/>
        </w:rPr>
        <w:t>Nature</w:t>
      </w:r>
      <w:r w:rsidRPr="00031BC5">
        <w:rPr>
          <w:rFonts w:ascii="Arial" w:hAnsi="Arial" w:cs="Arial"/>
        </w:rPr>
        <w:t xml:space="preserve">, 630, pp. 920–925. Available at: </w:t>
      </w:r>
      <w:hyperlink r:id="rId10" w:history="1">
        <w:r w:rsidRPr="00031BC5">
          <w:rPr>
            <w:rStyle w:val="Hyperlink"/>
            <w:rFonts w:ascii="Arial" w:hAnsi="Arial" w:cs="Arial"/>
          </w:rPr>
          <w:t>https://doi.org/10.1038/s41586-024-07500-2</w:t>
        </w:r>
      </w:hyperlink>
      <w:r w:rsidRPr="00031BC5">
        <w:rPr>
          <w:rFonts w:ascii="Arial" w:hAnsi="Arial" w:cs="Arial"/>
        </w:rPr>
        <w:t>.</w:t>
      </w:r>
    </w:p>
    <w:p w14:paraId="27AE4ABD" w14:textId="77777777" w:rsidR="00FF52D5" w:rsidRPr="00031BC5" w:rsidRDefault="00FF52D5" w:rsidP="00FF52D5">
      <w:pPr>
        <w:jc w:val="both"/>
        <w:rPr>
          <w:rFonts w:ascii="Arial" w:hAnsi="Arial" w:cs="Arial"/>
        </w:rPr>
      </w:pPr>
      <w:r w:rsidRPr="00031BC5">
        <w:rPr>
          <w:rFonts w:ascii="Arial" w:hAnsi="Arial" w:cs="Arial"/>
        </w:rPr>
        <w:t xml:space="preserve">Boxall, P. and Macky, K. (2014) ‘High-involvement work processes, work intensification and employee well-being’, </w:t>
      </w:r>
      <w:r w:rsidRPr="00031BC5">
        <w:rPr>
          <w:rFonts w:ascii="Arial" w:hAnsi="Arial" w:cs="Arial"/>
          <w:i/>
          <w:iCs/>
        </w:rPr>
        <w:t>Work, Employment and Society</w:t>
      </w:r>
      <w:r w:rsidRPr="00031BC5">
        <w:rPr>
          <w:rFonts w:ascii="Arial" w:hAnsi="Arial" w:cs="Arial"/>
        </w:rPr>
        <w:t xml:space="preserve">, 28(6), pp. 963–984. Available at: </w:t>
      </w:r>
      <w:hyperlink r:id="rId11" w:history="1">
        <w:r w:rsidRPr="00031BC5">
          <w:rPr>
            <w:rStyle w:val="Hyperlink"/>
            <w:rFonts w:ascii="Arial" w:hAnsi="Arial" w:cs="Arial"/>
          </w:rPr>
          <w:t>https://doi.org/10.1177/0950017013512714</w:t>
        </w:r>
      </w:hyperlink>
      <w:r w:rsidRPr="00031BC5">
        <w:rPr>
          <w:rFonts w:ascii="Arial" w:hAnsi="Arial" w:cs="Arial"/>
        </w:rPr>
        <w:t>.</w:t>
      </w:r>
    </w:p>
    <w:p w14:paraId="64760F52" w14:textId="77777777" w:rsidR="00FF52D5" w:rsidRPr="00031BC5" w:rsidRDefault="00FF52D5" w:rsidP="00FF52D5">
      <w:pPr>
        <w:jc w:val="both"/>
        <w:rPr>
          <w:rFonts w:ascii="Arial" w:hAnsi="Arial" w:cs="Arial"/>
        </w:rPr>
      </w:pPr>
      <w:r w:rsidRPr="00031BC5">
        <w:rPr>
          <w:rFonts w:ascii="Arial" w:hAnsi="Arial" w:cs="Arial"/>
        </w:rPr>
        <w:t xml:space="preserve">Chartered Institute of Personnel and Development (CIPD) (2025a) </w:t>
      </w:r>
      <w:r w:rsidRPr="00031BC5">
        <w:rPr>
          <w:rFonts w:ascii="Arial" w:hAnsi="Arial" w:cs="Arial"/>
          <w:i/>
          <w:iCs/>
        </w:rPr>
        <w:t>Strategic human resource management</w:t>
      </w:r>
      <w:r w:rsidRPr="00031BC5">
        <w:rPr>
          <w:rFonts w:ascii="Arial" w:hAnsi="Arial" w:cs="Arial"/>
        </w:rPr>
        <w:t xml:space="preserve">. Available at: </w:t>
      </w:r>
      <w:hyperlink r:id="rId12" w:history="1">
        <w:r w:rsidRPr="00031BC5">
          <w:rPr>
            <w:rStyle w:val="Hyperlink"/>
            <w:rFonts w:ascii="Arial" w:hAnsi="Arial" w:cs="Arial"/>
          </w:rPr>
          <w:t>https://www.cipd.org/en/knowledge/factsheets/strategic-hrm-factsheet/</w:t>
        </w:r>
      </w:hyperlink>
      <w:r w:rsidRPr="00031BC5">
        <w:rPr>
          <w:rFonts w:ascii="Arial" w:hAnsi="Arial" w:cs="Arial"/>
        </w:rPr>
        <w:t xml:space="preserve"> (Accessed: 2 October 2026).</w:t>
      </w:r>
    </w:p>
    <w:p w14:paraId="2036B4C0" w14:textId="77777777" w:rsidR="00FF52D5" w:rsidRPr="00031BC5" w:rsidRDefault="00FF52D5" w:rsidP="00FF52D5">
      <w:pPr>
        <w:jc w:val="both"/>
        <w:rPr>
          <w:rFonts w:ascii="Arial" w:hAnsi="Arial" w:cs="Arial"/>
        </w:rPr>
      </w:pPr>
      <w:r w:rsidRPr="00031BC5">
        <w:rPr>
          <w:rFonts w:ascii="Arial" w:hAnsi="Arial" w:cs="Arial"/>
        </w:rPr>
        <w:t xml:space="preserve">Chartered Institute of Personnel and Development (CIPD) (2025b) </w:t>
      </w:r>
      <w:r w:rsidRPr="00031BC5">
        <w:rPr>
          <w:rFonts w:ascii="Arial" w:hAnsi="Arial" w:cs="Arial"/>
          <w:i/>
          <w:iCs/>
        </w:rPr>
        <w:t>Succession planning</w:t>
      </w:r>
      <w:r w:rsidRPr="00031BC5">
        <w:rPr>
          <w:rFonts w:ascii="Arial" w:hAnsi="Arial" w:cs="Arial"/>
        </w:rPr>
        <w:t xml:space="preserve">. Available at: </w:t>
      </w:r>
      <w:hyperlink r:id="rId13" w:history="1">
        <w:r w:rsidRPr="00031BC5">
          <w:rPr>
            <w:rStyle w:val="Hyperlink"/>
            <w:rFonts w:ascii="Arial" w:hAnsi="Arial" w:cs="Arial"/>
          </w:rPr>
          <w:t>https://www.cipd.org/en/knowledge/factsheets/succession-planning-factsheet/</w:t>
        </w:r>
      </w:hyperlink>
      <w:r w:rsidRPr="00031BC5">
        <w:rPr>
          <w:rFonts w:ascii="Arial" w:hAnsi="Arial" w:cs="Arial"/>
        </w:rPr>
        <w:t xml:space="preserve"> (Accessed: 2 October 2026).</w:t>
      </w:r>
    </w:p>
    <w:p w14:paraId="6DC0FC2B" w14:textId="77777777" w:rsidR="00FF52D5" w:rsidRPr="00031BC5" w:rsidRDefault="00FF52D5" w:rsidP="00FF52D5">
      <w:pPr>
        <w:jc w:val="both"/>
        <w:rPr>
          <w:rFonts w:ascii="Arial" w:hAnsi="Arial" w:cs="Arial"/>
        </w:rPr>
      </w:pPr>
      <w:r w:rsidRPr="00031BC5">
        <w:rPr>
          <w:rFonts w:ascii="Arial" w:hAnsi="Arial" w:cs="Arial"/>
        </w:rPr>
        <w:t xml:space="preserve">Chartered Institute of Personnel and Development (CIPD) (2025c) </w:t>
      </w:r>
      <w:r w:rsidRPr="00031BC5">
        <w:rPr>
          <w:rFonts w:ascii="Arial" w:hAnsi="Arial" w:cs="Arial"/>
          <w:i/>
          <w:iCs/>
        </w:rPr>
        <w:t>Talent management</w:t>
      </w:r>
      <w:r w:rsidRPr="00031BC5">
        <w:rPr>
          <w:rFonts w:ascii="Arial" w:hAnsi="Arial" w:cs="Arial"/>
        </w:rPr>
        <w:t xml:space="preserve">. Available at: </w:t>
      </w:r>
      <w:hyperlink r:id="rId14" w:history="1">
        <w:r w:rsidRPr="00031BC5">
          <w:rPr>
            <w:rStyle w:val="Hyperlink"/>
            <w:rFonts w:ascii="Arial" w:hAnsi="Arial" w:cs="Arial"/>
          </w:rPr>
          <w:t>https://prod.cipd.org/en/knowledge/factsheets/talent-factsheet/</w:t>
        </w:r>
      </w:hyperlink>
      <w:r w:rsidRPr="00031BC5">
        <w:rPr>
          <w:rFonts w:ascii="Arial" w:hAnsi="Arial" w:cs="Arial"/>
        </w:rPr>
        <w:t xml:space="preserve"> (Accessed: 2 October 2026).</w:t>
      </w:r>
    </w:p>
    <w:p w14:paraId="1F96F655" w14:textId="77777777" w:rsidR="00FF52D5" w:rsidRPr="00031BC5" w:rsidRDefault="00FF52D5" w:rsidP="00FF52D5">
      <w:pPr>
        <w:jc w:val="both"/>
        <w:rPr>
          <w:rFonts w:ascii="Arial" w:hAnsi="Arial" w:cs="Arial"/>
        </w:rPr>
      </w:pPr>
      <w:r w:rsidRPr="00031BC5">
        <w:rPr>
          <w:rFonts w:ascii="Arial" w:hAnsi="Arial" w:cs="Arial"/>
        </w:rPr>
        <w:t xml:space="preserve">Chartered Institute of Personnel and Development (CIPD) (n.d.) </w:t>
      </w:r>
      <w:r w:rsidRPr="00031BC5">
        <w:rPr>
          <w:rFonts w:ascii="Arial" w:hAnsi="Arial" w:cs="Arial"/>
          <w:i/>
          <w:iCs/>
        </w:rPr>
        <w:t>Explore the Profession Map</w:t>
      </w:r>
      <w:r w:rsidRPr="00031BC5">
        <w:rPr>
          <w:rFonts w:ascii="Arial" w:hAnsi="Arial" w:cs="Arial"/>
        </w:rPr>
        <w:t xml:space="preserve">. Available at: </w:t>
      </w:r>
      <w:hyperlink r:id="rId15" w:history="1">
        <w:r w:rsidRPr="00031BC5">
          <w:rPr>
            <w:rStyle w:val="Hyperlink"/>
            <w:rFonts w:ascii="Arial" w:hAnsi="Arial" w:cs="Arial"/>
          </w:rPr>
          <w:t>https://prod.cipd.org/en/the-people-profession/the-profession-map/explore-the-profession-map/</w:t>
        </w:r>
      </w:hyperlink>
      <w:r w:rsidRPr="00031BC5">
        <w:rPr>
          <w:rFonts w:ascii="Arial" w:hAnsi="Arial" w:cs="Arial"/>
        </w:rPr>
        <w:t xml:space="preserve"> (Accessed: 2 October 2026).</w:t>
      </w:r>
    </w:p>
    <w:p w14:paraId="7D74E654" w14:textId="77777777" w:rsidR="00FF52D5" w:rsidRPr="00031BC5" w:rsidRDefault="00FF52D5" w:rsidP="00FF52D5">
      <w:pPr>
        <w:jc w:val="both"/>
        <w:rPr>
          <w:rFonts w:ascii="Arial" w:hAnsi="Arial" w:cs="Arial"/>
        </w:rPr>
      </w:pPr>
      <w:r w:rsidRPr="00031BC5">
        <w:rPr>
          <w:rFonts w:ascii="Arial" w:hAnsi="Arial" w:cs="Arial"/>
        </w:rPr>
        <w:t xml:space="preserve">Dweck, C.S. (2006) </w:t>
      </w:r>
      <w:r w:rsidRPr="00031BC5">
        <w:rPr>
          <w:rFonts w:ascii="Arial" w:hAnsi="Arial" w:cs="Arial"/>
          <w:i/>
          <w:iCs/>
        </w:rPr>
        <w:t>Mindset: The new psychology of success</w:t>
      </w:r>
      <w:r w:rsidRPr="00031BC5">
        <w:rPr>
          <w:rFonts w:ascii="Arial" w:hAnsi="Arial" w:cs="Arial"/>
        </w:rPr>
        <w:t>. New York: Random House.</w:t>
      </w:r>
    </w:p>
    <w:p w14:paraId="08B5215A" w14:textId="77777777" w:rsidR="00FF52D5" w:rsidRPr="00031BC5" w:rsidRDefault="00FF52D5" w:rsidP="00FF52D5">
      <w:pPr>
        <w:jc w:val="both"/>
        <w:rPr>
          <w:rFonts w:ascii="Arial" w:hAnsi="Arial" w:cs="Arial"/>
        </w:rPr>
      </w:pPr>
      <w:r w:rsidRPr="00031BC5">
        <w:rPr>
          <w:rFonts w:ascii="Arial" w:hAnsi="Arial" w:cs="Arial"/>
        </w:rPr>
        <w:t xml:space="preserve">Edmondson, A. (1999) ‘Psychological safety and learning behavior in work teams’, </w:t>
      </w:r>
      <w:r w:rsidRPr="00031BC5">
        <w:rPr>
          <w:rFonts w:ascii="Arial" w:hAnsi="Arial" w:cs="Arial"/>
          <w:i/>
          <w:iCs/>
        </w:rPr>
        <w:t>Administrative Science Quarterly</w:t>
      </w:r>
      <w:r w:rsidRPr="00031BC5">
        <w:rPr>
          <w:rFonts w:ascii="Arial" w:hAnsi="Arial" w:cs="Arial"/>
        </w:rPr>
        <w:t xml:space="preserve">, 44(2), pp. 350–383. Available at: </w:t>
      </w:r>
      <w:hyperlink r:id="rId16" w:history="1">
        <w:r w:rsidRPr="00031BC5">
          <w:rPr>
            <w:rStyle w:val="Hyperlink"/>
            <w:rFonts w:ascii="Arial" w:hAnsi="Arial" w:cs="Arial"/>
          </w:rPr>
          <w:t>https://doi.org/10.2307/2666999</w:t>
        </w:r>
      </w:hyperlink>
      <w:r w:rsidRPr="00031BC5">
        <w:rPr>
          <w:rFonts w:ascii="Arial" w:hAnsi="Arial" w:cs="Arial"/>
        </w:rPr>
        <w:t>.</w:t>
      </w:r>
    </w:p>
    <w:p w14:paraId="27CD1E7D" w14:textId="77777777" w:rsidR="00FF52D5" w:rsidRPr="00031BC5" w:rsidRDefault="00FF52D5" w:rsidP="00FF52D5">
      <w:pPr>
        <w:jc w:val="both"/>
        <w:rPr>
          <w:rFonts w:ascii="Arial" w:hAnsi="Arial" w:cs="Arial"/>
        </w:rPr>
      </w:pPr>
      <w:r w:rsidRPr="00031BC5">
        <w:rPr>
          <w:rFonts w:ascii="Arial" w:hAnsi="Arial" w:cs="Arial"/>
        </w:rPr>
        <w:t xml:space="preserve">Fuller, A. and Unwin, L. (2003) ‘Learning as apprentices in the contemporary UK workplace: Creating and managing expansive and restrictive participation’, </w:t>
      </w:r>
      <w:r w:rsidRPr="00031BC5">
        <w:rPr>
          <w:rFonts w:ascii="Arial" w:hAnsi="Arial" w:cs="Arial"/>
          <w:i/>
          <w:iCs/>
        </w:rPr>
        <w:t>Journal of Education and Work</w:t>
      </w:r>
      <w:r w:rsidRPr="00031BC5">
        <w:rPr>
          <w:rFonts w:ascii="Arial" w:hAnsi="Arial" w:cs="Arial"/>
        </w:rPr>
        <w:t xml:space="preserve">, 16(4), pp. 407–426. Available at: </w:t>
      </w:r>
      <w:hyperlink r:id="rId17" w:history="1">
        <w:r w:rsidRPr="00031BC5">
          <w:rPr>
            <w:rStyle w:val="Hyperlink"/>
            <w:rFonts w:ascii="Arial" w:hAnsi="Arial" w:cs="Arial"/>
          </w:rPr>
          <w:t>https://doi.org/10.1080/1363908032000093012</w:t>
        </w:r>
      </w:hyperlink>
      <w:r w:rsidRPr="00031BC5">
        <w:rPr>
          <w:rFonts w:ascii="Arial" w:hAnsi="Arial" w:cs="Arial"/>
        </w:rPr>
        <w:t>.</w:t>
      </w:r>
    </w:p>
    <w:p w14:paraId="03175C02" w14:textId="77777777" w:rsidR="00FF52D5" w:rsidRPr="00031BC5" w:rsidRDefault="00FF52D5" w:rsidP="00FF52D5">
      <w:pPr>
        <w:jc w:val="both"/>
        <w:rPr>
          <w:rFonts w:ascii="Arial" w:hAnsi="Arial" w:cs="Arial"/>
        </w:rPr>
      </w:pPr>
      <w:r w:rsidRPr="00031BC5">
        <w:rPr>
          <w:rFonts w:ascii="Arial" w:hAnsi="Arial" w:cs="Arial"/>
        </w:rPr>
        <w:t xml:space="preserve">Grzegorczyk, M., Mariniello, M., Nurski, L. and </w:t>
      </w:r>
      <w:proofErr w:type="spellStart"/>
      <w:r w:rsidRPr="00031BC5">
        <w:rPr>
          <w:rFonts w:ascii="Arial" w:hAnsi="Arial" w:cs="Arial"/>
        </w:rPr>
        <w:t>Schraepen</w:t>
      </w:r>
      <w:proofErr w:type="spellEnd"/>
      <w:r w:rsidRPr="00031BC5">
        <w:rPr>
          <w:rFonts w:ascii="Arial" w:hAnsi="Arial" w:cs="Arial"/>
        </w:rPr>
        <w:t xml:space="preserve">, T. (2021) </w:t>
      </w:r>
      <w:r w:rsidRPr="00031BC5">
        <w:rPr>
          <w:rFonts w:ascii="Arial" w:hAnsi="Arial" w:cs="Arial"/>
          <w:i/>
          <w:iCs/>
        </w:rPr>
        <w:t>Blending the physical and virtual: A hybrid model for the future of work</w:t>
      </w:r>
      <w:r w:rsidRPr="00031BC5">
        <w:rPr>
          <w:rFonts w:ascii="Arial" w:hAnsi="Arial" w:cs="Arial"/>
        </w:rPr>
        <w:t xml:space="preserve">. Policy Contribution 14/2021. Brussels: Bruegel. Available at: </w:t>
      </w:r>
      <w:hyperlink r:id="rId18" w:history="1">
        <w:r w:rsidRPr="00031BC5">
          <w:rPr>
            <w:rStyle w:val="Hyperlink"/>
            <w:rFonts w:ascii="Arial" w:hAnsi="Arial" w:cs="Arial"/>
          </w:rPr>
          <w:t>https://www.bruegel.org/system/files/wp_attachments/PC-Hybrid-work.pdf</w:t>
        </w:r>
      </w:hyperlink>
      <w:r w:rsidRPr="00031BC5">
        <w:rPr>
          <w:rFonts w:ascii="Arial" w:hAnsi="Arial" w:cs="Arial"/>
        </w:rPr>
        <w:t xml:space="preserve"> (Accessed: 2 October 2026).</w:t>
      </w:r>
    </w:p>
    <w:p w14:paraId="32316DDA" w14:textId="77777777" w:rsidR="00FF52D5" w:rsidRPr="00031BC5" w:rsidRDefault="00FF52D5" w:rsidP="00FF52D5">
      <w:pPr>
        <w:jc w:val="both"/>
        <w:rPr>
          <w:rFonts w:ascii="Arial" w:hAnsi="Arial" w:cs="Arial"/>
        </w:rPr>
      </w:pPr>
      <w:r w:rsidRPr="00031BC5">
        <w:rPr>
          <w:rFonts w:ascii="Arial" w:hAnsi="Arial" w:cs="Arial"/>
        </w:rPr>
        <w:t xml:space="preserve">Marjanovic, S., </w:t>
      </w:r>
      <w:proofErr w:type="spellStart"/>
      <w:r w:rsidRPr="00031BC5">
        <w:rPr>
          <w:rFonts w:ascii="Arial" w:hAnsi="Arial" w:cs="Arial"/>
        </w:rPr>
        <w:t>Altenhofer</w:t>
      </w:r>
      <w:proofErr w:type="spellEnd"/>
      <w:r w:rsidRPr="00031BC5">
        <w:rPr>
          <w:rFonts w:ascii="Arial" w:hAnsi="Arial" w:cs="Arial"/>
        </w:rPr>
        <w:t xml:space="preserve">, M., Hocking, L., Chataway, J. and Ling, T. (2020) ‘Innovating for improved healthcare: Sociotechnical and innovation systems perspectives and lessons from the NHS’, </w:t>
      </w:r>
      <w:r w:rsidRPr="00031BC5">
        <w:rPr>
          <w:rFonts w:ascii="Arial" w:hAnsi="Arial" w:cs="Arial"/>
          <w:i/>
          <w:iCs/>
        </w:rPr>
        <w:t>Science and Public Policy</w:t>
      </w:r>
      <w:r w:rsidRPr="00031BC5">
        <w:rPr>
          <w:rFonts w:ascii="Arial" w:hAnsi="Arial" w:cs="Arial"/>
        </w:rPr>
        <w:t xml:space="preserve">, 47(2), pp. 283–297. Available at: </w:t>
      </w:r>
      <w:hyperlink r:id="rId19" w:history="1">
        <w:r w:rsidRPr="00031BC5">
          <w:rPr>
            <w:rStyle w:val="Hyperlink"/>
            <w:rFonts w:ascii="Arial" w:hAnsi="Arial" w:cs="Arial"/>
          </w:rPr>
          <w:t>https://doi.org/10.1093/scipol/scaa005</w:t>
        </w:r>
      </w:hyperlink>
      <w:r w:rsidRPr="00031BC5">
        <w:rPr>
          <w:rFonts w:ascii="Arial" w:hAnsi="Arial" w:cs="Arial"/>
        </w:rPr>
        <w:t>.</w:t>
      </w:r>
    </w:p>
    <w:p w14:paraId="2D5015B9" w14:textId="77777777" w:rsidR="00FF52D5" w:rsidRPr="00031BC5" w:rsidRDefault="00FF52D5" w:rsidP="00FF52D5">
      <w:pPr>
        <w:jc w:val="both"/>
        <w:rPr>
          <w:rFonts w:ascii="Arial" w:hAnsi="Arial" w:cs="Arial"/>
        </w:rPr>
      </w:pPr>
      <w:r w:rsidRPr="00031BC5">
        <w:rPr>
          <w:rFonts w:ascii="Arial" w:hAnsi="Arial" w:cs="Arial"/>
        </w:rPr>
        <w:t xml:space="preserve">Ray, C. (2024) ‘Internal mobility: A review and agenda for future research’, </w:t>
      </w:r>
      <w:r w:rsidRPr="00031BC5">
        <w:rPr>
          <w:rFonts w:ascii="Arial" w:hAnsi="Arial" w:cs="Arial"/>
          <w:i/>
          <w:iCs/>
        </w:rPr>
        <w:t>Journal of Management</w:t>
      </w:r>
      <w:r w:rsidRPr="00031BC5">
        <w:rPr>
          <w:rFonts w:ascii="Arial" w:hAnsi="Arial" w:cs="Arial"/>
        </w:rPr>
        <w:t xml:space="preserve">, 50(1), pp. 264–306. Available at: </w:t>
      </w:r>
      <w:hyperlink r:id="rId20" w:history="1">
        <w:r w:rsidRPr="00031BC5">
          <w:rPr>
            <w:rStyle w:val="Hyperlink"/>
            <w:rFonts w:ascii="Arial" w:hAnsi="Arial" w:cs="Arial"/>
          </w:rPr>
          <w:t>https://doi.org/10.1177/01492063231180826</w:t>
        </w:r>
      </w:hyperlink>
      <w:r w:rsidRPr="00031BC5">
        <w:rPr>
          <w:rFonts w:ascii="Arial" w:hAnsi="Arial" w:cs="Arial"/>
        </w:rPr>
        <w:t>.</w:t>
      </w:r>
    </w:p>
    <w:p w14:paraId="745E164C" w14:textId="77777777" w:rsidR="00FF52D5" w:rsidRPr="00031BC5" w:rsidRDefault="00FF52D5" w:rsidP="00FF52D5">
      <w:pPr>
        <w:jc w:val="both"/>
        <w:rPr>
          <w:rFonts w:ascii="Arial" w:hAnsi="Arial" w:cs="Arial"/>
        </w:rPr>
      </w:pPr>
      <w:r w:rsidRPr="00031BC5">
        <w:rPr>
          <w:rFonts w:ascii="Arial" w:hAnsi="Arial" w:cs="Arial"/>
        </w:rPr>
        <w:t xml:space="preserve">Ryan, R.M. and Deci, E.L. (2000) ‘Self-determination theory and the facilitation of intrinsic motivation, social development, and well-being’, </w:t>
      </w:r>
      <w:r w:rsidRPr="00031BC5">
        <w:rPr>
          <w:rFonts w:ascii="Arial" w:hAnsi="Arial" w:cs="Arial"/>
          <w:i/>
          <w:iCs/>
        </w:rPr>
        <w:t>American Psychologist</w:t>
      </w:r>
      <w:r w:rsidRPr="00031BC5">
        <w:rPr>
          <w:rFonts w:ascii="Arial" w:hAnsi="Arial" w:cs="Arial"/>
        </w:rPr>
        <w:t xml:space="preserve">, 55(1), pp. 68–78. Available at: </w:t>
      </w:r>
      <w:hyperlink r:id="rId21" w:history="1">
        <w:r w:rsidRPr="00031BC5">
          <w:rPr>
            <w:rStyle w:val="Hyperlink"/>
            <w:rFonts w:ascii="Arial" w:hAnsi="Arial" w:cs="Arial"/>
          </w:rPr>
          <w:t>https://doi.org/10.1037/0003-066X.55.1.68</w:t>
        </w:r>
      </w:hyperlink>
      <w:r w:rsidRPr="00031BC5">
        <w:rPr>
          <w:rFonts w:ascii="Arial" w:hAnsi="Arial" w:cs="Arial"/>
        </w:rPr>
        <w:t>.</w:t>
      </w:r>
    </w:p>
    <w:p w14:paraId="588A555F" w14:textId="77777777" w:rsidR="00FF52D5" w:rsidRPr="00031BC5" w:rsidRDefault="00FF52D5" w:rsidP="00FF52D5">
      <w:pPr>
        <w:jc w:val="both"/>
        <w:rPr>
          <w:rFonts w:ascii="Arial" w:hAnsi="Arial" w:cs="Arial"/>
        </w:rPr>
      </w:pPr>
      <w:r w:rsidRPr="00031BC5">
        <w:rPr>
          <w:rFonts w:ascii="Arial" w:hAnsi="Arial" w:cs="Arial"/>
        </w:rPr>
        <w:t xml:space="preserve">Senge, P.M. (1990) </w:t>
      </w:r>
      <w:r w:rsidRPr="00031BC5">
        <w:rPr>
          <w:rFonts w:ascii="Arial" w:hAnsi="Arial" w:cs="Arial"/>
          <w:i/>
          <w:iCs/>
        </w:rPr>
        <w:t>The fifth discipline: The art and practice of the learning organization</w:t>
      </w:r>
      <w:r w:rsidRPr="00031BC5">
        <w:rPr>
          <w:rFonts w:ascii="Arial" w:hAnsi="Arial" w:cs="Arial"/>
        </w:rPr>
        <w:t>. New York: Doubleday.</w:t>
      </w:r>
    </w:p>
    <w:p w14:paraId="4DFA0FC7" w14:textId="77777777" w:rsidR="00FF52D5" w:rsidRPr="00031BC5" w:rsidRDefault="00FF52D5" w:rsidP="00FF52D5">
      <w:pPr>
        <w:jc w:val="both"/>
        <w:rPr>
          <w:rFonts w:ascii="Arial" w:hAnsi="Arial" w:cs="Arial"/>
        </w:rPr>
      </w:pPr>
      <w:proofErr w:type="spellStart"/>
      <w:r w:rsidRPr="00031BC5">
        <w:rPr>
          <w:rFonts w:ascii="Arial" w:hAnsi="Arial" w:cs="Arial"/>
        </w:rPr>
        <w:t>Silapurem</w:t>
      </w:r>
      <w:proofErr w:type="spellEnd"/>
      <w:r w:rsidRPr="00031BC5">
        <w:rPr>
          <w:rFonts w:ascii="Arial" w:hAnsi="Arial" w:cs="Arial"/>
        </w:rPr>
        <w:t xml:space="preserve">, L., Slemp, G.R. and Jarden, A. (2024) ‘Longitudinal job crafting research: A meta-analysis’, </w:t>
      </w:r>
      <w:r w:rsidRPr="00031BC5">
        <w:rPr>
          <w:rFonts w:ascii="Arial" w:hAnsi="Arial" w:cs="Arial"/>
          <w:i/>
          <w:iCs/>
        </w:rPr>
        <w:t>International Journal of Applied Positive Psychology</w:t>
      </w:r>
      <w:r w:rsidRPr="00031BC5">
        <w:rPr>
          <w:rFonts w:ascii="Arial" w:hAnsi="Arial" w:cs="Arial"/>
        </w:rPr>
        <w:t xml:space="preserve">, 9, pp. 899–933. Available at: </w:t>
      </w:r>
      <w:hyperlink r:id="rId22" w:history="1">
        <w:r w:rsidRPr="00031BC5">
          <w:rPr>
            <w:rStyle w:val="Hyperlink"/>
            <w:rFonts w:ascii="Arial" w:hAnsi="Arial" w:cs="Arial"/>
          </w:rPr>
          <w:t>https://doi.org/10.1007/s41042-024-00159-0</w:t>
        </w:r>
      </w:hyperlink>
      <w:r w:rsidRPr="00031BC5">
        <w:rPr>
          <w:rFonts w:ascii="Arial" w:hAnsi="Arial" w:cs="Arial"/>
        </w:rPr>
        <w:t>.</w:t>
      </w:r>
    </w:p>
    <w:p w14:paraId="0D3C1F36" w14:textId="77777777" w:rsidR="00FF52D5" w:rsidRPr="00031BC5" w:rsidRDefault="00FF52D5" w:rsidP="00FF52D5">
      <w:pPr>
        <w:jc w:val="both"/>
        <w:rPr>
          <w:rFonts w:ascii="Arial" w:hAnsi="Arial" w:cs="Arial"/>
        </w:rPr>
      </w:pPr>
      <w:r w:rsidRPr="00031BC5">
        <w:rPr>
          <w:rFonts w:ascii="Arial" w:hAnsi="Arial" w:cs="Arial"/>
        </w:rPr>
        <w:t xml:space="preserve">Tambe, P., Cappelli, P. and Yakubovich, V. (2019) ‘Artificial intelligence in human resources management: Challenges and a path forward’, </w:t>
      </w:r>
      <w:r w:rsidRPr="00031BC5">
        <w:rPr>
          <w:rFonts w:ascii="Arial" w:hAnsi="Arial" w:cs="Arial"/>
          <w:i/>
          <w:iCs/>
        </w:rPr>
        <w:t>California Management Review</w:t>
      </w:r>
      <w:r w:rsidRPr="00031BC5">
        <w:rPr>
          <w:rFonts w:ascii="Arial" w:hAnsi="Arial" w:cs="Arial"/>
        </w:rPr>
        <w:t xml:space="preserve">, 61(4), pp. 15–42. Available at: </w:t>
      </w:r>
      <w:hyperlink r:id="rId23" w:history="1">
        <w:r w:rsidRPr="00031BC5">
          <w:rPr>
            <w:rStyle w:val="Hyperlink"/>
            <w:rFonts w:ascii="Arial" w:hAnsi="Arial" w:cs="Arial"/>
          </w:rPr>
          <w:t>https://doi.org/10.1177/0008125619867910</w:t>
        </w:r>
      </w:hyperlink>
      <w:r w:rsidRPr="00031BC5">
        <w:rPr>
          <w:rFonts w:ascii="Arial" w:hAnsi="Arial" w:cs="Arial"/>
        </w:rPr>
        <w:t>.</w:t>
      </w:r>
    </w:p>
    <w:p w14:paraId="55196EB0" w14:textId="77777777" w:rsidR="00FF52D5" w:rsidRPr="00031BC5" w:rsidRDefault="00FF52D5" w:rsidP="00FF52D5">
      <w:pPr>
        <w:jc w:val="both"/>
        <w:rPr>
          <w:rFonts w:ascii="Arial" w:hAnsi="Arial" w:cs="Arial"/>
        </w:rPr>
      </w:pPr>
    </w:p>
    <w:p w14:paraId="6958959E" w14:textId="77777777" w:rsidR="00FF52D5" w:rsidRPr="00031BC5" w:rsidRDefault="00FF52D5" w:rsidP="00FF52D5">
      <w:pPr>
        <w:jc w:val="both"/>
        <w:rPr>
          <w:rFonts w:ascii="Arial" w:hAnsi="Arial" w:cs="Arial"/>
        </w:rPr>
      </w:pPr>
    </w:p>
    <w:p w14:paraId="2EB032C5" w14:textId="77777777" w:rsidR="00FF52D5" w:rsidRPr="00031BC5" w:rsidRDefault="00FF52D5" w:rsidP="00FF52D5">
      <w:pPr>
        <w:jc w:val="both"/>
        <w:rPr>
          <w:rFonts w:ascii="Arial" w:hAnsi="Arial" w:cs="Arial"/>
        </w:rPr>
      </w:pPr>
    </w:p>
    <w:p w14:paraId="4A5B8050" w14:textId="77777777" w:rsidR="00FF52D5" w:rsidRPr="00031BC5" w:rsidRDefault="00FF52D5" w:rsidP="00FF52D5">
      <w:pPr>
        <w:jc w:val="both"/>
        <w:rPr>
          <w:rFonts w:ascii="Arial" w:hAnsi="Arial" w:cs="Arial"/>
        </w:rPr>
      </w:pPr>
    </w:p>
    <w:p w14:paraId="12AF8953" w14:textId="77777777" w:rsidR="00FF52D5" w:rsidRPr="00031BC5" w:rsidRDefault="00FF52D5" w:rsidP="00FF52D5">
      <w:pPr>
        <w:jc w:val="both"/>
        <w:rPr>
          <w:rFonts w:ascii="Arial" w:hAnsi="Arial" w:cs="Arial"/>
        </w:rPr>
      </w:pPr>
    </w:p>
    <w:p w14:paraId="2BFCBCCE" w14:textId="77777777" w:rsidR="00FF52D5" w:rsidRPr="00031BC5" w:rsidRDefault="00FF52D5" w:rsidP="00FF52D5">
      <w:pPr>
        <w:jc w:val="both"/>
        <w:rPr>
          <w:rFonts w:ascii="Arial" w:hAnsi="Arial" w:cs="Arial"/>
        </w:rPr>
      </w:pPr>
    </w:p>
    <w:p w14:paraId="594F8CA4" w14:textId="77777777" w:rsidR="00FF52D5" w:rsidRPr="00031BC5" w:rsidRDefault="00FF52D5" w:rsidP="00FF52D5">
      <w:pPr>
        <w:jc w:val="both"/>
        <w:rPr>
          <w:rFonts w:ascii="Arial" w:hAnsi="Arial" w:cs="Arial"/>
        </w:rPr>
      </w:pPr>
    </w:p>
    <w:p w14:paraId="57A83205" w14:textId="77777777" w:rsidR="00FF52D5" w:rsidRPr="00031BC5" w:rsidRDefault="00FF52D5" w:rsidP="00FF52D5">
      <w:pPr>
        <w:jc w:val="both"/>
        <w:rPr>
          <w:rFonts w:ascii="Arial" w:hAnsi="Arial" w:cs="Arial"/>
        </w:rPr>
      </w:pPr>
    </w:p>
    <w:p w14:paraId="42C88A10" w14:textId="77777777" w:rsidR="00FF52D5" w:rsidRPr="00031BC5" w:rsidRDefault="00FF52D5" w:rsidP="00FF52D5">
      <w:pPr>
        <w:jc w:val="both"/>
        <w:rPr>
          <w:rFonts w:ascii="Arial" w:hAnsi="Arial" w:cs="Arial"/>
        </w:rPr>
      </w:pPr>
    </w:p>
    <w:p w14:paraId="28378022" w14:textId="77777777" w:rsidR="00FF52D5" w:rsidRPr="00031BC5" w:rsidRDefault="00FF52D5" w:rsidP="00FF52D5">
      <w:pPr>
        <w:jc w:val="both"/>
        <w:rPr>
          <w:rFonts w:ascii="Arial" w:hAnsi="Arial" w:cs="Arial"/>
        </w:rPr>
      </w:pPr>
    </w:p>
    <w:p w14:paraId="353985BC" w14:textId="77777777" w:rsidR="00FF52D5" w:rsidRPr="00031BC5" w:rsidRDefault="00FF52D5" w:rsidP="00FF52D5">
      <w:pPr>
        <w:jc w:val="both"/>
        <w:rPr>
          <w:rFonts w:ascii="Arial" w:hAnsi="Arial" w:cs="Arial"/>
        </w:rPr>
      </w:pPr>
    </w:p>
    <w:sectPr w:rsidR="00FF52D5" w:rsidRPr="00031B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22F"/>
    <w:rsid w:val="00031BC5"/>
    <w:rsid w:val="00055EFB"/>
    <w:rsid w:val="001150F4"/>
    <w:rsid w:val="00255791"/>
    <w:rsid w:val="006B122F"/>
    <w:rsid w:val="0072053B"/>
    <w:rsid w:val="007D4B72"/>
    <w:rsid w:val="00AF0A44"/>
    <w:rsid w:val="00C94588"/>
    <w:rsid w:val="00D60C3B"/>
    <w:rsid w:val="00E039A9"/>
    <w:rsid w:val="00FF52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83B8B"/>
  <w15:chartTrackingRefBased/>
  <w15:docId w15:val="{07DC093D-18A7-4917-A23C-BB4EE8488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50F4"/>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1150F4"/>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B122F"/>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6B122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B122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B122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B122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B122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B122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50F4"/>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1150F4"/>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6B122F"/>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6B122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B122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B122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B122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B122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B122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B1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1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22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122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B122F"/>
    <w:pPr>
      <w:spacing w:before="160"/>
      <w:jc w:val="center"/>
    </w:pPr>
    <w:rPr>
      <w:i/>
      <w:iCs/>
      <w:color w:val="404040" w:themeColor="text1" w:themeTint="BF"/>
    </w:rPr>
  </w:style>
  <w:style w:type="character" w:customStyle="1" w:styleId="QuoteChar">
    <w:name w:val="Quote Char"/>
    <w:basedOn w:val="DefaultParagraphFont"/>
    <w:link w:val="Quote"/>
    <w:uiPriority w:val="29"/>
    <w:rsid w:val="006B122F"/>
    <w:rPr>
      <w:i/>
      <w:iCs/>
      <w:color w:val="404040" w:themeColor="text1" w:themeTint="BF"/>
    </w:rPr>
  </w:style>
  <w:style w:type="paragraph" w:styleId="ListParagraph">
    <w:name w:val="List Paragraph"/>
    <w:basedOn w:val="Normal"/>
    <w:uiPriority w:val="34"/>
    <w:qFormat/>
    <w:rsid w:val="006B122F"/>
    <w:pPr>
      <w:ind w:left="720"/>
      <w:contextualSpacing/>
    </w:pPr>
  </w:style>
  <w:style w:type="character" w:styleId="IntenseEmphasis">
    <w:name w:val="Intense Emphasis"/>
    <w:basedOn w:val="DefaultParagraphFont"/>
    <w:uiPriority w:val="21"/>
    <w:qFormat/>
    <w:rsid w:val="006B122F"/>
    <w:rPr>
      <w:i/>
      <w:iCs/>
      <w:color w:val="0F4761" w:themeColor="accent1" w:themeShade="BF"/>
    </w:rPr>
  </w:style>
  <w:style w:type="paragraph" w:styleId="IntenseQuote">
    <w:name w:val="Intense Quote"/>
    <w:basedOn w:val="Normal"/>
    <w:next w:val="Normal"/>
    <w:link w:val="IntenseQuoteChar"/>
    <w:uiPriority w:val="30"/>
    <w:qFormat/>
    <w:rsid w:val="006B1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122F"/>
    <w:rPr>
      <w:i/>
      <w:iCs/>
      <w:color w:val="0F4761" w:themeColor="accent1" w:themeShade="BF"/>
    </w:rPr>
  </w:style>
  <w:style w:type="character" w:styleId="IntenseReference">
    <w:name w:val="Intense Reference"/>
    <w:basedOn w:val="DefaultParagraphFont"/>
    <w:uiPriority w:val="32"/>
    <w:qFormat/>
    <w:rsid w:val="006B122F"/>
    <w:rPr>
      <w:b/>
      <w:bCs/>
      <w:smallCaps/>
      <w:color w:val="0F4761" w:themeColor="accent1" w:themeShade="BF"/>
      <w:spacing w:val="5"/>
    </w:rPr>
  </w:style>
  <w:style w:type="character" w:styleId="Hyperlink">
    <w:name w:val="Hyperlink"/>
    <w:basedOn w:val="DefaultParagraphFont"/>
    <w:uiPriority w:val="99"/>
    <w:unhideWhenUsed/>
    <w:rsid w:val="00FF52D5"/>
    <w:rPr>
      <w:color w:val="467886" w:themeColor="hyperlink"/>
      <w:u w:val="single"/>
    </w:rPr>
  </w:style>
  <w:style w:type="character" w:styleId="UnresolvedMention">
    <w:name w:val="Unresolved Mention"/>
    <w:basedOn w:val="DefaultParagraphFont"/>
    <w:uiPriority w:val="99"/>
    <w:semiHidden/>
    <w:unhideWhenUsed/>
    <w:rsid w:val="00FF52D5"/>
    <w:rPr>
      <w:color w:val="605E5C"/>
      <w:shd w:val="clear" w:color="auto" w:fill="E1DFDD"/>
    </w:rPr>
  </w:style>
  <w:style w:type="paragraph" w:styleId="TOCHeading">
    <w:name w:val="TOC Heading"/>
    <w:basedOn w:val="Heading1"/>
    <w:next w:val="Normal"/>
    <w:uiPriority w:val="39"/>
    <w:unhideWhenUsed/>
    <w:qFormat/>
    <w:rsid w:val="00FF52D5"/>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F52D5"/>
    <w:pPr>
      <w:spacing w:after="100"/>
    </w:pPr>
  </w:style>
  <w:style w:type="paragraph" w:styleId="TOC2">
    <w:name w:val="toc 2"/>
    <w:basedOn w:val="Normal"/>
    <w:next w:val="Normal"/>
    <w:autoRedefine/>
    <w:uiPriority w:val="39"/>
    <w:unhideWhenUsed/>
    <w:rsid w:val="00FF52D5"/>
    <w:pPr>
      <w:spacing w:after="100"/>
      <w:ind w:left="240"/>
    </w:pPr>
  </w:style>
  <w:style w:type="paragraph" w:styleId="TOC3">
    <w:name w:val="toc 3"/>
    <w:basedOn w:val="Normal"/>
    <w:next w:val="Normal"/>
    <w:autoRedefine/>
    <w:uiPriority w:val="39"/>
    <w:unhideWhenUsed/>
    <w:rsid w:val="00FF52D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ipd.org/en/knowledge/factsheets/succession-planning-factsheet/" TargetMode="External"/><Relationship Id="rId18" Type="http://schemas.openxmlformats.org/officeDocument/2006/relationships/hyperlink" Target="https://www.bruegel.org/system/files/wp_attachments/PC-Hybrid-work.pdf" TargetMode="External"/><Relationship Id="rId3" Type="http://schemas.openxmlformats.org/officeDocument/2006/relationships/settings" Target="settings.xml"/><Relationship Id="rId21" Type="http://schemas.openxmlformats.org/officeDocument/2006/relationships/hyperlink" Target="https://doi.org/10.1037/0003-066X.55.1.68" TargetMode="External"/><Relationship Id="rId7" Type="http://schemas.openxmlformats.org/officeDocument/2006/relationships/image" Target="media/image3.png"/><Relationship Id="rId12" Type="http://schemas.openxmlformats.org/officeDocument/2006/relationships/hyperlink" Target="https://www.cipd.org/en/knowledge/factsheets/strategic-hrm-factsheet/" TargetMode="External"/><Relationship Id="rId17" Type="http://schemas.openxmlformats.org/officeDocument/2006/relationships/hyperlink" Target="https://doi.org/10.1080/136390803200009301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2307/2666999" TargetMode="External"/><Relationship Id="rId20" Type="http://schemas.openxmlformats.org/officeDocument/2006/relationships/hyperlink" Target="https://doi.org/10.1177/01492063231180826"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177/0950017013512714"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prod.cipd.org/en/the-people-profession/the-profession-map/explore-the-profession-map/" TargetMode="External"/><Relationship Id="rId23" Type="http://schemas.openxmlformats.org/officeDocument/2006/relationships/hyperlink" Target="https://doi.org/10.1177/0008125619867910" TargetMode="External"/><Relationship Id="rId10" Type="http://schemas.openxmlformats.org/officeDocument/2006/relationships/hyperlink" Target="https://doi.org/10.1038/s41586-024-07500-2" TargetMode="External"/><Relationship Id="rId19" Type="http://schemas.openxmlformats.org/officeDocument/2006/relationships/hyperlink" Target="https://doi.org/10.1093/scipol/scaa005" TargetMode="External"/><Relationship Id="rId4" Type="http://schemas.openxmlformats.org/officeDocument/2006/relationships/webSettings" Target="webSettings.xml"/><Relationship Id="rId9" Type="http://schemas.openxmlformats.org/officeDocument/2006/relationships/hyperlink" Target="https://doi.org/10.1007/s10676-021-09619-6" TargetMode="External"/><Relationship Id="rId14" Type="http://schemas.openxmlformats.org/officeDocument/2006/relationships/hyperlink" Target="https://prod.cipd.org/en/knowledge/factsheets/talent-factsheet/" TargetMode="External"/><Relationship Id="rId22" Type="http://schemas.openxmlformats.org/officeDocument/2006/relationships/hyperlink" Target="https://doi.org/10.1007/s41042-024-0015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32D1C-12DA-492C-81F0-1A527EC83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13</Pages>
  <Words>3981</Words>
  <Characters>22697</Characters>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2026-10-14T22:01:00Z</dcterms:created>
  <dcterms:modified xsi:type="dcterms:W3CDTF">2026-10-14T23:04:00Z</dcterms:modified>
</cp:coreProperties>
</file>