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8FD" w14:textId="43B44A84" w:rsidR="00284040" w:rsidRPr="00F600F9" w:rsidRDefault="00284040" w:rsidP="00284040">
      <w:pPr>
        <w:jc w:val="center"/>
        <w:rPr>
          <w:rFonts w:ascii="Arial" w:hAnsi="Arial" w:cs="Arial"/>
          <w:sz w:val="28"/>
          <w:szCs w:val="28"/>
        </w:rPr>
      </w:pPr>
      <w:r w:rsidRPr="00F600F9">
        <w:rPr>
          <w:rFonts w:ascii="Arial" w:hAnsi="Arial" w:cs="Arial"/>
          <w:sz w:val="28"/>
          <w:szCs w:val="28"/>
        </w:rPr>
        <w:t>BMMB7012 – Marketing Management</w:t>
      </w:r>
    </w:p>
    <w:p w14:paraId="1ED44439" w14:textId="77777777" w:rsidR="00284040" w:rsidRDefault="00284040" w:rsidP="00284040">
      <w:pPr>
        <w:jc w:val="center"/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14:paraId="504A0F08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6C6B2D70" w14:textId="77777777" w:rsidTr="004D6FE5">
        <w:trPr>
          <w:jc w:val="center"/>
        </w:trPr>
        <w:tc>
          <w:tcPr>
            <w:tcW w:w="9016" w:type="dxa"/>
          </w:tcPr>
          <w:p w14:paraId="442F74F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6BA6A6AE" w14:textId="39B10895" w:rsidR="00284040" w:rsidRDefault="00BF732F" w:rsidP="004D6FE5">
            <w:pPr>
              <w:jc w:val="center"/>
              <w:rPr>
                <w:rFonts w:ascii="Arial" w:hAnsi="Arial" w:cs="Arial"/>
              </w:rPr>
            </w:pPr>
            <w:hyperlink r:id="rId4" w:history="1">
              <w:r w:rsidRPr="00127BC5">
                <w:rPr>
                  <w:rStyle w:val="a4"/>
                  <w:rFonts w:ascii="Arial" w:hAnsi="Arial" w:cs="Arial"/>
                </w:rPr>
                <w:t>https://web.microsoftstream.com/video/0f3ad8b1-e0c8-403f-a0ab-18b098664ab2?list=studio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73554C9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A67D53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6BB2410" w14:textId="77777777" w:rsidR="00284040" w:rsidRDefault="00284040" w:rsidP="00284040">
      <w:pPr>
        <w:jc w:val="center"/>
        <w:rPr>
          <w:rFonts w:ascii="Arial" w:hAnsi="Arial" w:cs="Arial"/>
        </w:rPr>
      </w:pPr>
    </w:p>
    <w:p w14:paraId="346355C0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508051A6" w14:textId="77777777" w:rsidTr="004D6FE5">
        <w:trPr>
          <w:jc w:val="center"/>
        </w:trPr>
        <w:tc>
          <w:tcPr>
            <w:tcW w:w="9016" w:type="dxa"/>
          </w:tcPr>
          <w:p w14:paraId="61DD7BB8" w14:textId="337AD735" w:rsidR="00284040" w:rsidRDefault="00284040" w:rsidP="004D6FE5">
            <w:pPr>
              <w:jc w:val="center"/>
              <w:rPr>
                <w:rFonts w:ascii="Arial" w:eastAsiaTheme="minorEastAsia" w:hAnsi="Arial" w:cs="Arial"/>
                <w:lang w:eastAsia="zh-CN"/>
              </w:rPr>
            </w:pPr>
          </w:p>
          <w:p w14:paraId="7CEBB529" w14:textId="77777777" w:rsidR="00BF732F" w:rsidRPr="00BF732F" w:rsidRDefault="00BF732F" w:rsidP="00BF732F">
            <w:pPr>
              <w:widowControl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CNNIC (2022) </w:t>
            </w:r>
            <w:r w:rsidRPr="00BF732F">
              <w:rPr>
                <w:rFonts w:ascii="Arial" w:eastAsia="等线" w:hAnsi="Arial" w:cs="Arial"/>
                <w:i/>
                <w:iCs/>
                <w:kern w:val="2"/>
                <w:sz w:val="21"/>
                <w:lang w:val="en-US" w:eastAsia="zh-CN"/>
              </w:rPr>
              <w:t>The 49th Statistical Report on Internet Development in China</w:t>
            </w: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. Available at: </w:t>
            </w:r>
            <w:hyperlink r:id="rId5" w:history="1">
              <w:r w:rsidRPr="00BF732F">
                <w:rPr>
                  <w:rFonts w:ascii="Arial" w:eastAsia="等线" w:hAnsi="Arial" w:cs="Arial"/>
                  <w:color w:val="0563C1"/>
                  <w:kern w:val="2"/>
                  <w:sz w:val="21"/>
                  <w:u w:val="single"/>
                  <w:lang w:val="en-US" w:eastAsia="zh-CN"/>
                </w:rPr>
                <w:t>http://www.cnnic.cn/hlwfzyj/hlwxzbg/hlwtjbg/202202/t20220225_71727.htm</w:t>
              </w:r>
            </w:hyperlink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(Accessed: 25 February 2022) </w:t>
            </w:r>
          </w:p>
          <w:p w14:paraId="7991EC8A" w14:textId="77777777" w:rsidR="00BF732F" w:rsidRPr="00BF732F" w:rsidRDefault="00BF732F" w:rsidP="00BF732F">
            <w:pPr>
              <w:widowControl w:val="0"/>
              <w:wordWrap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Department of Economic and Social Affairs (2022) World Economic Situation and Prospects as of mid-2022, Available at: https://www.un.org/development/desa/dpad/publication/world-economic-situation-and-prospects-as-of-mid-2022/ (Accessed: 23 May 2022).</w:t>
            </w:r>
          </w:p>
          <w:p w14:paraId="6E2C53B4" w14:textId="77777777" w:rsidR="00BF732F" w:rsidRPr="00BF732F" w:rsidRDefault="00BF732F" w:rsidP="00BF732F">
            <w:pPr>
              <w:widowControl w:val="0"/>
              <w:wordWrap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Fortune List (2020) Procter &amp; Gamble. Available at: http://www.fortunechina.com/america500/27/2020(Accessed: 30 December 2020).</w:t>
            </w:r>
          </w:p>
          <w:p w14:paraId="35941E0C" w14:textId="77777777" w:rsidR="00BF732F" w:rsidRPr="00BF732F" w:rsidRDefault="00BF732F" w:rsidP="00BF732F">
            <w:pPr>
              <w:widowControl w:val="0"/>
              <w:wordWrap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Gu, J. (2022) Research on Precision Marketing Strategy and Personalized Recommendation Method Based on Big Data Drive. Wireless Communications and Mobile Computing, 2022.</w:t>
            </w:r>
          </w:p>
          <w:p w14:paraId="0E517D5E" w14:textId="77777777" w:rsidR="00BF732F" w:rsidRPr="00BF732F" w:rsidRDefault="00BF732F" w:rsidP="00BF732F">
            <w:pPr>
              <w:widowControl w:val="0"/>
              <w:wordWrap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proofErr w:type="spellStart"/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Mahasuar</w:t>
            </w:r>
            <w:proofErr w:type="spellEnd"/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, K. (2019) </w:t>
            </w:r>
            <w:r w:rsidRPr="00BF732F">
              <w:rPr>
                <w:rFonts w:ascii="Arial" w:eastAsia="等线" w:hAnsi="Arial" w:cs="Arial"/>
                <w:kern w:val="2"/>
                <w:sz w:val="21"/>
                <w:lang w:eastAsia="zh-CN"/>
              </w:rPr>
              <w:t>‘</w:t>
            </w: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Strategic innovations in distribution channels – an emerging market perspective and case studies from </w:t>
            </w:r>
            <w:proofErr w:type="gramStart"/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consumer packaged</w:t>
            </w:r>
            <w:proofErr w:type="gramEnd"/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 goods (CPG) industry of India</w:t>
            </w:r>
            <w:r w:rsidRPr="00BF732F">
              <w:rPr>
                <w:rFonts w:ascii="Arial" w:eastAsia="等线" w:hAnsi="Arial" w:cs="Arial"/>
                <w:kern w:val="2"/>
                <w:sz w:val="21"/>
                <w:lang w:eastAsia="zh-CN"/>
              </w:rPr>
              <w:t xml:space="preserve">’, </w:t>
            </w:r>
            <w:r w:rsidRPr="00BF732F">
              <w:rPr>
                <w:rFonts w:ascii="Arial" w:eastAsia="等线" w:hAnsi="Arial" w:cs="Arial"/>
                <w:i/>
                <w:iCs/>
                <w:kern w:val="2"/>
                <w:sz w:val="21"/>
                <w:lang w:val="en-US" w:eastAsia="zh-CN"/>
              </w:rPr>
              <w:t>Strategic Direction</w:t>
            </w: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, 35(1), pp.13–16. doi:10.1108/sd-07-2018-0158.</w:t>
            </w:r>
          </w:p>
          <w:p w14:paraId="67432BCE" w14:textId="77777777" w:rsidR="00BF732F" w:rsidRPr="00BF732F" w:rsidRDefault="00BF732F" w:rsidP="00BF732F">
            <w:pPr>
              <w:widowControl w:val="0"/>
              <w:wordWrap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Nelson, Scott (1996) </w:t>
            </w:r>
            <w:r w:rsidRPr="00BF732F">
              <w:rPr>
                <w:rFonts w:ascii="Arial" w:eastAsia="等线" w:hAnsi="Arial" w:cs="Arial"/>
                <w:kern w:val="2"/>
                <w:sz w:val="21"/>
                <w:lang w:eastAsia="zh-CN"/>
              </w:rPr>
              <w:t>‘</w:t>
            </w: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Database Marketing, Part 1</w:t>
            </w:r>
            <w:r w:rsidRPr="00BF732F">
              <w:rPr>
                <w:rFonts w:ascii="Arial" w:eastAsia="等线" w:hAnsi="Arial" w:cs="Arial"/>
                <w:kern w:val="2"/>
                <w:sz w:val="21"/>
                <w:lang w:eastAsia="zh-CN"/>
              </w:rPr>
              <w:t>’,</w:t>
            </w: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 Gartner Group Research Report, August 1996.</w:t>
            </w:r>
          </w:p>
          <w:p w14:paraId="16F46191" w14:textId="77777777" w:rsidR="00BF732F" w:rsidRPr="00BF732F" w:rsidRDefault="00BF732F" w:rsidP="00BF732F">
            <w:pPr>
              <w:widowControl w:val="0"/>
              <w:wordWrap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Nielsen (2022) 2022 Global Annual Marketing Report. Available at: </w:t>
            </w:r>
            <w:hyperlink r:id="rId6" w:history="1">
              <w:r w:rsidRPr="00BF732F">
                <w:rPr>
                  <w:rFonts w:ascii="Arial" w:eastAsia="等线" w:hAnsi="Arial" w:cs="Arial"/>
                  <w:color w:val="0563C1"/>
                  <w:kern w:val="2"/>
                  <w:sz w:val="21"/>
                  <w:u w:val="single"/>
                  <w:lang w:val="en-US" w:eastAsia="zh-CN"/>
                </w:rPr>
                <w:t>https://annualmarketingreport.nielsen.com/</w:t>
              </w:r>
            </w:hyperlink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 (Accessed: 23 May 2022)</w:t>
            </w:r>
          </w:p>
          <w:p w14:paraId="384FC873" w14:textId="77777777" w:rsidR="00BF732F" w:rsidRPr="00BF732F" w:rsidRDefault="00BF732F" w:rsidP="00BF732F">
            <w:pPr>
              <w:widowControl w:val="0"/>
              <w:wordWrap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Sarah Vizard (2018) How L’Oréal drives marketing effectiveness and media neutrality. Available at: https://www.marketingweek.com/loreal-drives-marketing-effectiveness/ (Accessed: 23 May 2022) </w:t>
            </w:r>
          </w:p>
          <w:p w14:paraId="67C9B645" w14:textId="77777777" w:rsidR="00BF732F" w:rsidRPr="00BF732F" w:rsidRDefault="00BF732F" w:rsidP="00BF732F">
            <w:pPr>
              <w:widowControl w:val="0"/>
              <w:wordWrap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proofErr w:type="spellStart"/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Sina</w:t>
            </w:r>
            <w:proofErr w:type="spellEnd"/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 Technology (2020) The 2020 U.S. 500 list revealed. Available at: https://tech.sina.com.cn/i</w:t>
            </w: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lastRenderedPageBreak/>
              <w:t>t/2020-05-18/doc-iircuyvi3754255.shtml (Accessed: 18 May 2020).</w:t>
            </w:r>
          </w:p>
          <w:p w14:paraId="406274BF" w14:textId="77777777" w:rsidR="00BF732F" w:rsidRPr="00BF732F" w:rsidRDefault="00BF732F" w:rsidP="00BF732F">
            <w:pPr>
              <w:widowControl w:val="0"/>
              <w:wordWrap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The Procter &amp; Gamble Group'8-K filing', SEC. (Accessed: 24 </w:t>
            </w:r>
            <w:proofErr w:type="gramStart"/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February,</w:t>
            </w:r>
            <w:proofErr w:type="gramEnd"/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 2020)</w:t>
            </w:r>
          </w:p>
          <w:p w14:paraId="1C258AA5" w14:textId="77777777" w:rsidR="00BF732F" w:rsidRPr="00BF732F" w:rsidRDefault="00BF732F" w:rsidP="00BF732F">
            <w:pPr>
              <w:widowControl w:val="0"/>
              <w:wordWrap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Tien, N. H. (2019) </w:t>
            </w:r>
            <w:r w:rsidRPr="00BF732F">
              <w:rPr>
                <w:rFonts w:ascii="Arial" w:eastAsia="等线" w:hAnsi="Arial" w:cs="Arial"/>
                <w:kern w:val="2"/>
                <w:sz w:val="21"/>
                <w:lang w:eastAsia="zh-CN"/>
              </w:rPr>
              <w:t>‘</w:t>
            </w: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Comparative Analysis of Multidomestic Strategy of P&amp;G and Unilever Corporation</w:t>
            </w:r>
            <w:r w:rsidRPr="00BF732F">
              <w:rPr>
                <w:rFonts w:ascii="Arial" w:eastAsia="等线" w:hAnsi="Arial" w:cs="Arial"/>
                <w:kern w:val="2"/>
                <w:sz w:val="21"/>
                <w:lang w:eastAsia="zh-CN"/>
              </w:rPr>
              <w:t xml:space="preserve">’, </w:t>
            </w:r>
            <w:r w:rsidRPr="00BF732F">
              <w:rPr>
                <w:rFonts w:ascii="Arial" w:eastAsia="等线" w:hAnsi="Arial" w:cs="Arial"/>
                <w:i/>
                <w:iCs/>
                <w:kern w:val="2"/>
                <w:sz w:val="21"/>
                <w:lang w:val="en-US" w:eastAsia="zh-CN"/>
              </w:rPr>
              <w:t>International Journal of Foreign Trade and International Business</w:t>
            </w: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, </w:t>
            </w:r>
            <w:r w:rsidRPr="00BF732F">
              <w:rPr>
                <w:rFonts w:ascii="Arial" w:eastAsia="等线" w:hAnsi="Arial" w:cs="Arial"/>
                <w:i/>
                <w:iCs/>
                <w:kern w:val="2"/>
                <w:sz w:val="21"/>
                <w:lang w:val="en-US" w:eastAsia="zh-CN"/>
              </w:rPr>
              <w:t>1</w:t>
            </w: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(1), pp.5-8.</w:t>
            </w:r>
          </w:p>
          <w:p w14:paraId="6744ABD0" w14:textId="77777777" w:rsidR="00BF732F" w:rsidRPr="00BF732F" w:rsidRDefault="00BF732F" w:rsidP="00BF732F">
            <w:pPr>
              <w:widowControl w:val="0"/>
              <w:wordWrap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 xml:space="preserve">Weitz, B.A. and Jap, S.D. (1995) </w:t>
            </w:r>
            <w:r w:rsidRPr="00BF732F">
              <w:rPr>
                <w:rFonts w:ascii="Arial" w:eastAsia="等线" w:hAnsi="Arial" w:cs="Arial"/>
                <w:kern w:val="2"/>
                <w:sz w:val="21"/>
                <w:lang w:eastAsia="zh-CN"/>
              </w:rPr>
              <w:t>‘</w:t>
            </w: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Relationship Marketing and Distribution Channels</w:t>
            </w:r>
            <w:r w:rsidRPr="00BF732F">
              <w:rPr>
                <w:rFonts w:ascii="Arial" w:eastAsia="等线" w:hAnsi="Arial" w:cs="Arial"/>
                <w:kern w:val="2"/>
                <w:sz w:val="21"/>
                <w:lang w:eastAsia="zh-CN"/>
              </w:rPr>
              <w:t xml:space="preserve">’, </w:t>
            </w:r>
            <w:r w:rsidRPr="00BF732F">
              <w:rPr>
                <w:rFonts w:ascii="Arial" w:eastAsia="等线" w:hAnsi="Arial" w:cs="Arial"/>
                <w:i/>
                <w:iCs/>
                <w:kern w:val="2"/>
                <w:sz w:val="21"/>
                <w:lang w:val="en-US" w:eastAsia="zh-CN"/>
              </w:rPr>
              <w:t>Journal of the Academy of Marketing Science</w:t>
            </w: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, 23(4), pp.305–320. doi:10.1177/009207039502300411.</w:t>
            </w:r>
          </w:p>
          <w:p w14:paraId="50803C87" w14:textId="77777777" w:rsidR="00BF732F" w:rsidRPr="00BF732F" w:rsidRDefault="00BF732F" w:rsidP="00BF732F">
            <w:pPr>
              <w:widowControl w:val="0"/>
              <w:wordWrap w:val="0"/>
              <w:spacing w:beforeLines="20" w:before="48" w:after="0" w:line="360" w:lineRule="auto"/>
              <w:ind w:left="420" w:hangingChars="200" w:hanging="420"/>
              <w:jc w:val="both"/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</w:pPr>
            <w:r w:rsidRPr="00BF732F">
              <w:rPr>
                <w:rFonts w:ascii="Arial" w:eastAsia="等线" w:hAnsi="Arial" w:cs="Arial"/>
                <w:kern w:val="2"/>
                <w:sz w:val="21"/>
                <w:lang w:val="en-US" w:eastAsia="zh-CN"/>
              </w:rPr>
              <w:t>Wunderman Thompson (2022). Commerce Futures 2022 - Available at: https://mp.weixin.qq.com/s/g2yk3qCoYFxw5TQT-U1exw(Accessed: 23 May 2022)</w:t>
            </w:r>
          </w:p>
          <w:p w14:paraId="629EEB72" w14:textId="77777777" w:rsidR="00BF732F" w:rsidRPr="00BF732F" w:rsidRDefault="00BF732F" w:rsidP="00BF732F">
            <w:pPr>
              <w:widowControl w:val="0"/>
              <w:spacing w:after="0" w:line="240" w:lineRule="auto"/>
              <w:jc w:val="both"/>
              <w:rPr>
                <w:rFonts w:ascii="等线" w:eastAsia="等线" w:hAnsi="等线"/>
                <w:kern w:val="2"/>
                <w:sz w:val="21"/>
                <w:lang w:val="en-US" w:eastAsia="zh-CN"/>
              </w:rPr>
            </w:pPr>
          </w:p>
          <w:p w14:paraId="0A9EE054" w14:textId="77777777" w:rsidR="00BF732F" w:rsidRPr="00BF732F" w:rsidRDefault="00BF732F" w:rsidP="004D6FE5">
            <w:pPr>
              <w:jc w:val="center"/>
              <w:rPr>
                <w:rFonts w:ascii="Arial" w:eastAsiaTheme="minorEastAsia" w:hAnsi="Arial" w:cs="Arial" w:hint="eastAsia"/>
                <w:lang w:eastAsia="zh-CN"/>
              </w:rPr>
            </w:pPr>
          </w:p>
          <w:p w14:paraId="08E01AF0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18761B8B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060B5960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7C705BFD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7D85E7E0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151D7D08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7524ABD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1B09FC4B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69209599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217EBF2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0AC362D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04B33689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6A3FDF3D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F640D37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C5BB998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55EBC20D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8A4A3DA" w14:textId="77777777" w:rsidR="00B561DC" w:rsidRDefault="00B561DC"/>
    <w:sectPr w:rsidR="00B56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40"/>
    <w:rsid w:val="00284040"/>
    <w:rsid w:val="00B561DC"/>
    <w:rsid w:val="00BF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853B5"/>
  <w15:chartTrackingRefBased/>
  <w15:docId w15:val="{12B414D5-6076-4032-8239-69574628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40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4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F732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F732F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F732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0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nnualmarketingreport.nielsen.com/" TargetMode="External"/><Relationship Id="rId5" Type="http://schemas.openxmlformats.org/officeDocument/2006/relationships/hyperlink" Target="http://www.cnnic.cn/hlwfzyj/hlwxzbg/hlwtjbg/202202/t20220225_71727.htm" TargetMode="External"/><Relationship Id="rId4" Type="http://schemas.openxmlformats.org/officeDocument/2006/relationships/hyperlink" Target="https://web.microsoftstream.com/video/0f3ad8b1-e0c8-403f-a0ab-18b098664ab2?list=studi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宁</cp:lastModifiedBy>
  <cp:revision>2</cp:revision>
  <dcterms:created xsi:type="dcterms:W3CDTF">2022-04-26T16:01:00Z</dcterms:created>
  <dcterms:modified xsi:type="dcterms:W3CDTF">2022-05-31T07:34:00Z</dcterms:modified>
</cp:coreProperties>
</file>