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720" w:leftChars="0" w:firstLine="720" w:firstLineChars="0"/>
        <w:jc w:val="both"/>
        <w:rPr>
          <w:rFonts w:cstheme="minorHAnsi"/>
        </w:rPr>
      </w:pPr>
      <w:r>
        <w:rPr>
          <w:rFonts w:cstheme="minorHAnsi"/>
          <w:lang w:eastAsia="en-IN"/>
        </w:rPr>
        <w:drawing>
          <wp:inline distT="0" distB="0" distL="0" distR="0">
            <wp:extent cx="3909060" cy="1322070"/>
            <wp:effectExtent l="0" t="0" r="2540" b="11430"/>
            <wp:docPr id="3" name="Picture 3"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raxisauril.org.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226135" cy="1429789"/>
                    </a:xfrm>
                    <a:prstGeom prst="rect">
                      <a:avLst/>
                    </a:prstGeom>
                    <a:noFill/>
                    <a:ln>
                      <a:noFill/>
                    </a:ln>
                  </pic:spPr>
                </pic:pic>
              </a:graphicData>
            </a:graphic>
          </wp:inline>
        </w:drawing>
      </w:r>
    </w:p>
    <w:p>
      <w:pPr>
        <w:jc w:val="center"/>
        <w:rPr>
          <w:rFonts w:cstheme="minorHAnsi"/>
        </w:rPr>
      </w:pPr>
    </w:p>
    <w:p>
      <w:pPr>
        <w:jc w:val="center"/>
        <w:rPr>
          <w:rFonts w:cstheme="minorHAnsi"/>
        </w:rPr>
      </w:pPr>
    </w:p>
    <w:p>
      <w:pPr>
        <w:jc w:val="center"/>
        <w:rPr>
          <w:rFonts w:hint="default" w:cstheme="minorHAnsi"/>
          <w:lang w:val="en-US"/>
        </w:rPr>
      </w:pPr>
      <w:r>
        <w:rPr>
          <w:rFonts w:cstheme="minorHAnsi"/>
        </w:rPr>
        <w:t xml:space="preserve">NAME: </w:t>
      </w:r>
      <w:r>
        <w:rPr>
          <w:rFonts w:hint="default" w:cstheme="minorHAnsi"/>
          <w:lang w:val="en-US"/>
        </w:rPr>
        <w:t>NIHITH KISHORE MEDURI</w:t>
      </w:r>
    </w:p>
    <w:p>
      <w:pPr>
        <w:jc w:val="center"/>
        <w:rPr>
          <w:rFonts w:hint="default" w:cstheme="minorHAnsi"/>
          <w:lang w:val="en-US"/>
        </w:rPr>
      </w:pPr>
      <w:r>
        <w:rPr>
          <w:rFonts w:cstheme="minorHAnsi"/>
        </w:rPr>
        <w:t xml:space="preserve">STUDENT NUMBER: </w:t>
      </w:r>
      <w:r>
        <w:rPr>
          <w:rFonts w:hint="default" w:cstheme="minorHAnsi"/>
          <w:lang w:val="en-US"/>
        </w:rPr>
        <w:t>2212393</w:t>
      </w:r>
    </w:p>
    <w:p>
      <w:pPr>
        <w:jc w:val="center"/>
        <w:rPr>
          <w:rFonts w:cstheme="minorHAnsi"/>
        </w:rPr>
      </w:pPr>
    </w:p>
    <w:p>
      <w:pPr>
        <w:jc w:val="center"/>
        <w:rPr>
          <w:rFonts w:cstheme="minorHAnsi"/>
        </w:rPr>
      </w:pPr>
      <w:r>
        <w:rPr>
          <w:rFonts w:cstheme="minorHAnsi"/>
        </w:rPr>
        <w:t>MODULE: LC</w:t>
      </w:r>
      <w:r>
        <w:rPr>
          <w:rFonts w:hint="default" w:cstheme="minorHAnsi"/>
          <w:lang w:val="en-US"/>
        </w:rPr>
        <w:t>MB</w:t>
      </w:r>
      <w:bookmarkStart w:id="14" w:name="_GoBack"/>
      <w:bookmarkEnd w:id="14"/>
      <w:r>
        <w:rPr>
          <w:rFonts w:cstheme="minorHAnsi"/>
        </w:rPr>
        <w:t>7001</w:t>
      </w:r>
    </w:p>
    <w:p>
      <w:pPr>
        <w:jc w:val="center"/>
        <w:rPr>
          <w:rFonts w:cstheme="minorHAnsi"/>
        </w:rPr>
      </w:pPr>
    </w:p>
    <w:p>
      <w:pPr>
        <w:jc w:val="center"/>
        <w:rPr>
          <w:rFonts w:cstheme="minorHAnsi"/>
        </w:rPr>
      </w:pPr>
      <w:r>
        <w:rPr>
          <w:rFonts w:hint="default" w:cstheme="minorHAnsi"/>
          <w:lang w:val="en-US"/>
        </w:rPr>
        <w:t xml:space="preserve">   </w:t>
      </w:r>
      <w:r>
        <w:rPr>
          <w:rFonts w:cstheme="minorHAnsi"/>
        </w:rPr>
        <w:t>TITLE: MARKETING MANAGEMENT ASSESSMENT 2</w:t>
      </w:r>
    </w:p>
    <w:p>
      <w:pPr>
        <w:jc w:val="center"/>
        <w:rPr>
          <w:rFonts w:cstheme="minorHAnsi"/>
        </w:rPr>
      </w:pPr>
      <w:r>
        <w:rPr>
          <w:rFonts w:cstheme="minorHAnsi"/>
        </w:rPr>
        <w:t xml:space="preserve"> </w:t>
      </w:r>
    </w:p>
    <w:p>
      <w:pPr>
        <w:jc w:val="center"/>
        <w:rPr>
          <w:rFonts w:cstheme="minorHAnsi"/>
        </w:rPr>
      </w:pPr>
      <w:r>
        <w:rPr>
          <w:rFonts w:cstheme="minorHAnsi"/>
        </w:rPr>
        <w:t>LECTURER: TUSHARA BALENDRAN</w:t>
      </w:r>
    </w:p>
    <w:p>
      <w:pPr>
        <w:jc w:val="center"/>
        <w:rPr>
          <w:rFonts w:cstheme="minorHAnsi"/>
        </w:rPr>
      </w:pPr>
    </w:p>
    <w:p>
      <w:pPr>
        <w:jc w:val="center"/>
        <w:rPr>
          <w:rFonts w:cstheme="minorHAnsi"/>
        </w:rPr>
      </w:pPr>
      <w:r>
        <w:rPr>
          <w:rFonts w:cstheme="minorHAnsi"/>
        </w:rPr>
        <w:t>WORD COUNT: 2</w:t>
      </w:r>
      <w:r>
        <w:rPr>
          <w:rFonts w:hint="default" w:cstheme="minorHAnsi"/>
          <w:lang w:val="en-US"/>
        </w:rPr>
        <w:t>0</w:t>
      </w:r>
      <w:r>
        <w:rPr>
          <w:rFonts w:cstheme="minorHAnsi"/>
        </w:rPr>
        <w:t>00 WORDS OR EQUIVALENT</w:t>
      </w:r>
    </w:p>
    <w:p>
      <w:pPr>
        <w:jc w:val="center"/>
        <w:rPr>
          <w:rFonts w:cstheme="minorHAnsi"/>
        </w:rPr>
      </w:pPr>
    </w:p>
    <w:p>
      <w:pPr>
        <w:jc w:val="center"/>
        <w:rPr>
          <w:rFonts w:cstheme="minorHAnsi"/>
        </w:rPr>
      </w:pPr>
      <w:r>
        <w:rPr>
          <w:rFonts w:cstheme="minorHAnsi"/>
        </w:rPr>
        <w:t>SUBMISSION DATE: 12/01/2023</w:t>
      </w:r>
    </w:p>
    <w:p>
      <w:pPr>
        <w:jc w:val="center"/>
        <w:rPr>
          <w:rFonts w:cstheme="minorHAnsi"/>
        </w:rPr>
      </w:pPr>
    </w:p>
    <w:p>
      <w:pPr>
        <w:spacing w:line="360" w:lineRule="auto"/>
        <w:jc w:val="center"/>
        <w:rPr>
          <w:rFonts w:hint="default" w:ascii="Calibri" w:hAnsi="Calibri" w:cs="Calibri"/>
          <w:b/>
          <w:i w:val="0"/>
          <w:iCs w:val="0"/>
          <w:sz w:val="24"/>
          <w:szCs w:val="24"/>
          <w:u w:val="none"/>
        </w:rPr>
      </w:pPr>
    </w:p>
    <w:p>
      <w:pPr>
        <w:spacing w:line="360" w:lineRule="auto"/>
        <w:jc w:val="center"/>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p>
    <w:p>
      <w:pPr>
        <w:spacing w:after="0" w:line="360" w:lineRule="auto"/>
        <w:jc w:val="both"/>
        <w:rPr>
          <w:rFonts w:hint="default" w:ascii="Calibri" w:hAnsi="Calibri" w:cs="Calibri"/>
          <w:b/>
          <w:i w:val="0"/>
          <w:iCs w:val="0"/>
          <w:sz w:val="24"/>
          <w:szCs w:val="24"/>
          <w:u w:val="none"/>
        </w:rPr>
      </w:pPr>
      <w:r>
        <w:rPr>
          <w:rFonts w:hint="default" w:ascii="Calibri" w:hAnsi="Calibri" w:cs="Calibri"/>
          <w:b/>
          <w:i w:val="0"/>
          <w:iCs w:val="0"/>
          <w:sz w:val="24"/>
          <w:szCs w:val="24"/>
          <w:u w:val="none"/>
        </w:rPr>
        <w:t>Executive summary</w:t>
      </w:r>
    </w:p>
    <w:p>
      <w:pPr>
        <w:spacing w:after="0" w:line="360" w:lineRule="auto"/>
        <w:jc w:val="both"/>
        <w:rPr>
          <w:rFonts w:hint="default" w:ascii="Calibri" w:hAnsi="Calibri" w:cs="Calibri"/>
          <w:b/>
          <w:i w:val="0"/>
          <w:iCs w:val="0"/>
          <w:sz w:val="24"/>
          <w:szCs w:val="24"/>
          <w:u w:val="none"/>
        </w:rPr>
      </w:pPr>
      <w:r>
        <w:rPr>
          <w:rFonts w:hint="default" w:ascii="Calibri" w:hAnsi="Calibri" w:cs="Calibri"/>
          <w:i w:val="0"/>
          <w:iCs w:val="0"/>
          <w:sz w:val="24"/>
          <w:szCs w:val="24"/>
          <w:u w:val="none"/>
        </w:rPr>
        <w:t>Business management refers to effective management of all the business activities that help the company to achieve its strategic business objectives. This report gives an overview of the business management procedure of the reputed multinational retail company Tesco. In this context, </w:t>
      </w:r>
      <w:r>
        <w:rPr>
          <w:rFonts w:hint="default" w:ascii="Calibri" w:hAnsi="Calibri" w:cs="Calibri"/>
          <w:b/>
          <w:i w:val="0"/>
          <w:iCs w:val="0"/>
          <w:sz w:val="24"/>
          <w:szCs w:val="24"/>
          <w:u w:val="none"/>
        </w:rPr>
        <w:t xml:space="preserve">“PESTLE analysis” </w:t>
      </w:r>
      <w:r>
        <w:rPr>
          <w:rFonts w:hint="default" w:ascii="Calibri" w:hAnsi="Calibri" w:cs="Calibri"/>
          <w:i w:val="0"/>
          <w:iCs w:val="0"/>
          <w:sz w:val="24"/>
          <w:szCs w:val="24"/>
          <w:u w:val="none"/>
        </w:rPr>
        <w:t>and</w:t>
      </w:r>
      <w:r>
        <w:rPr>
          <w:rFonts w:hint="default" w:ascii="Calibri" w:hAnsi="Calibri" w:cs="Calibri"/>
          <w:b/>
          <w:i w:val="0"/>
          <w:iCs w:val="0"/>
          <w:sz w:val="24"/>
          <w:szCs w:val="24"/>
          <w:u w:val="none"/>
        </w:rPr>
        <w:t xml:space="preserve"> “SWOT analysis” </w:t>
      </w:r>
      <w:r>
        <w:rPr>
          <w:rFonts w:hint="default" w:ascii="Calibri" w:hAnsi="Calibri" w:cs="Calibri"/>
          <w:i w:val="0"/>
          <w:iCs w:val="0"/>
          <w:sz w:val="24"/>
          <w:szCs w:val="24"/>
          <w:u w:val="none"/>
        </w:rPr>
        <w:t>has been used to examine the external and internal business factors. Furthermore, </w:t>
      </w:r>
      <w:r>
        <w:rPr>
          <w:rFonts w:hint="default" w:ascii="Calibri" w:hAnsi="Calibri" w:cs="Calibri"/>
          <w:b/>
          <w:i w:val="0"/>
          <w:iCs w:val="0"/>
          <w:sz w:val="24"/>
          <w:szCs w:val="24"/>
          <w:u w:val="none"/>
        </w:rPr>
        <w:t>“Porter’s Five Forces Model”</w:t>
      </w:r>
      <w:r>
        <w:rPr>
          <w:rFonts w:hint="default" w:ascii="Calibri" w:hAnsi="Calibri" w:cs="Calibri"/>
          <w:i w:val="0"/>
          <w:iCs w:val="0"/>
          <w:sz w:val="24"/>
          <w:szCs w:val="24"/>
          <w:u w:val="none"/>
        </w:rPr>
        <w:t xml:space="preserve"> has been used to figure out the main competitive forces of the retail industry. The </w:t>
      </w:r>
      <w:r>
        <w:rPr>
          <w:rFonts w:hint="default" w:ascii="Calibri" w:hAnsi="Calibri" w:cs="Calibri"/>
          <w:b/>
          <w:i w:val="0"/>
          <w:iCs w:val="0"/>
          <w:sz w:val="24"/>
          <w:szCs w:val="24"/>
          <w:u w:val="none"/>
        </w:rPr>
        <w:t>“4Ps Marketing mix strategy”</w:t>
      </w:r>
      <w:r>
        <w:rPr>
          <w:rFonts w:hint="default" w:ascii="Calibri" w:hAnsi="Calibri" w:cs="Calibri"/>
          <w:i w:val="0"/>
          <w:iCs w:val="0"/>
          <w:sz w:val="24"/>
          <w:szCs w:val="24"/>
          <w:u w:val="none"/>
        </w:rPr>
        <w:t xml:space="preserve"> has been used to identify the product, promotion styles, place and pricing styles followed by Tesco. Along with this, the market position of Tesco has been included in this report. The finding shows that the financial stability, good market position and brand reputation of Tesco help the company to make the business sustainable. Finally, a set of recommendations such as following a </w:t>
      </w:r>
      <w:r>
        <w:rPr>
          <w:rFonts w:hint="default" w:ascii="Calibri" w:hAnsi="Calibri" w:cs="Calibri"/>
          <w:b/>
          <w:i w:val="0"/>
          <w:iCs w:val="0"/>
          <w:sz w:val="24"/>
          <w:szCs w:val="24"/>
          <w:u w:val="none"/>
        </w:rPr>
        <w:t>“competitive pricing strategy”</w:t>
      </w:r>
      <w:r>
        <w:rPr>
          <w:rFonts w:hint="default" w:ascii="Calibri" w:hAnsi="Calibri" w:cs="Calibri"/>
          <w:i w:val="0"/>
          <w:iCs w:val="0"/>
          <w:sz w:val="24"/>
          <w:szCs w:val="24"/>
          <w:u w:val="none"/>
        </w:rPr>
        <w:t xml:space="preserve"> and choosing an effective supplier has been included that help the company to improve business performance. </w:t>
      </w:r>
    </w:p>
    <w:p>
      <w:pPr>
        <w:spacing w:after="0" w:line="360" w:lineRule="auto"/>
        <w:rPr>
          <w:rFonts w:hint="default" w:ascii="Calibri" w:hAnsi="Calibri" w:cs="Calibri"/>
          <w:b/>
          <w:i w:val="0"/>
          <w:iCs w:val="0"/>
          <w:sz w:val="24"/>
          <w:szCs w:val="24"/>
          <w:u w:val="none"/>
        </w:rPr>
      </w:pPr>
    </w:p>
    <w:p>
      <w:pPr>
        <w:spacing w:line="360" w:lineRule="auto"/>
        <w:rPr>
          <w:rFonts w:hint="default" w:ascii="Calibri" w:hAnsi="Calibri" w:cs="Calibri"/>
          <w:i w:val="0"/>
          <w:iCs w:val="0"/>
          <w:sz w:val="24"/>
          <w:szCs w:val="24"/>
          <w:u w:val="none"/>
        </w:rPr>
      </w:pPr>
      <w:r>
        <w:rPr>
          <w:rFonts w:hint="default" w:ascii="Calibri" w:hAnsi="Calibri" w:cs="Calibri"/>
          <w:i w:val="0"/>
          <w:iCs w:val="0"/>
          <w:sz w:val="24"/>
          <w:szCs w:val="24"/>
          <w:u w:val="none"/>
        </w:rPr>
        <w:br w:type="page"/>
      </w:r>
    </w:p>
    <w:sdt>
      <w:sdtPr>
        <w:rPr>
          <w:rFonts w:hint="default" w:ascii="Calibri" w:hAnsi="Calibri" w:cs="Calibri" w:eastAsiaTheme="minorEastAsia"/>
          <w:b w:val="0"/>
          <w:bCs w:val="0"/>
          <w:i w:val="0"/>
          <w:iCs w:val="0"/>
          <w:color w:val="000000" w:themeColor="text1"/>
          <w:sz w:val="24"/>
          <w:szCs w:val="24"/>
          <w:u w:val="none"/>
        </w:rPr>
        <w:id w:val="2404707"/>
        <w:docPartObj>
          <w:docPartGallery w:val="Table of Contents"/>
          <w:docPartUnique/>
        </w:docPartObj>
      </w:sdtPr>
      <w:sdtEndPr>
        <w:rPr>
          <w:rFonts w:hint="default" w:ascii="Calibri" w:hAnsi="Calibri" w:cs="Calibri" w:eastAsiaTheme="minorEastAsia"/>
          <w:b w:val="0"/>
          <w:bCs w:val="0"/>
          <w:i w:val="0"/>
          <w:iCs w:val="0"/>
          <w:color w:val="auto"/>
          <w:sz w:val="24"/>
          <w:szCs w:val="24"/>
          <w:u w:val="none"/>
        </w:rPr>
      </w:sdtEndPr>
      <w:sdtContent>
        <w:p>
          <w:pPr>
            <w:pStyle w:val="23"/>
            <w:spacing w:before="0" w:line="360" w:lineRule="auto"/>
            <w:jc w:val="center"/>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Table of Contents</w:t>
          </w:r>
        </w:p>
        <w:p>
          <w:pPr>
            <w:pStyle w:val="13"/>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TOC \o "1-3" \h \z \u </w:instrText>
          </w:r>
          <w:r>
            <w:rPr>
              <w:rFonts w:hint="default" w:ascii="Calibri" w:hAnsi="Calibri" w:cs="Calibri"/>
              <w:i w:val="0"/>
              <w:iCs w:val="0"/>
              <w:sz w:val="24"/>
              <w:szCs w:val="24"/>
              <w:u w:val="none"/>
            </w:rPr>
            <w:fldChar w:fldCharType="separate"/>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"_Toc122095100"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Question A</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_Toc122095100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4</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"_Toc122095101"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Introduction</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_Toc122095101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4</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"_Toc122095102"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Company background</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_Toc122095102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4</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"_Toc122095103"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lang w:val="en-GB"/>
            </w:rPr>
            <w:t>PESTLE Factors</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_Toc122095103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5</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"_Toc122095104"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lang w:val="en-GB"/>
            </w:rPr>
            <w:t>Porters 5 Forces mo</w:t>
          </w:r>
          <w:r>
            <w:rPr>
              <w:rStyle w:val="10"/>
              <w:rFonts w:hint="default" w:ascii="Calibri" w:hAnsi="Calibri" w:cs="Calibri"/>
              <w:i w:val="0"/>
              <w:iCs w:val="0"/>
              <w:sz w:val="24"/>
              <w:szCs w:val="24"/>
              <w:u w:val="none"/>
            </w:rPr>
            <w:t>d</w:t>
          </w:r>
          <w:r>
            <w:rPr>
              <w:rStyle w:val="10"/>
              <w:rFonts w:hint="default" w:ascii="Calibri" w:hAnsi="Calibri" w:cs="Calibri"/>
              <w:i w:val="0"/>
              <w:iCs w:val="0"/>
              <w:sz w:val="24"/>
              <w:szCs w:val="24"/>
              <w:u w:val="none"/>
              <w:lang w:val="en-GB"/>
            </w:rPr>
            <w:t>el</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_Toc122095104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12</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"_Toc122095105"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SWOT analysis</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_Toc122095105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13</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"_Toc122095106"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lang w:val="en-GB"/>
            </w:rPr>
            <w:t>Segmentation, targeting and positioning</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_Toc122095106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14</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"_Toc122095107"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lang w:val="en-GB"/>
            </w:rPr>
            <w:t>4Ps Marketing mix strategy</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_Toc122095107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14</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"_Toc122095108"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lang w:val="en-GB"/>
            </w:rPr>
            <w:t>Conclusion</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_Toc122095108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15</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3"/>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"_Toc122095109"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Question B</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_Toc122095109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16</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"_Toc122095110"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Recommendations</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_Toc122095110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16</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3"/>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"_Toc122095111"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References</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_Toc122095111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17</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3"/>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"_Toc122095112"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Appendices</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_Toc122095112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19</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pStyle w:val="14"/>
            <w:tabs>
              <w:tab w:val="right" w:leader="dot" w:pos="9350"/>
            </w:tabs>
            <w:spacing w:after="120" w:line="360" w:lineRule="auto"/>
            <w:jc w:val="both"/>
            <w:rPr>
              <w:rFonts w:hint="default" w:ascii="Calibri" w:hAnsi="Calibri" w:cs="Calibri"/>
              <w:i w:val="0"/>
              <w:iCs w:val="0"/>
              <w:sz w:val="24"/>
              <w:szCs w:val="24"/>
              <w:u w:val="none"/>
            </w:rPr>
          </w:pP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\l "_Toc122095113" </w:instrText>
          </w:r>
          <w:r>
            <w:rPr>
              <w:rFonts w:hint="default" w:ascii="Calibri" w:hAnsi="Calibri" w:cs="Calibri"/>
              <w:i w:val="0"/>
              <w:iCs w:val="0"/>
              <w:u w:val="none"/>
            </w:rPr>
            <w:fldChar w:fldCharType="separate"/>
          </w:r>
          <w:r>
            <w:rPr>
              <w:rStyle w:val="10"/>
              <w:rFonts w:hint="default" w:ascii="Calibri" w:hAnsi="Calibri" w:cs="Calibri"/>
              <w:i w:val="0"/>
              <w:iCs w:val="0"/>
              <w:sz w:val="24"/>
              <w:szCs w:val="24"/>
              <w:u w:val="none"/>
            </w:rPr>
            <w:t>Appendix 1: Market competition</w:t>
          </w:r>
          <w:r>
            <w:rPr>
              <w:rFonts w:hint="default" w:ascii="Calibri" w:hAnsi="Calibri" w:cs="Calibri"/>
              <w:i w:val="0"/>
              <w:iCs w:val="0"/>
              <w:sz w:val="24"/>
              <w:szCs w:val="24"/>
              <w:u w:val="none"/>
            </w:rPr>
            <w:tab/>
          </w:r>
          <w:r>
            <w:rPr>
              <w:rFonts w:hint="default" w:ascii="Calibri" w:hAnsi="Calibri" w:cs="Calibri"/>
              <w:i w:val="0"/>
              <w:iCs w:val="0"/>
              <w:sz w:val="24"/>
              <w:szCs w:val="24"/>
              <w:u w:val="none"/>
            </w:rPr>
            <w:fldChar w:fldCharType="begin"/>
          </w:r>
          <w:r>
            <w:rPr>
              <w:rFonts w:hint="default" w:ascii="Calibri" w:hAnsi="Calibri" w:cs="Calibri"/>
              <w:i w:val="0"/>
              <w:iCs w:val="0"/>
              <w:sz w:val="24"/>
              <w:szCs w:val="24"/>
              <w:u w:val="none"/>
            </w:rPr>
            <w:instrText xml:space="preserve"> PAGEREF _Toc122095113 \h </w:instrText>
          </w:r>
          <w:r>
            <w:rPr>
              <w:rFonts w:hint="default" w:ascii="Calibri" w:hAnsi="Calibri" w:cs="Calibri"/>
              <w:i w:val="0"/>
              <w:iCs w:val="0"/>
              <w:sz w:val="24"/>
              <w:szCs w:val="24"/>
              <w:u w:val="none"/>
            </w:rPr>
            <w:fldChar w:fldCharType="separate"/>
          </w:r>
          <w:r>
            <w:rPr>
              <w:rFonts w:hint="default" w:ascii="Calibri" w:hAnsi="Calibri" w:cs="Calibri"/>
              <w:i w:val="0"/>
              <w:iCs w:val="0"/>
              <w:sz w:val="24"/>
              <w:szCs w:val="24"/>
              <w:u w:val="none"/>
            </w:rPr>
            <w:t>19</w:t>
          </w:r>
          <w:r>
            <w:rPr>
              <w:rFonts w:hint="default" w:ascii="Calibri" w:hAnsi="Calibri" w:cs="Calibri"/>
              <w:i w:val="0"/>
              <w:iCs w:val="0"/>
              <w:sz w:val="24"/>
              <w:szCs w:val="24"/>
              <w:u w:val="none"/>
            </w:rPr>
            <w:fldChar w:fldCharType="end"/>
          </w:r>
          <w:r>
            <w:rPr>
              <w:rFonts w:hint="default" w:ascii="Calibri" w:hAnsi="Calibri" w:cs="Calibri"/>
              <w:i w:val="0"/>
              <w:iCs w:val="0"/>
              <w:sz w:val="24"/>
              <w:szCs w:val="24"/>
              <w:u w:val="none"/>
            </w:rPr>
            <w:fldChar w:fldCharType="end"/>
          </w:r>
        </w:p>
        <w:p>
          <w:pPr>
            <w:spacing w:after="0" w:line="360" w:lineRule="auto"/>
            <w:rPr>
              <w:rFonts w:hint="default" w:ascii="Calibri" w:hAnsi="Calibri" w:cs="Calibri"/>
              <w:i w:val="0"/>
              <w:iCs w:val="0"/>
              <w:sz w:val="24"/>
              <w:szCs w:val="24"/>
              <w:u w:val="none"/>
            </w:rPr>
          </w:pPr>
          <w:r>
            <w:rPr>
              <w:rFonts w:hint="default" w:ascii="Calibri" w:hAnsi="Calibri" w:cs="Calibri"/>
              <w:i w:val="0"/>
              <w:iCs w:val="0"/>
              <w:sz w:val="24"/>
              <w:szCs w:val="24"/>
              <w:u w:val="none"/>
            </w:rPr>
            <w:fldChar w:fldCharType="end"/>
          </w:r>
        </w:p>
      </w:sdtContent>
    </w:sdt>
    <w:p>
      <w:pPr>
        <w:spacing w:line="360" w:lineRule="auto"/>
        <w:rPr>
          <w:rFonts w:hint="default" w:ascii="Calibri" w:hAnsi="Calibri" w:cs="Calibri"/>
          <w:i w:val="0"/>
          <w:iCs w:val="0"/>
          <w:sz w:val="24"/>
          <w:szCs w:val="24"/>
          <w:u w:val="none"/>
        </w:rPr>
      </w:pPr>
    </w:p>
    <w:p>
      <w:pPr>
        <w:spacing w:line="360" w:lineRule="auto"/>
        <w:rPr>
          <w:rFonts w:hint="default" w:ascii="Calibri" w:hAnsi="Calibri" w:cs="Calibri"/>
          <w:i w:val="0"/>
          <w:iCs w:val="0"/>
          <w:sz w:val="24"/>
          <w:szCs w:val="24"/>
          <w:u w:val="none"/>
        </w:rPr>
      </w:pPr>
    </w:p>
    <w:p>
      <w:pPr>
        <w:spacing w:line="360" w:lineRule="auto"/>
        <w:rPr>
          <w:rFonts w:hint="default" w:ascii="Calibri" w:hAnsi="Calibri" w:cs="Calibri" w:eastAsiaTheme="majorEastAsia"/>
          <w:b/>
          <w:bCs/>
          <w:i w:val="0"/>
          <w:iCs w:val="0"/>
          <w:color w:val="000000" w:themeColor="text1"/>
          <w:sz w:val="24"/>
          <w:szCs w:val="24"/>
          <w:u w:val="none"/>
        </w:rPr>
      </w:pPr>
      <w:bookmarkStart w:id="0" w:name="_Toc122095100"/>
      <w:r>
        <w:rPr>
          <w:rFonts w:hint="default" w:ascii="Calibri" w:hAnsi="Calibri" w:cs="Calibri"/>
          <w:i w:val="0"/>
          <w:iCs w:val="0"/>
          <w:sz w:val="24"/>
          <w:szCs w:val="24"/>
          <w:u w:val="none"/>
        </w:rPr>
        <w:br w:type="page"/>
      </w:r>
    </w:p>
    <w:p>
      <w:pPr>
        <w:pStyle w:val="2"/>
        <w:rPr>
          <w:rFonts w:hint="default" w:ascii="Calibri" w:hAnsi="Calibri" w:cs="Calibri"/>
          <w:i w:val="0"/>
          <w:iCs w:val="0"/>
          <w:sz w:val="24"/>
          <w:szCs w:val="24"/>
          <w:u w:val="none"/>
        </w:rPr>
      </w:pPr>
      <w:r>
        <w:rPr>
          <w:rFonts w:hint="default" w:ascii="Calibri" w:hAnsi="Calibri" w:cs="Calibri"/>
          <w:i w:val="0"/>
          <w:iCs w:val="0"/>
          <w:sz w:val="24"/>
          <w:szCs w:val="24"/>
          <w:u w:val="none"/>
        </w:rPr>
        <w:t>Question A</w:t>
      </w:r>
      <w:bookmarkEnd w:id="0"/>
    </w:p>
    <w:p>
      <w:pPr>
        <w:pStyle w:val="3"/>
        <w:rPr>
          <w:rFonts w:hint="default" w:ascii="Calibri" w:hAnsi="Calibri" w:cs="Calibri"/>
          <w:i w:val="0"/>
          <w:iCs w:val="0"/>
          <w:sz w:val="24"/>
          <w:szCs w:val="24"/>
          <w:u w:val="none"/>
        </w:rPr>
      </w:pPr>
      <w:bookmarkStart w:id="1" w:name="_Toc122095101"/>
      <w:r>
        <w:rPr>
          <w:rFonts w:hint="default" w:ascii="Calibri" w:hAnsi="Calibri" w:cs="Calibri"/>
          <w:i w:val="0"/>
          <w:iCs w:val="0"/>
          <w:sz w:val="24"/>
          <w:szCs w:val="24"/>
          <w:u w:val="none"/>
        </w:rPr>
        <w:t>Introduction</w:t>
      </w:r>
      <w:bookmarkEnd w:id="1"/>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Tesco PLC is a reputed multinational retail company that manages its business operations through online and multi-format stores. The company has the largest grocery retailer in the UK and provides services to millions of customers worldwide. The good brand reputation of the company helps to attract customers and improves the customer base. In this report, the “</w:t>
      </w:r>
      <w:r>
        <w:rPr>
          <w:rFonts w:hint="default" w:ascii="Calibri" w:hAnsi="Calibri" w:cs="Calibri"/>
          <w:b/>
          <w:i w:val="0"/>
          <w:iCs w:val="0"/>
          <w:u w:val="none"/>
        </w:rPr>
        <w:t xml:space="preserve">PESTLE analysis” </w:t>
      </w:r>
      <w:r>
        <w:rPr>
          <w:rFonts w:hint="default" w:ascii="Calibri" w:hAnsi="Calibri" w:cs="Calibri"/>
          <w:i w:val="0"/>
          <w:iCs w:val="0"/>
          <w:u w:val="none"/>
        </w:rPr>
        <w:t xml:space="preserve">has been used to determine the external factors and the </w:t>
      </w:r>
      <w:r>
        <w:rPr>
          <w:rFonts w:hint="default" w:ascii="Calibri" w:hAnsi="Calibri" w:cs="Calibri"/>
          <w:b/>
          <w:i w:val="0"/>
          <w:iCs w:val="0"/>
          <w:u w:val="none"/>
        </w:rPr>
        <w:t>“SWOT analysis”</w:t>
      </w:r>
      <w:r>
        <w:rPr>
          <w:rFonts w:hint="default" w:ascii="Calibri" w:hAnsi="Calibri" w:cs="Calibri"/>
          <w:i w:val="0"/>
          <w:iCs w:val="0"/>
          <w:u w:val="none"/>
        </w:rPr>
        <w:t xml:space="preserve"> has been used to examine the internal factors. Furthermore, the segmentation, positioning and target market of the company has also been addressed. Along with this, the </w:t>
      </w:r>
      <w:r>
        <w:rPr>
          <w:rFonts w:hint="default" w:ascii="Calibri" w:hAnsi="Calibri" w:cs="Calibri"/>
          <w:b/>
          <w:i w:val="0"/>
          <w:iCs w:val="0"/>
          <w:u w:val="none"/>
        </w:rPr>
        <w:t>“4Ps Marketing mix strategy”</w:t>
      </w:r>
      <w:r>
        <w:rPr>
          <w:rFonts w:hint="default" w:ascii="Calibri" w:hAnsi="Calibri" w:cs="Calibri"/>
          <w:i w:val="0"/>
          <w:iCs w:val="0"/>
          <w:u w:val="none"/>
        </w:rPr>
        <w:t xml:space="preserve"> has been taken to determine the product, place, promotional style, and pricing style of Tesco. </w:t>
      </w:r>
    </w:p>
    <w:p>
      <w:pPr>
        <w:pStyle w:val="3"/>
        <w:rPr>
          <w:rFonts w:hint="default" w:ascii="Calibri" w:hAnsi="Calibri" w:cs="Calibri"/>
          <w:i w:val="0"/>
          <w:iCs w:val="0"/>
          <w:sz w:val="24"/>
          <w:szCs w:val="24"/>
          <w:u w:val="none"/>
        </w:rPr>
      </w:pPr>
      <w:bookmarkStart w:id="2" w:name="_Toc122095102"/>
      <w:r>
        <w:rPr>
          <w:rFonts w:hint="default" w:ascii="Calibri" w:hAnsi="Calibri" w:cs="Calibri"/>
          <w:i w:val="0"/>
          <w:iCs w:val="0"/>
          <w:sz w:val="24"/>
          <w:szCs w:val="24"/>
          <w:u w:val="none"/>
        </w:rPr>
        <w:t>Company background</w:t>
      </w:r>
      <w:bookmarkEnd w:id="2"/>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retail company Tesco PLC provides a wide range of products including clothing, furniture, toys, books, electronics, telecom services, financial services, internet services and so on. The company is mainly famous for providing quality products at affordable prices to customers. The company has more than 345,000 colleagues that help the company to manage its business operations (Tescoplc.com, 2022). The good brand reputation of the company is work as one of its strong points and it helps the company to enhance revenue growth.  </w:t>
      </w:r>
    </w:p>
    <w:p>
      <w:pPr>
        <w:spacing w:after="0" w:line="360" w:lineRule="auto"/>
        <w:jc w:val="center"/>
        <w:rPr>
          <w:rFonts w:hint="default" w:ascii="Calibri" w:hAnsi="Calibri" w:cs="Calibri"/>
          <w:i w:val="0"/>
          <w:iCs w:val="0"/>
          <w:sz w:val="24"/>
          <w:szCs w:val="24"/>
          <w:u w:val="none"/>
        </w:rPr>
      </w:pPr>
      <w:r>
        <w:rPr>
          <w:rFonts w:hint="default" w:ascii="Calibri" w:hAnsi="Calibri" w:cs="Calibri"/>
          <w:i w:val="0"/>
          <w:iCs w:val="0"/>
          <w:sz w:val="24"/>
          <w:szCs w:val="24"/>
          <w:u w:val="none"/>
        </w:rPr>
        <w:drawing>
          <wp:inline distT="0" distB="0" distL="0" distR="0">
            <wp:extent cx="4300220" cy="2765425"/>
            <wp:effectExtent l="76200" t="76200" r="119380" b="1111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a:xfrm>
                      <a:off x="0" y="0"/>
                      <a:ext cx="4346053" cy="279484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spacing w:after="0" w:line="360" w:lineRule="auto"/>
        <w:jc w:val="center"/>
        <w:rPr>
          <w:rFonts w:hint="default" w:ascii="Calibri" w:hAnsi="Calibri" w:cs="Calibri"/>
          <w:b/>
          <w:i w:val="0"/>
          <w:iCs w:val="0"/>
          <w:sz w:val="24"/>
          <w:szCs w:val="24"/>
          <w:u w:val="none"/>
        </w:rPr>
      </w:pPr>
      <w:r>
        <w:rPr>
          <w:rFonts w:hint="default" w:ascii="Calibri" w:hAnsi="Calibri" w:cs="Calibri"/>
          <w:b/>
          <w:i w:val="0"/>
          <w:iCs w:val="0"/>
          <w:sz w:val="24"/>
          <w:szCs w:val="24"/>
          <w:u w:val="none"/>
        </w:rPr>
        <w:t>Figure 1: Revenue of Tesco</w:t>
      </w:r>
    </w:p>
    <w:p>
      <w:pPr>
        <w:spacing w:after="0" w:line="360" w:lineRule="auto"/>
        <w:jc w:val="center"/>
        <w:rPr>
          <w:rFonts w:hint="default" w:ascii="Calibri" w:hAnsi="Calibri" w:cs="Calibri"/>
          <w:i w:val="0"/>
          <w:iCs w:val="0"/>
          <w:sz w:val="24"/>
          <w:szCs w:val="24"/>
          <w:u w:val="none"/>
        </w:rPr>
      </w:pPr>
      <w:r>
        <w:rPr>
          <w:rFonts w:hint="default" w:ascii="Calibri" w:hAnsi="Calibri" w:cs="Calibri"/>
          <w:i w:val="0"/>
          <w:iCs w:val="0"/>
          <w:sz w:val="24"/>
          <w:szCs w:val="24"/>
          <w:u w:val="none"/>
        </w:rPr>
        <w:t>(Source: Statista.com, 2022a)</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statistical graph shows the annual revenue of the retail company Tesco in the UK. In the year 2021/2022, the annual revenue of the retail company Tesco is more than 56 billion British pounds (Statista.com, 2022a). It shows that from the previous year the annual revenue of Tesco has been enhanced by more than 3 billion British pounds. The strong financial position of the company creates a positive impact on the business and helps the company to manage its business operations properly.  </w:t>
      </w:r>
    </w:p>
    <w:p>
      <w:pPr>
        <w:pStyle w:val="3"/>
        <w:rPr>
          <w:rFonts w:hint="default" w:ascii="Calibri" w:hAnsi="Calibri" w:cs="Calibri"/>
          <w:i w:val="0"/>
          <w:iCs w:val="0"/>
          <w:sz w:val="24"/>
          <w:szCs w:val="24"/>
          <w:u w:val="none"/>
          <w:lang w:val="en-GB"/>
        </w:rPr>
      </w:pPr>
      <w:bookmarkStart w:id="3" w:name="_Toc122095103"/>
      <w:r>
        <w:rPr>
          <w:rFonts w:hint="default" w:ascii="Calibri" w:hAnsi="Calibri" w:cs="Calibri"/>
          <w:i w:val="0"/>
          <w:iCs w:val="0"/>
          <w:sz w:val="24"/>
          <w:szCs w:val="24"/>
          <w:u w:val="none"/>
          <w:lang w:val="en-GB"/>
        </w:rPr>
        <w:t>PESTLE Factors</w:t>
      </w:r>
      <w:bookmarkEnd w:id="3"/>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PESTLE analysis has been taken to examine the external factors and their impacts on real business.  </w:t>
      </w:r>
    </w:p>
    <w:tbl>
      <w:tblPr>
        <w:tblStyle w:val="18"/>
        <w:tblW w:w="93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43"/>
        <w:gridCol w:w="6237"/>
        <w:gridCol w:w="12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585" w:hRule="atLeast"/>
          <w:tblHeader/>
          <w:jc w:val="center"/>
        </w:trPr>
        <w:tc>
          <w:tcPr>
            <w:tcW w:w="184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Factor</w:t>
            </w:r>
          </w:p>
        </w:tc>
        <w:tc>
          <w:tcPr>
            <w:tcW w:w="6237"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Analysis</w:t>
            </w:r>
          </w:p>
        </w:tc>
        <w:tc>
          <w:tcPr>
            <w:tcW w:w="128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Impact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743"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Political</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1"/>
              </w:numPr>
              <w:spacing w:after="0" w:line="360" w:lineRule="auto"/>
              <w:jc w:val="both"/>
              <w:rPr>
                <w:rFonts w:hint="default" w:ascii="Calibri" w:hAnsi="Calibri" w:eastAsia="Times New Roman" w:cs="Calibri"/>
                <w:i w:val="0"/>
                <w:iCs w:val="0"/>
                <w:sz w:val="24"/>
                <w:szCs w:val="24"/>
                <w:u w:val="none"/>
                <w:lang w:val="en-GB"/>
              </w:rPr>
            </w:pPr>
            <w:r>
              <w:rPr>
                <w:rFonts w:hint="default" w:ascii="Calibri" w:hAnsi="Calibri" w:eastAsia="Times New Roman" w:cs="Calibri"/>
                <w:i w:val="0"/>
                <w:iCs w:val="0"/>
                <w:sz w:val="24"/>
                <w:szCs w:val="24"/>
                <w:u w:val="none"/>
                <w:lang w:val="en-GB"/>
              </w:rPr>
              <w:t>The higher tax rate in the UK is 40% and 20% is the lowest tax rate (</w:t>
            </w:r>
            <w:r>
              <w:rPr>
                <w:rFonts w:hint="default" w:ascii="Calibri" w:hAnsi="Calibri" w:eastAsia="Arial" w:cs="Calibri"/>
                <w:i w:val="0"/>
                <w:iCs w:val="0"/>
                <w:sz w:val="24"/>
                <w:szCs w:val="24"/>
                <w:u w:val="none"/>
              </w:rPr>
              <w:t>Gov.uk, 2022a</w:t>
            </w:r>
            <w:r>
              <w:rPr>
                <w:rFonts w:hint="default" w:ascii="Calibri" w:hAnsi="Calibri" w:eastAsia="Times New Roman" w:cs="Calibri"/>
                <w:i w:val="0"/>
                <w:iCs w:val="0"/>
                <w:sz w:val="24"/>
                <w:szCs w:val="24"/>
                <w:u w:val="none"/>
                <w:lang w:val="en-GB"/>
              </w:rPr>
              <w:t>)</w:t>
            </w:r>
          </w:p>
          <w:p>
            <w:pPr>
              <w:numPr>
                <w:ilvl w:val="0"/>
                <w:numId w:val="1"/>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In 2021/22, criminal offences are more than 6.3 million have been recorded (Statista.com, 2022b).</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318"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Economic</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2"/>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In 2019, near about 1.67% of the GDP has been increased (Statista.com, 2022c).</w:t>
            </w:r>
          </w:p>
          <w:p>
            <w:pPr>
              <w:numPr>
                <w:ilvl w:val="0"/>
                <w:numId w:val="2"/>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In the year 2022, the unemployment rate is 3.7 % in the UK (</w:t>
            </w:r>
            <w:r>
              <w:rPr>
                <w:rFonts w:hint="default" w:ascii="Calibri" w:hAnsi="Calibri" w:eastAsia="Arial" w:cs="Calibri"/>
                <w:i w:val="0"/>
                <w:iCs w:val="0"/>
                <w:sz w:val="24"/>
                <w:szCs w:val="24"/>
                <w:u w:val="none"/>
              </w:rPr>
              <w:t>Ons.gov.uk</w:t>
            </w:r>
            <w:r>
              <w:rPr>
                <w:rFonts w:hint="default" w:ascii="Calibri" w:hAnsi="Calibri" w:eastAsia="Arial" w:cs="Calibri"/>
                <w:i w:val="0"/>
                <w:iCs w:val="0"/>
                <w:sz w:val="24"/>
                <w:szCs w:val="24"/>
                <w:u w:val="none"/>
                <w:lang w:val="en-GB"/>
              </w:rPr>
              <w:t>, 2022a).</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i w:val="0"/>
                <w:iCs w:val="0"/>
                <w:sz w:val="24"/>
                <w:szCs w:val="24"/>
                <w:u w:val="none"/>
                <w:lang w:val="en-GB"/>
              </w:rPr>
              <w:t>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726"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Social</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3"/>
              </w:numPr>
              <w:spacing w:after="0" w:line="360" w:lineRule="auto"/>
              <w:jc w:val="both"/>
              <w:rPr>
                <w:rFonts w:hint="default" w:ascii="Calibri" w:hAnsi="Calibri" w:eastAsia="Arial" w:cs="Calibri"/>
                <w:b/>
                <w:i w:val="0"/>
                <w:iCs w:val="0"/>
                <w:sz w:val="24"/>
                <w:szCs w:val="24"/>
                <w:u w:val="none"/>
                <w:lang w:val="en-GB"/>
              </w:rPr>
            </w:pPr>
            <w:r>
              <w:rPr>
                <w:rFonts w:hint="default" w:ascii="Calibri" w:hAnsi="Calibri" w:eastAsia="Arial" w:cs="Calibri"/>
                <w:i w:val="0"/>
                <w:iCs w:val="0"/>
                <w:sz w:val="24"/>
                <w:szCs w:val="24"/>
                <w:u w:val="none"/>
                <w:lang w:val="en-GB"/>
              </w:rPr>
              <w:t>In the UK retail sales have been enhanced by 0.6% in October 2022 (</w:t>
            </w:r>
            <w:r>
              <w:rPr>
                <w:rFonts w:hint="default" w:ascii="Calibri" w:hAnsi="Calibri" w:eastAsia="Arial" w:cs="Calibri"/>
                <w:i w:val="0"/>
                <w:iCs w:val="0"/>
                <w:sz w:val="24"/>
                <w:szCs w:val="24"/>
                <w:u w:val="none"/>
              </w:rPr>
              <w:t>Ons.gov.uk</w:t>
            </w:r>
            <w:r>
              <w:rPr>
                <w:rFonts w:hint="default" w:ascii="Calibri" w:hAnsi="Calibri" w:eastAsia="Arial" w:cs="Calibri"/>
                <w:i w:val="0"/>
                <w:iCs w:val="0"/>
                <w:sz w:val="24"/>
                <w:szCs w:val="24"/>
                <w:u w:val="none"/>
                <w:lang w:val="en-GB"/>
              </w:rPr>
              <w:t>, 2022b).</w:t>
            </w:r>
          </w:p>
          <w:p>
            <w:pPr>
              <w:numPr>
                <w:ilvl w:val="0"/>
                <w:numId w:val="3"/>
              </w:numPr>
              <w:spacing w:after="0" w:line="360" w:lineRule="auto"/>
              <w:jc w:val="both"/>
              <w:rPr>
                <w:rFonts w:hint="default" w:ascii="Calibri" w:hAnsi="Calibri" w:eastAsia="Arial" w:cs="Calibri"/>
                <w:b/>
                <w:i w:val="0"/>
                <w:iCs w:val="0"/>
                <w:sz w:val="24"/>
                <w:szCs w:val="24"/>
                <w:u w:val="none"/>
                <w:lang w:val="en-GB"/>
              </w:rPr>
            </w:pPr>
            <w:r>
              <w:rPr>
                <w:rFonts w:hint="default" w:ascii="Calibri" w:hAnsi="Calibri" w:eastAsia="Arial" w:cs="Calibri"/>
                <w:i w:val="0"/>
                <w:iCs w:val="0"/>
                <w:sz w:val="24"/>
                <w:szCs w:val="24"/>
                <w:u w:val="none"/>
                <w:lang w:val="en-GB"/>
              </w:rPr>
              <w:t>The online retail sales rate is 26.1% in October 2022 (</w:t>
            </w:r>
            <w:r>
              <w:rPr>
                <w:rFonts w:hint="default" w:ascii="Calibri" w:hAnsi="Calibri" w:eastAsia="Arial" w:cs="Calibri"/>
                <w:i w:val="0"/>
                <w:iCs w:val="0"/>
                <w:sz w:val="24"/>
                <w:szCs w:val="24"/>
                <w:u w:val="none"/>
              </w:rPr>
              <w:t>Ons.gov.uk</w:t>
            </w:r>
            <w:r>
              <w:rPr>
                <w:rFonts w:hint="default" w:ascii="Calibri" w:hAnsi="Calibri" w:eastAsia="Arial" w:cs="Calibri"/>
                <w:i w:val="0"/>
                <w:iCs w:val="0"/>
                <w:sz w:val="24"/>
                <w:szCs w:val="24"/>
                <w:u w:val="none"/>
                <w:lang w:val="en-GB"/>
              </w:rPr>
              <w:t>, 2022b).</w:t>
            </w:r>
          </w:p>
          <w:p>
            <w:pPr>
              <w:numPr>
                <w:ilvl w:val="0"/>
                <w:numId w:val="3"/>
              </w:numPr>
              <w:spacing w:after="0" w:line="360" w:lineRule="auto"/>
              <w:jc w:val="both"/>
              <w:rPr>
                <w:rFonts w:hint="default" w:ascii="Calibri" w:hAnsi="Calibri" w:eastAsia="Arial" w:cs="Calibri"/>
                <w:b/>
                <w:i w:val="0"/>
                <w:iCs w:val="0"/>
                <w:sz w:val="24"/>
                <w:szCs w:val="24"/>
                <w:u w:val="none"/>
                <w:lang w:val="en-GB"/>
              </w:rPr>
            </w:pPr>
            <w:r>
              <w:rPr>
                <w:rFonts w:hint="default" w:ascii="Calibri" w:hAnsi="Calibri" w:eastAsia="Arial" w:cs="Calibri"/>
                <w:i w:val="0"/>
                <w:iCs w:val="0"/>
                <w:sz w:val="24"/>
                <w:szCs w:val="24"/>
                <w:u w:val="none"/>
                <w:lang w:val="en-GB"/>
              </w:rPr>
              <w:t>The literacy rate in the UK is 99% (Una.org.uk, 2022)</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035"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Technological</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4"/>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In the year 2019, website sales are near about 356.4 billion British pounds. (Statista.com, 2022d)</w:t>
            </w:r>
          </w:p>
          <w:p>
            <w:pPr>
              <w:numPr>
                <w:ilvl w:val="0"/>
                <w:numId w:val="4"/>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 xml:space="preserve">Technologically advanced country </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i w:val="0"/>
                <w:iCs w:val="0"/>
                <w:sz w:val="24"/>
                <w:szCs w:val="24"/>
                <w:u w:val="none"/>
                <w:lang w:val="en-GB"/>
              </w:rPr>
              <w:t>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113"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Environmental</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5"/>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 xml:space="preserve"> “Environmental Protection Act 1990”</w:t>
            </w:r>
            <w:r>
              <w:rPr>
                <w:rFonts w:hint="default" w:ascii="Calibri" w:hAnsi="Calibri" w:eastAsia="Arial" w:cs="Calibri"/>
                <w:i w:val="0"/>
                <w:iCs w:val="0"/>
                <w:sz w:val="24"/>
                <w:szCs w:val="24"/>
                <w:u w:val="none"/>
              </w:rPr>
              <w:t xml:space="preserve"> </w:t>
            </w:r>
            <w:r>
              <w:rPr>
                <w:rFonts w:hint="default" w:ascii="Calibri" w:hAnsi="Calibri" w:eastAsia="Arial" w:cs="Calibri"/>
                <w:i w:val="0"/>
                <w:iCs w:val="0"/>
                <w:sz w:val="24"/>
                <w:szCs w:val="24"/>
                <w:u w:val="none"/>
                <w:lang w:val="en-GB"/>
              </w:rPr>
              <w:t>(Gov.uk, 2022b)</w:t>
            </w:r>
          </w:p>
          <w:p>
            <w:pPr>
              <w:numPr>
                <w:ilvl w:val="0"/>
                <w:numId w:val="5"/>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“Control of Pollution Act 1974”</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318" w:hRule="atLeast"/>
          <w:tblHeader/>
          <w:jc w:val="center"/>
        </w:trPr>
        <w:tc>
          <w:tcPr>
            <w:tcW w:w="1843"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b/>
                <w:i w:val="0"/>
                <w:iCs w:val="0"/>
                <w:sz w:val="24"/>
                <w:szCs w:val="24"/>
                <w:u w:val="none"/>
                <w:lang w:val="en-GB"/>
              </w:rPr>
            </w:pPr>
            <w:r>
              <w:rPr>
                <w:rFonts w:hint="default" w:ascii="Calibri" w:hAnsi="Calibri" w:eastAsia="Arial" w:cs="Calibri"/>
                <w:b/>
                <w:i w:val="0"/>
                <w:iCs w:val="0"/>
                <w:sz w:val="24"/>
                <w:szCs w:val="24"/>
                <w:u w:val="none"/>
                <w:lang w:val="en-GB"/>
              </w:rPr>
              <w:t>Legal</w:t>
            </w:r>
          </w:p>
        </w:tc>
        <w:tc>
          <w:tcPr>
            <w:tcW w:w="6237" w:type="dxa"/>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6"/>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“Labour relation Act”</w:t>
            </w:r>
          </w:p>
          <w:p>
            <w:pPr>
              <w:numPr>
                <w:ilvl w:val="0"/>
                <w:numId w:val="6"/>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 xml:space="preserve"> “Equality Act 2010” has been maintained (Gov.uk, 2022c)</w:t>
            </w:r>
          </w:p>
          <w:p>
            <w:pPr>
              <w:numPr>
                <w:ilvl w:val="0"/>
                <w:numId w:val="6"/>
              </w:numPr>
              <w:spacing w:after="0" w:line="360" w:lineRule="auto"/>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“Employment act”</w:t>
            </w:r>
          </w:p>
        </w:tc>
        <w:tc>
          <w:tcPr>
            <w:tcW w:w="1280"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ind w:left="60"/>
              <w:jc w:val="both"/>
              <w:rPr>
                <w:rFonts w:hint="default" w:ascii="Calibri" w:hAnsi="Calibri" w:eastAsia="Arial" w:cs="Calibri"/>
                <w:i w:val="0"/>
                <w:iCs w:val="0"/>
                <w:sz w:val="24"/>
                <w:szCs w:val="24"/>
                <w:u w:val="none"/>
                <w:lang w:val="en-GB"/>
              </w:rPr>
            </w:pPr>
            <w:r>
              <w:rPr>
                <w:rFonts w:hint="default" w:ascii="Calibri" w:hAnsi="Calibri" w:eastAsia="Arial" w:cs="Calibri"/>
                <w:i w:val="0"/>
                <w:iCs w:val="0"/>
                <w:sz w:val="24"/>
                <w:szCs w:val="24"/>
                <w:u w:val="none"/>
                <w:lang w:val="en-GB"/>
              </w:rPr>
              <w:t>Positive</w:t>
            </w:r>
          </w:p>
        </w:tc>
      </w:tr>
    </w:tbl>
    <w:p>
      <w:pPr>
        <w:spacing w:after="0" w:line="360" w:lineRule="auto"/>
        <w:jc w:val="center"/>
        <w:rPr>
          <w:rFonts w:hint="default" w:ascii="Calibri" w:hAnsi="Calibri" w:cs="Calibri"/>
          <w:b/>
          <w:i w:val="0"/>
          <w:iCs w:val="0"/>
          <w:sz w:val="24"/>
          <w:szCs w:val="24"/>
          <w:u w:val="none"/>
          <w:lang w:val="en-GB"/>
        </w:rPr>
      </w:pPr>
      <w:r>
        <w:rPr>
          <w:rFonts w:hint="default" w:ascii="Calibri" w:hAnsi="Calibri" w:cs="Calibri"/>
          <w:b/>
          <w:i w:val="0"/>
          <w:iCs w:val="0"/>
          <w:sz w:val="24"/>
          <w:szCs w:val="24"/>
          <w:u w:val="none"/>
          <w:lang w:val="en-GB"/>
        </w:rPr>
        <w:t>Table 1: PESTLE Analysis</w:t>
      </w:r>
    </w:p>
    <w:p>
      <w:pPr>
        <w:spacing w:after="0" w:line="360" w:lineRule="auto"/>
        <w:jc w:val="center"/>
        <w:rPr>
          <w:rFonts w:hint="default" w:ascii="Calibri" w:hAnsi="Calibri" w:cs="Calibri"/>
          <w:i w:val="0"/>
          <w:iCs w:val="0"/>
          <w:sz w:val="24"/>
          <w:szCs w:val="24"/>
          <w:u w:val="none"/>
          <w:lang w:val="en-GB"/>
        </w:rPr>
      </w:pPr>
      <w:r>
        <w:rPr>
          <w:rFonts w:hint="default" w:ascii="Calibri" w:hAnsi="Calibri" w:cs="Calibri"/>
          <w:i w:val="0"/>
          <w:iCs w:val="0"/>
          <w:sz w:val="24"/>
          <w:szCs w:val="24"/>
          <w:u w:val="none"/>
          <w:lang w:val="en-GB"/>
        </w:rPr>
        <w:t>(Source: Self-developed)</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 xml:space="preserve">Analysis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Political factor</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higher tax rate is 40% and 20% is the lower tax rate in the UK; therefore, the retail company Tesco is required to pay a high amount of tax that decreases the profit rate of the business. In 2021/22-year, criminal offences are more than 6.3 million have been recorded (Statista.com, 2022b). In this case, the high criminal offences make a negative impact on the business and damage the business environment.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Economic factor</w:t>
      </w:r>
    </w:p>
    <w:p>
      <w:pPr>
        <w:spacing w:after="0" w:line="360" w:lineRule="auto"/>
        <w:jc w:val="center"/>
        <w:rPr>
          <w:rFonts w:hint="default" w:ascii="Calibri" w:hAnsi="Calibri" w:cs="Calibri"/>
          <w:i w:val="0"/>
          <w:iCs w:val="0"/>
          <w:sz w:val="24"/>
          <w:szCs w:val="24"/>
          <w:u w:val="none"/>
          <w:lang w:val="en-GB"/>
        </w:rPr>
      </w:pPr>
      <w:r>
        <w:rPr>
          <w:rFonts w:hint="default" w:ascii="Calibri" w:hAnsi="Calibri" w:cs="Calibri"/>
          <w:i w:val="0"/>
          <w:iCs w:val="0"/>
          <w:sz w:val="24"/>
          <w:szCs w:val="24"/>
          <w:u w:val="none"/>
        </w:rPr>
        <w:drawing>
          <wp:inline distT="0" distB="0" distL="0" distR="0">
            <wp:extent cx="5332730" cy="3119120"/>
            <wp:effectExtent l="76200" t="76200" r="115570" b="1193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a:xfrm>
                      <a:off x="0" y="0"/>
                      <a:ext cx="5355432" cy="313234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spacing w:after="0" w:line="360" w:lineRule="auto"/>
        <w:jc w:val="center"/>
        <w:rPr>
          <w:rFonts w:hint="default" w:ascii="Calibri" w:hAnsi="Calibri" w:cs="Calibri"/>
          <w:b/>
          <w:i w:val="0"/>
          <w:iCs w:val="0"/>
          <w:sz w:val="24"/>
          <w:szCs w:val="24"/>
          <w:u w:val="none"/>
          <w:lang w:val="en-GB"/>
        </w:rPr>
      </w:pPr>
      <w:r>
        <w:rPr>
          <w:rFonts w:hint="default" w:ascii="Calibri" w:hAnsi="Calibri" w:cs="Calibri"/>
          <w:b/>
          <w:i w:val="0"/>
          <w:iCs w:val="0"/>
          <w:sz w:val="24"/>
          <w:szCs w:val="24"/>
          <w:u w:val="none"/>
          <w:lang w:val="en-GB"/>
        </w:rPr>
        <w:t>Figure 2: GDP rate in the UK</w:t>
      </w:r>
    </w:p>
    <w:p>
      <w:pPr>
        <w:spacing w:after="0" w:line="360" w:lineRule="auto"/>
        <w:jc w:val="center"/>
        <w:rPr>
          <w:rFonts w:hint="default" w:ascii="Calibri" w:hAnsi="Calibri" w:cs="Calibri"/>
          <w:i w:val="0"/>
          <w:iCs w:val="0"/>
          <w:sz w:val="24"/>
          <w:szCs w:val="24"/>
          <w:u w:val="none"/>
        </w:rPr>
      </w:pPr>
      <w:r>
        <w:rPr>
          <w:rFonts w:hint="default" w:ascii="Calibri" w:hAnsi="Calibri" w:cs="Calibri"/>
          <w:i w:val="0"/>
          <w:iCs w:val="0"/>
          <w:sz w:val="24"/>
          <w:szCs w:val="24"/>
          <w:u w:val="none"/>
        </w:rPr>
        <w:t>(Source: Statista.com, 2022c)</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above statistical graph depicts the GDP rate of the UK. In the year 2019, in the UK nearly about 1.67% of the GDP increased (Statista.com, 2022c). The good GDP rate of the country makes a positive impact on the business therefore the retail company Tesco can get financial help from the country.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Social</w:t>
      </w:r>
      <w:r>
        <w:rPr>
          <w:rFonts w:hint="default" w:ascii="Calibri" w:hAnsi="Calibri" w:cs="Calibri"/>
          <w:i w:val="0"/>
          <w:iCs w:val="0"/>
          <w:u w:val="none"/>
        </w:rPr>
        <w:t xml:space="preserve"> </w:t>
      </w:r>
      <w:r>
        <w:rPr>
          <w:rFonts w:hint="default" w:ascii="Calibri" w:hAnsi="Calibri" w:cs="Calibri"/>
          <w:b/>
          <w:i w:val="0"/>
          <w:iCs w:val="0"/>
          <w:u w:val="none"/>
        </w:rPr>
        <w:t>factor</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 Retail sales in the UK have been enhanced by 0.6% in October 2022 (Ons.gov.uk, 2022b). Therefore, it helps the company increase retail sales and improves the financial performance of the business. In terms of literacy, the literacy rate in the UK is 99% (Una.org.uk, 2022). Therefore, the retail company can get sufficiently knowledgeable and skilled employees from the UK country and the company can manage its business operations properly. </w:t>
      </w:r>
    </w:p>
    <w:p>
      <w:pPr>
        <w:spacing w:after="0" w:line="360" w:lineRule="auto"/>
        <w:jc w:val="both"/>
        <w:rPr>
          <w:rFonts w:hint="default" w:ascii="Calibri" w:hAnsi="Calibri" w:cs="Calibri"/>
          <w:b/>
          <w:i w:val="0"/>
          <w:iCs w:val="0"/>
          <w:sz w:val="24"/>
          <w:szCs w:val="24"/>
          <w:u w:val="none"/>
        </w:rPr>
      </w:pPr>
      <w:r>
        <w:rPr>
          <w:rFonts w:hint="default" w:ascii="Calibri" w:hAnsi="Calibri" w:cs="Calibri"/>
          <w:b/>
          <w:i w:val="0"/>
          <w:iCs w:val="0"/>
          <w:sz w:val="24"/>
          <w:szCs w:val="24"/>
          <w:u w:val="none"/>
        </w:rPr>
        <w:t>Technological factor</w:t>
      </w:r>
    </w:p>
    <w:p>
      <w:pPr>
        <w:spacing w:after="0" w:line="360" w:lineRule="auto"/>
        <w:jc w:val="center"/>
        <w:rPr>
          <w:rFonts w:hint="default" w:ascii="Calibri" w:hAnsi="Calibri" w:cs="Calibri"/>
          <w:i w:val="0"/>
          <w:iCs w:val="0"/>
          <w:sz w:val="24"/>
          <w:szCs w:val="24"/>
          <w:u w:val="none"/>
          <w:lang w:val="en-GB"/>
        </w:rPr>
      </w:pPr>
      <w:r>
        <w:rPr>
          <w:rFonts w:hint="default" w:ascii="Calibri" w:hAnsi="Calibri" w:cs="Calibri"/>
          <w:i w:val="0"/>
          <w:iCs w:val="0"/>
          <w:sz w:val="24"/>
          <w:szCs w:val="24"/>
          <w:u w:val="none"/>
        </w:rPr>
        <w:drawing>
          <wp:inline distT="0" distB="0" distL="0" distR="0">
            <wp:extent cx="5281295" cy="3378835"/>
            <wp:effectExtent l="76200" t="76200" r="109855" b="1073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a:xfrm>
                      <a:off x="0" y="0"/>
                      <a:ext cx="5297903" cy="338965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spacing w:after="0" w:line="360" w:lineRule="auto"/>
        <w:jc w:val="center"/>
        <w:rPr>
          <w:rFonts w:hint="default" w:ascii="Calibri" w:hAnsi="Calibri" w:cs="Calibri"/>
          <w:b/>
          <w:i w:val="0"/>
          <w:iCs w:val="0"/>
          <w:sz w:val="24"/>
          <w:szCs w:val="24"/>
          <w:u w:val="none"/>
          <w:lang w:val="en-GB"/>
        </w:rPr>
      </w:pPr>
      <w:r>
        <w:rPr>
          <w:rFonts w:hint="default" w:ascii="Calibri" w:hAnsi="Calibri" w:cs="Calibri"/>
          <w:b/>
          <w:i w:val="0"/>
          <w:iCs w:val="0"/>
          <w:sz w:val="24"/>
          <w:szCs w:val="24"/>
          <w:u w:val="none"/>
          <w:lang w:val="en-GB"/>
        </w:rPr>
        <w:t>Figure 3: E-commerce sales in the UK</w:t>
      </w:r>
    </w:p>
    <w:p>
      <w:pPr>
        <w:spacing w:after="0" w:line="360" w:lineRule="auto"/>
        <w:jc w:val="center"/>
        <w:rPr>
          <w:rFonts w:hint="default" w:ascii="Calibri" w:hAnsi="Calibri" w:cs="Calibri"/>
          <w:i w:val="0"/>
          <w:iCs w:val="0"/>
          <w:sz w:val="24"/>
          <w:szCs w:val="24"/>
          <w:u w:val="none"/>
        </w:rPr>
      </w:pPr>
      <w:r>
        <w:rPr>
          <w:rFonts w:hint="default" w:ascii="Calibri" w:hAnsi="Calibri" w:cs="Calibri"/>
          <w:i w:val="0"/>
          <w:iCs w:val="0"/>
          <w:sz w:val="24"/>
          <w:szCs w:val="24"/>
          <w:u w:val="none"/>
        </w:rPr>
        <w:t>(Source: Statista.com, 2022d)</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UK country is considered a technologically advanced country that helps the retail company Tesco to use suitable technology for improving business operations. In the year 2019, website sales are nearly about 356.4 billion British pounds (Statista.com, 2022d). Therefore, the use of the website in the UK is high therefore the retail company Tesco can use the website to sell product and increases sales growth.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Environmental factor</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UK government has focused on improving environmental sustainability and multiple rules and legislation has been launched to keep the environment pollution free. The “Environmental Protection Act of 1990” has been launched to keep the environment pollution-free (Gov.uk, 2022b).  Along with this, the UK government has also launched the “Control of Pollution Act 1974” to control pollution and improve environmental sustainability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Legal factor</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UK government launches one of the most effective acts “The equality Act 2010” that is used in all businesses to overcome discrimination issues and maintains equality among the staff at the workplace (Gov.uk, 2022c). Along with this, the UK government has also launched </w:t>
      </w:r>
      <w:r>
        <w:rPr>
          <w:rFonts w:hint="default" w:ascii="Calibri" w:hAnsi="Calibri" w:cs="Calibri"/>
          <w:b/>
          <w:i w:val="0"/>
          <w:iCs w:val="0"/>
          <w:u w:val="none"/>
        </w:rPr>
        <w:t>“The Labour relation Act”, “Employment act”</w:t>
      </w:r>
      <w:r>
        <w:rPr>
          <w:rFonts w:hint="default" w:ascii="Calibri" w:hAnsi="Calibri" w:cs="Calibri"/>
          <w:i w:val="0"/>
          <w:iCs w:val="0"/>
          <w:u w:val="none"/>
        </w:rPr>
        <w:t xml:space="preserve"> and so on therefore the legal system makes a positive impact on the business </w:t>
      </w:r>
    </w:p>
    <w:p>
      <w:pPr>
        <w:pStyle w:val="3"/>
        <w:rPr>
          <w:rFonts w:hint="default" w:ascii="Calibri" w:hAnsi="Calibri" w:cs="Calibri"/>
          <w:i w:val="0"/>
          <w:iCs w:val="0"/>
          <w:sz w:val="24"/>
          <w:szCs w:val="24"/>
          <w:u w:val="none"/>
          <w:lang w:val="en-GB"/>
        </w:rPr>
      </w:pPr>
      <w:bookmarkStart w:id="4" w:name="_Toc122095104"/>
      <w:r>
        <w:rPr>
          <w:rFonts w:hint="default" w:ascii="Calibri" w:hAnsi="Calibri" w:cs="Calibri"/>
          <w:i w:val="0"/>
          <w:iCs w:val="0"/>
          <w:sz w:val="24"/>
          <w:szCs w:val="24"/>
          <w:u w:val="none"/>
          <w:lang w:val="en-GB"/>
        </w:rPr>
        <w:t>Porters 5 Forces mo</w:t>
      </w:r>
      <w:r>
        <w:rPr>
          <w:rStyle w:val="21"/>
          <w:rFonts w:hint="default" w:ascii="Calibri" w:hAnsi="Calibri" w:cs="Calibri"/>
          <w:b w:val="0"/>
          <w:bCs w:val="0"/>
          <w:i w:val="0"/>
          <w:iCs w:val="0"/>
          <w:sz w:val="24"/>
          <w:szCs w:val="24"/>
          <w:u w:val="none"/>
        </w:rPr>
        <w:t>d</w:t>
      </w:r>
      <w:r>
        <w:rPr>
          <w:rFonts w:hint="default" w:ascii="Calibri" w:hAnsi="Calibri" w:cs="Calibri"/>
          <w:i w:val="0"/>
          <w:iCs w:val="0"/>
          <w:sz w:val="24"/>
          <w:szCs w:val="24"/>
          <w:u w:val="none"/>
          <w:lang w:val="en-GB"/>
        </w:rPr>
        <w:t>el</w:t>
      </w:r>
      <w:bookmarkEnd w:id="4"/>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Porter's Five Forces Model is one of the most effective tools that help the company to figure out the main competitive forces of the specific industry.  </w:t>
      </w:r>
    </w:p>
    <w:tbl>
      <w:tblPr>
        <w:tblStyle w:val="19"/>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680"/>
        <w:gridCol w:w="46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85" w:hRule="atLeast"/>
          <w:tblHeader/>
          <w:jc w:val="center"/>
        </w:trPr>
        <w:tc>
          <w:tcPr>
            <w:tcW w:w="46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Factors</w:t>
            </w:r>
          </w:p>
        </w:tc>
        <w:tc>
          <w:tcPr>
            <w:tcW w:w="466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Impact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311" w:hRule="atLeast"/>
          <w:tblHeader/>
          <w:jc w:val="center"/>
        </w:trPr>
        <w:tc>
          <w:tcPr>
            <w:tcW w:w="468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“Competitive rivalry”</w:t>
            </w:r>
          </w:p>
        </w:tc>
        <w:tc>
          <w:tcPr>
            <w:tcW w:w="4665"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High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91" w:hRule="atLeast"/>
          <w:tblHeader/>
          <w:jc w:val="center"/>
        </w:trPr>
        <w:tc>
          <w:tcPr>
            <w:tcW w:w="468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“The bargaining power of suppliers”</w:t>
            </w:r>
          </w:p>
        </w:tc>
        <w:tc>
          <w:tcPr>
            <w:tcW w:w="4665"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27" w:hRule="atLeast"/>
          <w:tblHeader/>
          <w:jc w:val="center"/>
        </w:trPr>
        <w:tc>
          <w:tcPr>
            <w:tcW w:w="468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“The bargaining power of customers”</w:t>
            </w:r>
          </w:p>
        </w:tc>
        <w:tc>
          <w:tcPr>
            <w:tcW w:w="4665"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Moderate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8" w:hRule="atLeast"/>
          <w:tblHeader/>
          <w:jc w:val="center"/>
        </w:trPr>
        <w:tc>
          <w:tcPr>
            <w:tcW w:w="468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“The threat of new entrants”</w:t>
            </w:r>
          </w:p>
        </w:tc>
        <w:tc>
          <w:tcPr>
            <w:tcW w:w="4665"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High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18" w:hRule="atLeast"/>
          <w:tblHeader/>
          <w:jc w:val="center"/>
        </w:trPr>
        <w:tc>
          <w:tcPr>
            <w:tcW w:w="468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“The threat of substitute products”</w:t>
            </w:r>
          </w:p>
        </w:tc>
        <w:tc>
          <w:tcPr>
            <w:tcW w:w="4665" w:type="dxa"/>
            <w:tcBorders>
              <w:top w:val="nil"/>
              <w:left w:val="nil"/>
              <w:bottom w:val="single" w:color="000000" w:sz="8" w:space="0"/>
              <w:right w:val="single" w:color="000000" w:sz="8" w:space="0"/>
            </w:tcBorders>
            <w:tcMar>
              <w:top w:w="100" w:type="dxa"/>
              <w:left w:w="100" w:type="dxa"/>
              <w:bottom w:w="100" w:type="dxa"/>
              <w:right w:w="100" w:type="dxa"/>
            </w:tcMar>
          </w:tcPr>
          <w:p>
            <w:pPr>
              <w:spacing w:after="0" w:line="360" w:lineRule="auto"/>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Low</w:t>
            </w:r>
          </w:p>
        </w:tc>
      </w:tr>
    </w:tbl>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 xml:space="preserve">          Table 2: Porter’s Five Forces </w:t>
      </w:r>
    </w:p>
    <w:p>
      <w:pPr>
        <w:spacing w:after="0" w:line="360" w:lineRule="auto"/>
        <w:jc w:val="center"/>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(Source: Self-developed)</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Competitive rivalry</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 xml:space="preserve">In the UK retail industry, “competitive rivalry” is identified as high makes a negative impact on the retail business. In the UK, Tesco is one of the largest retailers, however, the company has many competitors including ASDA, Sainsbury's, Morrison's and so on </w:t>
      </w:r>
      <w:r>
        <w:rPr>
          <w:rFonts w:hint="default" w:ascii="Calibri" w:hAnsi="Calibri" w:cs="Calibri"/>
          <w:b/>
          <w:i w:val="0"/>
          <w:iCs w:val="0"/>
          <w:u w:val="none"/>
        </w:rPr>
        <w:t>[Refer to Appendix 1]</w:t>
      </w:r>
      <w:r>
        <w:rPr>
          <w:rFonts w:hint="default" w:ascii="Calibri" w:hAnsi="Calibri" w:cs="Calibri"/>
          <w:i w:val="0"/>
          <w:iCs w:val="0"/>
          <w:u w:val="none"/>
        </w:rPr>
        <w:t>. In this context, Tesco can follow a Competitive Pricing Strategy to overcome the market competition and establish a sustainable market position.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The bargaining power of suppliers</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In the UK retail industry, suppliers' bargaining power is low that creates a positive impact on the business of Tesco. In this context, the company has many suppliers that hamper the business and increases the cost structure. As opined by Sodhi and Tang (2021), effective management of the supply chain is very important for the retail business to enhance business growth. Therefore, the retail company Tesco is required to select an effective supplier and properly manage its supply chain. </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b/>
          <w:i w:val="0"/>
          <w:iCs w:val="0"/>
          <w:u w:val="none"/>
        </w:rPr>
        <w:t>The bargaining power of customers</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 xml:space="preserve">The customer negotiation power in the UK retail industry is moderate that makes a negative impact on the retail company Tesco. As opined by Galera‐Zarco </w:t>
      </w:r>
      <w:r>
        <w:rPr>
          <w:rStyle w:val="7"/>
          <w:rFonts w:hint="default" w:ascii="Calibri" w:hAnsi="Calibri" w:cs="Calibri"/>
          <w:i w:val="0"/>
          <w:iCs w:val="0"/>
          <w:u w:val="none"/>
        </w:rPr>
        <w:t>et al.</w:t>
      </w:r>
      <w:r>
        <w:rPr>
          <w:rFonts w:hint="default" w:ascii="Calibri" w:hAnsi="Calibri" w:cs="Calibri"/>
          <w:i w:val="0"/>
          <w:iCs w:val="0"/>
          <w:u w:val="none"/>
        </w:rPr>
        <w:t xml:space="preserve"> (2020), the high bargaining power of the customer damages the business performance. In this case, the company is required to maintain customer satisfaction to make the business sustainable by maximising the business revenue.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The threat of new entrants</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i w:val="0"/>
          <w:iCs w:val="0"/>
          <w:u w:val="none"/>
        </w:rPr>
        <w:t xml:space="preserve">The new companies can easily start a business in the retail industry as it requires low cost that shows the new entrants' threat is high. However, establishing a brand reputation is difficult for a startup company that creates benefits for Tesco Company. Furthermore, the company has more than 345,000 colleagues that also make benefit Tesco Company (Tescoplc.com, 2022).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The threat of substitute products </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Tesco makes uniqueness to its product therefore the chances of substituting the product is low that creates a positive impact on the business of Tesco. In this context, Tesco is required to make innovations in the product to draw consumers' attention and increase sales growth. Furthermore, the high increase in sales helps the company to improve revenue growth.  </w:t>
      </w:r>
    </w:p>
    <w:p>
      <w:pPr>
        <w:pStyle w:val="3"/>
        <w:rPr>
          <w:rFonts w:hint="default" w:ascii="Calibri" w:hAnsi="Calibri" w:cs="Calibri"/>
          <w:i w:val="0"/>
          <w:iCs w:val="0"/>
          <w:sz w:val="24"/>
          <w:szCs w:val="24"/>
          <w:u w:val="none"/>
        </w:rPr>
      </w:pPr>
      <w:r>
        <w:rPr>
          <w:rFonts w:hint="default" w:ascii="Calibri" w:hAnsi="Calibri" w:cs="Calibri"/>
          <w:i w:val="0"/>
          <w:iCs w:val="0"/>
          <w:sz w:val="24"/>
          <w:szCs w:val="24"/>
          <w:u w:val="none"/>
        </w:rPr>
        <w:t xml:space="preserve"> </w:t>
      </w:r>
      <w:bookmarkStart w:id="5" w:name="_Toc122095105"/>
      <w:r>
        <w:rPr>
          <w:rFonts w:hint="default" w:ascii="Calibri" w:hAnsi="Calibri" w:cs="Calibri"/>
          <w:i w:val="0"/>
          <w:iCs w:val="0"/>
          <w:sz w:val="24"/>
          <w:szCs w:val="24"/>
          <w:u w:val="none"/>
        </w:rPr>
        <w:t>SWOT analysis</w:t>
      </w:r>
      <w:bookmarkEnd w:id="5"/>
    </w:p>
    <w:tbl>
      <w:tblPr>
        <w:tblStyle w:val="5"/>
        <w:tblW w:w="5000" w:type="pct"/>
        <w:jc w:val="center"/>
        <w:tblLayout w:type="autofit"/>
        <w:tblCellMar>
          <w:top w:w="15" w:type="dxa"/>
          <w:left w:w="15" w:type="dxa"/>
          <w:bottom w:w="15" w:type="dxa"/>
          <w:right w:w="15" w:type="dxa"/>
        </w:tblCellMar>
      </w:tblPr>
      <w:tblGrid>
        <w:gridCol w:w="4695"/>
        <w:gridCol w:w="4695"/>
      </w:tblGrid>
      <w:tr>
        <w:tblPrEx>
          <w:tblCellMar>
            <w:top w:w="15" w:type="dxa"/>
            <w:left w:w="15" w:type="dxa"/>
            <w:bottom w:w="15" w:type="dxa"/>
            <w:right w:w="15" w:type="dxa"/>
          </w:tblCellMar>
        </w:tblPrEx>
        <w:trPr>
          <w:jc w:val="center"/>
        </w:trPr>
        <w:tc>
          <w:tcPr>
            <w:tcW w:w="2500" w:type="pct"/>
            <w:tcBorders>
              <w:top w:val="single" w:color="000000" w:sz="6" w:space="0"/>
              <w:left w:val="single" w:color="000000" w:sz="6" w:space="0"/>
              <w:bottom w:val="single" w:color="000000" w:sz="6" w:space="0"/>
              <w:right w:val="single" w:color="000000" w:sz="6" w:space="0"/>
            </w:tcBorders>
          </w:tcPr>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Strength</w:t>
            </w:r>
          </w:p>
        </w:tc>
        <w:tc>
          <w:tcPr>
            <w:tcW w:w="2500" w:type="pct"/>
            <w:tcBorders>
              <w:top w:val="single" w:color="000000" w:sz="6" w:space="0"/>
              <w:left w:val="nil"/>
              <w:bottom w:val="single" w:color="000000" w:sz="6" w:space="0"/>
              <w:right w:val="single" w:color="000000" w:sz="6" w:space="0"/>
            </w:tcBorders>
          </w:tcPr>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Weakness</w:t>
            </w:r>
          </w:p>
        </w:tc>
      </w:tr>
      <w:tr>
        <w:tblPrEx>
          <w:tblCellMar>
            <w:top w:w="15" w:type="dxa"/>
            <w:left w:w="15" w:type="dxa"/>
            <w:bottom w:w="15" w:type="dxa"/>
            <w:right w:w="15" w:type="dxa"/>
          </w:tblCellMar>
        </w:tblPrEx>
        <w:trPr>
          <w:jc w:val="center"/>
        </w:trPr>
        <w:tc>
          <w:tcPr>
            <w:tcW w:w="2500" w:type="pct"/>
            <w:tcBorders>
              <w:top w:val="nil"/>
              <w:left w:val="single" w:color="000000" w:sz="6" w:space="0"/>
              <w:bottom w:val="single" w:color="000000" w:sz="6" w:space="0"/>
              <w:right w:val="single" w:color="000000" w:sz="6" w:space="0"/>
            </w:tcBorders>
          </w:tcPr>
          <w:p>
            <w:pPr>
              <w:numPr>
                <w:ilvl w:val="0"/>
                <w:numId w:val="7"/>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Tesco has more than 345,000 colleagues (Tescoplc.com, 2022).</w:t>
            </w:r>
          </w:p>
          <w:p>
            <w:pPr>
              <w:numPr>
                <w:ilvl w:val="0"/>
                <w:numId w:val="7"/>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The revenue of the retail company Tesco is more than 56 billion British pounds (Statista.com, 2022a).</w:t>
            </w:r>
          </w:p>
          <w:p>
            <w:pPr>
              <w:numPr>
                <w:ilvl w:val="0"/>
                <w:numId w:val="7"/>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Geographically diversified</w:t>
            </w:r>
          </w:p>
          <w:p>
            <w:pPr>
              <w:numPr>
                <w:ilvl w:val="0"/>
                <w:numId w:val="7"/>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In the year 2022, the total number of stores in Tesco is 4,752 (Statista.com, 2022e)</w:t>
            </w:r>
          </w:p>
        </w:tc>
        <w:tc>
          <w:tcPr>
            <w:tcW w:w="2500" w:type="pct"/>
            <w:tcBorders>
              <w:top w:val="nil"/>
              <w:left w:val="nil"/>
              <w:bottom w:val="single" w:color="000000" w:sz="6" w:space="0"/>
              <w:right w:val="single" w:color="000000" w:sz="6" w:space="0"/>
            </w:tcBorders>
          </w:tcPr>
          <w:p>
            <w:pPr>
              <w:numPr>
                <w:ilvl w:val="0"/>
                <w:numId w:val="8"/>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High market competition </w:t>
            </w:r>
          </w:p>
          <w:p>
            <w:pPr>
              <w:numPr>
                <w:ilvl w:val="0"/>
                <w:numId w:val="8"/>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The main competitor of Tesco includes ASDA, Sainsbury's, Morrison's and so on (Keiningham et al. 2020). </w:t>
            </w:r>
          </w:p>
          <w:p>
            <w:pPr>
              <w:numPr>
                <w:ilvl w:val="0"/>
                <w:numId w:val="8"/>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The company follows a </w:t>
            </w:r>
            <w:r>
              <w:rPr>
                <w:rFonts w:hint="default" w:ascii="Calibri" w:hAnsi="Calibri" w:eastAsia="Times New Roman" w:cs="Calibri"/>
                <w:b/>
                <w:i w:val="0"/>
                <w:iCs w:val="0"/>
                <w:sz w:val="24"/>
                <w:szCs w:val="24"/>
                <w:u w:val="none"/>
              </w:rPr>
              <w:t xml:space="preserve">“Low-cost strategy” </w:t>
            </w:r>
            <w:r>
              <w:rPr>
                <w:rFonts w:hint="default" w:ascii="Calibri" w:hAnsi="Calibri" w:eastAsia="Times New Roman" w:cs="Calibri"/>
                <w:i w:val="0"/>
                <w:iCs w:val="0"/>
                <w:sz w:val="24"/>
                <w:szCs w:val="24"/>
                <w:u w:val="none"/>
              </w:rPr>
              <w:t>that decreases the business revenue</w:t>
            </w:r>
          </w:p>
        </w:tc>
      </w:tr>
      <w:tr>
        <w:tblPrEx>
          <w:tblCellMar>
            <w:top w:w="15" w:type="dxa"/>
            <w:left w:w="15" w:type="dxa"/>
            <w:bottom w:w="15" w:type="dxa"/>
            <w:right w:w="15" w:type="dxa"/>
          </w:tblCellMar>
        </w:tblPrEx>
        <w:trPr>
          <w:jc w:val="center"/>
        </w:trPr>
        <w:tc>
          <w:tcPr>
            <w:tcW w:w="2500" w:type="pct"/>
            <w:tcBorders>
              <w:top w:val="nil"/>
              <w:left w:val="single" w:color="000000" w:sz="6" w:space="0"/>
              <w:bottom w:val="single" w:color="000000" w:sz="6" w:space="0"/>
              <w:right w:val="single" w:color="000000" w:sz="6" w:space="0"/>
            </w:tcBorders>
          </w:tcPr>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Opportunities</w:t>
            </w:r>
          </w:p>
        </w:tc>
        <w:tc>
          <w:tcPr>
            <w:tcW w:w="2500" w:type="pct"/>
            <w:tcBorders>
              <w:top w:val="nil"/>
              <w:left w:val="nil"/>
              <w:bottom w:val="single" w:color="000000" w:sz="6" w:space="0"/>
              <w:right w:val="single" w:color="000000" w:sz="6" w:space="0"/>
            </w:tcBorders>
          </w:tcPr>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Threat</w:t>
            </w:r>
          </w:p>
        </w:tc>
      </w:tr>
      <w:tr>
        <w:tblPrEx>
          <w:tblCellMar>
            <w:top w:w="15" w:type="dxa"/>
            <w:left w:w="15" w:type="dxa"/>
            <w:bottom w:w="15" w:type="dxa"/>
            <w:right w:w="15" w:type="dxa"/>
          </w:tblCellMar>
        </w:tblPrEx>
        <w:trPr>
          <w:jc w:val="center"/>
        </w:trPr>
        <w:tc>
          <w:tcPr>
            <w:tcW w:w="2500" w:type="pct"/>
            <w:tcBorders>
              <w:top w:val="nil"/>
              <w:left w:val="single" w:color="000000" w:sz="6" w:space="0"/>
              <w:bottom w:val="single" w:color="000000" w:sz="6" w:space="0"/>
              <w:right w:val="single" w:color="000000" w:sz="6" w:space="0"/>
            </w:tcBorders>
          </w:tcPr>
          <w:p>
            <w:pPr>
              <w:numPr>
                <w:ilvl w:val="0"/>
                <w:numId w:val="9"/>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Tesco can expand its business operation in the foreign market </w:t>
            </w:r>
          </w:p>
          <w:p>
            <w:pPr>
              <w:numPr>
                <w:ilvl w:val="0"/>
                <w:numId w:val="9"/>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Tesco can follow </w:t>
            </w:r>
            <w:r>
              <w:rPr>
                <w:rFonts w:hint="default" w:ascii="Calibri" w:hAnsi="Calibri" w:eastAsia="Times New Roman" w:cs="Calibri"/>
                <w:b/>
                <w:i w:val="0"/>
                <w:iCs w:val="0"/>
                <w:sz w:val="24"/>
                <w:szCs w:val="24"/>
                <w:u w:val="none"/>
              </w:rPr>
              <w:t>the "One Hour Delivery”</w:t>
            </w:r>
            <w:r>
              <w:rPr>
                <w:rFonts w:hint="default" w:ascii="Calibri" w:hAnsi="Calibri" w:eastAsia="Times New Roman" w:cs="Calibri"/>
                <w:i w:val="0"/>
                <w:iCs w:val="0"/>
                <w:sz w:val="24"/>
                <w:szCs w:val="24"/>
                <w:u w:val="none"/>
              </w:rPr>
              <w:t xml:space="preserve"> procedure that helps to enhance sales growth </w:t>
            </w:r>
          </w:p>
        </w:tc>
        <w:tc>
          <w:tcPr>
            <w:tcW w:w="2500" w:type="pct"/>
            <w:tcBorders>
              <w:top w:val="nil"/>
              <w:left w:val="nil"/>
              <w:bottom w:val="single" w:color="000000" w:sz="6" w:space="0"/>
              <w:right w:val="single" w:color="000000" w:sz="6" w:space="0"/>
            </w:tcBorders>
          </w:tcPr>
          <w:p>
            <w:pPr>
              <w:pStyle w:val="20"/>
              <w:numPr>
                <w:ilvl w:val="0"/>
                <w:numId w:val="9"/>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 xml:space="preserve">Tesco faces </w:t>
            </w:r>
            <w:r>
              <w:rPr>
                <w:rFonts w:hint="default" w:ascii="Calibri" w:hAnsi="Calibri" w:eastAsia="Times New Roman" w:cs="Calibri"/>
                <w:b/>
                <w:i w:val="0"/>
                <w:iCs w:val="0"/>
                <w:sz w:val="24"/>
                <w:szCs w:val="24"/>
                <w:u w:val="none"/>
              </w:rPr>
              <w:t>“Supply chain issues”</w:t>
            </w:r>
            <w:r>
              <w:rPr>
                <w:rFonts w:hint="default" w:ascii="Calibri" w:hAnsi="Calibri" w:eastAsia="Times New Roman" w:cs="Calibri"/>
                <w:i w:val="0"/>
                <w:iCs w:val="0"/>
                <w:sz w:val="24"/>
                <w:szCs w:val="24"/>
                <w:u w:val="none"/>
              </w:rPr>
              <w:t xml:space="preserve"> that hamper the business performance</w:t>
            </w:r>
          </w:p>
          <w:p>
            <w:pPr>
              <w:pStyle w:val="20"/>
              <w:numPr>
                <w:ilvl w:val="0"/>
                <w:numId w:val="9"/>
              </w:numPr>
              <w:spacing w:after="0" w:line="360" w:lineRule="auto"/>
              <w:ind w:left="360" w:right="113"/>
              <w:jc w:val="both"/>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Rising costs of the raw material </w:t>
            </w:r>
          </w:p>
        </w:tc>
      </w:tr>
    </w:tbl>
    <w:p>
      <w:pPr>
        <w:spacing w:after="0" w:line="360" w:lineRule="auto"/>
        <w:jc w:val="center"/>
        <w:rPr>
          <w:rFonts w:hint="default" w:ascii="Calibri" w:hAnsi="Calibri" w:eastAsia="Times New Roman" w:cs="Calibri"/>
          <w:b/>
          <w:i w:val="0"/>
          <w:iCs w:val="0"/>
          <w:sz w:val="24"/>
          <w:szCs w:val="24"/>
          <w:u w:val="none"/>
        </w:rPr>
      </w:pPr>
      <w:r>
        <w:rPr>
          <w:rFonts w:hint="default" w:ascii="Calibri" w:hAnsi="Calibri" w:eastAsia="Times New Roman" w:cs="Calibri"/>
          <w:b/>
          <w:i w:val="0"/>
          <w:iCs w:val="0"/>
          <w:sz w:val="24"/>
          <w:szCs w:val="24"/>
          <w:u w:val="none"/>
        </w:rPr>
        <w:t>Table 3: SWOT analysis</w:t>
      </w:r>
    </w:p>
    <w:p>
      <w:pPr>
        <w:spacing w:after="0" w:line="360" w:lineRule="auto"/>
        <w:jc w:val="center"/>
        <w:rPr>
          <w:rFonts w:hint="default" w:ascii="Calibri" w:hAnsi="Calibri" w:eastAsia="Times New Roman" w:cs="Calibri"/>
          <w:i w:val="0"/>
          <w:iCs w:val="0"/>
          <w:sz w:val="24"/>
          <w:szCs w:val="24"/>
          <w:u w:val="none"/>
        </w:rPr>
      </w:pPr>
      <w:r>
        <w:rPr>
          <w:rFonts w:hint="default" w:ascii="Calibri" w:hAnsi="Calibri" w:eastAsia="Times New Roman" w:cs="Calibri"/>
          <w:i w:val="0"/>
          <w:iCs w:val="0"/>
          <w:sz w:val="24"/>
          <w:szCs w:val="24"/>
          <w:u w:val="none"/>
        </w:rPr>
        <w:t>(Source: Self-developed)</w:t>
      </w:r>
    </w:p>
    <w:p>
      <w:pPr>
        <w:spacing w:after="0" w:line="360" w:lineRule="auto"/>
        <w:jc w:val="both"/>
        <w:rPr>
          <w:rFonts w:hint="default" w:ascii="Calibri" w:hAnsi="Calibri" w:cs="Calibri"/>
          <w:b/>
          <w:i w:val="0"/>
          <w:iCs w:val="0"/>
          <w:sz w:val="24"/>
          <w:szCs w:val="24"/>
          <w:u w:val="none"/>
        </w:rPr>
      </w:pPr>
      <w:r>
        <w:rPr>
          <w:rFonts w:hint="default" w:ascii="Calibri" w:hAnsi="Calibri" w:cs="Calibri"/>
          <w:b/>
          <w:i w:val="0"/>
          <w:iCs w:val="0"/>
          <w:sz w:val="24"/>
          <w:szCs w:val="24"/>
          <w:u w:val="none"/>
        </w:rPr>
        <w:t>Analysis</w:t>
      </w:r>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t>The above tables show the main strength of the retail company Tesco a strong financial ability, a sufficient number of human resources and stores. The main weakness of the company is its high market competition and the main competitor of Tesco includes ASDA, Sainsbury's, Morrison's and so on (Keiningham et al. 2020). Tesco can follow the “One Hour Delivery” procedure that works as an opportunity for the business and help the business to improve sales growth. Tesco faces “supply chain issues” that hamper the flow of product procedure and damages the business performance. </w:t>
      </w:r>
    </w:p>
    <w:p>
      <w:pPr>
        <w:pStyle w:val="3"/>
        <w:rPr>
          <w:rFonts w:hint="default" w:ascii="Calibri" w:hAnsi="Calibri" w:cs="Calibri"/>
          <w:i w:val="0"/>
          <w:iCs w:val="0"/>
          <w:sz w:val="24"/>
          <w:szCs w:val="24"/>
          <w:u w:val="none"/>
          <w:lang w:val="en-GB"/>
        </w:rPr>
      </w:pPr>
      <w:bookmarkStart w:id="6" w:name="_Toc122095106"/>
      <w:r>
        <w:rPr>
          <w:rFonts w:hint="default" w:ascii="Calibri" w:hAnsi="Calibri" w:cs="Calibri"/>
          <w:i w:val="0"/>
          <w:iCs w:val="0"/>
          <w:sz w:val="24"/>
          <w:szCs w:val="24"/>
          <w:u w:val="none"/>
          <w:lang w:val="en-GB"/>
        </w:rPr>
        <w:t>Segmentation, targeting and positioning</w:t>
      </w:r>
      <w:bookmarkEnd w:id="6"/>
    </w:p>
    <w:p>
      <w:pPr>
        <w:spacing w:after="0" w:line="360" w:lineRule="auto"/>
        <w:jc w:val="both"/>
        <w:rPr>
          <w:rFonts w:hint="default" w:ascii="Calibri" w:hAnsi="Calibri" w:cs="Calibri"/>
          <w:i w:val="0"/>
          <w:iCs w:val="0"/>
          <w:sz w:val="24"/>
          <w:szCs w:val="24"/>
          <w:u w:val="none"/>
          <w:lang w:val="en-GB"/>
        </w:rPr>
      </w:pPr>
      <w:r>
        <w:rPr>
          <w:rFonts w:hint="default" w:ascii="Calibri" w:hAnsi="Calibri" w:cs="Calibri"/>
          <w:i w:val="0"/>
          <w:iCs w:val="0"/>
          <w:sz w:val="24"/>
          <w:szCs w:val="24"/>
          <w:u w:val="none"/>
        </w:rPr>
        <w:t>Tesco follows four segments “</w:t>
      </w:r>
      <w:r>
        <w:rPr>
          <w:rFonts w:hint="default" w:ascii="Calibri" w:hAnsi="Calibri" w:cs="Calibri"/>
          <w:b/>
          <w:i w:val="0"/>
          <w:iCs w:val="0"/>
          <w:sz w:val="24"/>
          <w:szCs w:val="24"/>
          <w:u w:val="none"/>
        </w:rPr>
        <w:t>Geographic”, “Psychographic”, “Behavioural”, “Demographic”</w:t>
      </w:r>
      <w:r>
        <w:rPr>
          <w:rFonts w:hint="default" w:ascii="Calibri" w:hAnsi="Calibri" w:cs="Calibri"/>
          <w:i w:val="0"/>
          <w:iCs w:val="0"/>
          <w:sz w:val="24"/>
          <w:szCs w:val="24"/>
          <w:u w:val="none"/>
        </w:rPr>
        <w:t xml:space="preserve"> segmentation. Tesco keeps the availability of the product for all all-ages people with low and middle-income families. The occupation of people can be students, professionals, employees and unemployed. The company provides the products to the UK to 11 other countries. In terms of lifestyle, lifestyles can contend conformers, Traditionalists or anything. The benefit sought is cost advantages, variety, and the user status as an active user. Tesco is positioned as a multinational retail company that provides products at affordable prices (Tescoplc.com, 2022). The target market of Tesco is all-ages people with low and middle-income families in the UK.  </w:t>
      </w:r>
    </w:p>
    <w:p>
      <w:pPr>
        <w:pStyle w:val="3"/>
        <w:rPr>
          <w:rFonts w:hint="default" w:ascii="Calibri" w:hAnsi="Calibri" w:cs="Calibri"/>
          <w:i w:val="0"/>
          <w:iCs w:val="0"/>
          <w:sz w:val="24"/>
          <w:szCs w:val="24"/>
          <w:u w:val="none"/>
          <w:lang w:val="en-GB"/>
        </w:rPr>
      </w:pPr>
      <w:bookmarkStart w:id="7" w:name="_Toc122095107"/>
      <w:r>
        <w:rPr>
          <w:rFonts w:hint="default" w:ascii="Calibri" w:hAnsi="Calibri" w:cs="Calibri"/>
          <w:i w:val="0"/>
          <w:iCs w:val="0"/>
          <w:sz w:val="24"/>
          <w:szCs w:val="24"/>
          <w:u w:val="none"/>
          <w:lang w:val="en-GB"/>
        </w:rPr>
        <w:t>4Ps Marketing mix strategy</w:t>
      </w:r>
      <w:bookmarkEnd w:id="7"/>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 xml:space="preserve">The </w:t>
      </w:r>
      <w:r>
        <w:rPr>
          <w:rFonts w:hint="default" w:ascii="Calibri" w:hAnsi="Calibri" w:cs="Calibri"/>
          <w:b/>
          <w:i w:val="0"/>
          <w:iCs w:val="0"/>
          <w:u w:val="none"/>
        </w:rPr>
        <w:t>“4Ps Marketing mix strategy”</w:t>
      </w:r>
      <w:r>
        <w:rPr>
          <w:rFonts w:hint="default" w:ascii="Calibri" w:hAnsi="Calibri" w:cs="Calibri"/>
          <w:i w:val="0"/>
          <w:iCs w:val="0"/>
          <w:u w:val="none"/>
        </w:rPr>
        <w:t xml:space="preserve"> has been taken to determine the product, place, promotional style, and pricing style of Tesco.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Tesco Product Strategy</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Tesco keeps a wide range of products including clothing, furniture, toys, books, electronics, telecom services, financial services, internet services and so on (Tescoplc.com, 2022). The company keeps the availability of multiple types of products that influences the consumers to purchase a variety of types of products from one shop.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Tesco Pricing Strategy</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Tesco follows a Low-cost strategy to sell the product and provides the product to consumers at affordable prices. This strategy is very beneficial for the company to increase sales growth and improves business revenue.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Tesco Place Strategy</w:t>
      </w:r>
    </w:p>
    <w:p>
      <w:pPr>
        <w:pStyle w:val="11"/>
        <w:spacing w:before="0" w:beforeAutospacing="0" w:after="0" w:afterAutospacing="0" w:line="360" w:lineRule="auto"/>
        <w:jc w:val="both"/>
        <w:rPr>
          <w:rFonts w:hint="default" w:ascii="Calibri" w:hAnsi="Calibri" w:cs="Calibri"/>
          <w:i w:val="0"/>
          <w:iCs w:val="0"/>
          <w:u w:val="none"/>
        </w:rPr>
      </w:pPr>
      <w:r>
        <w:rPr>
          <w:rFonts w:hint="default" w:ascii="Calibri" w:hAnsi="Calibri" w:cs="Calibri"/>
          <w:i w:val="0"/>
          <w:iCs w:val="0"/>
          <w:u w:val="none"/>
        </w:rPr>
        <w:t>The company sells the product to the UK to 11 other countries. In the year 2022, the total number of stores in Tesco is 4,752 (Statista.com, 2022e). The company sells its product online and in multi-format stores therefore the customer can purchase the product from multi-format stores and online.  </w:t>
      </w:r>
    </w:p>
    <w:p>
      <w:pPr>
        <w:pStyle w:val="11"/>
        <w:spacing w:before="0" w:beforeAutospacing="0" w:after="0" w:afterAutospacing="0" w:line="360" w:lineRule="auto"/>
        <w:jc w:val="both"/>
        <w:rPr>
          <w:rFonts w:hint="default" w:ascii="Calibri" w:hAnsi="Calibri" w:cs="Calibri"/>
          <w:b/>
          <w:i w:val="0"/>
          <w:iCs w:val="0"/>
          <w:u w:val="none"/>
        </w:rPr>
      </w:pPr>
      <w:r>
        <w:rPr>
          <w:rFonts w:hint="default" w:ascii="Calibri" w:hAnsi="Calibri" w:cs="Calibri"/>
          <w:b/>
          <w:i w:val="0"/>
          <w:iCs w:val="0"/>
          <w:u w:val="none"/>
        </w:rPr>
        <w:t>Tesco Promotion Strategy</w:t>
      </w:r>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t> Tesco makes the promotion of the product through media and print to send messages to a huge range of customers. The effective promotion of the product is very beneficial for the organisation to enhance sales growth and business revenue   </w:t>
      </w:r>
    </w:p>
    <w:p>
      <w:pPr>
        <w:pStyle w:val="3"/>
        <w:rPr>
          <w:rFonts w:hint="default" w:ascii="Calibri" w:hAnsi="Calibri" w:cs="Calibri"/>
          <w:i w:val="0"/>
          <w:iCs w:val="0"/>
          <w:sz w:val="24"/>
          <w:szCs w:val="24"/>
          <w:u w:val="none"/>
          <w:lang w:val="en-GB"/>
        </w:rPr>
      </w:pPr>
      <w:bookmarkStart w:id="8" w:name="_Toc122095108"/>
      <w:r>
        <w:rPr>
          <w:rFonts w:hint="default" w:ascii="Calibri" w:hAnsi="Calibri" w:cs="Calibri"/>
          <w:i w:val="0"/>
          <w:iCs w:val="0"/>
          <w:sz w:val="24"/>
          <w:szCs w:val="24"/>
          <w:u w:val="none"/>
          <w:lang w:val="en-GB"/>
        </w:rPr>
        <w:t>Conclusion</w:t>
      </w:r>
      <w:bookmarkEnd w:id="8"/>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t xml:space="preserve">The reputed multinational retail company Tesco sells the product through online and multi-format stores. In this report, the </w:t>
      </w:r>
      <w:r>
        <w:rPr>
          <w:rFonts w:hint="default" w:ascii="Calibri" w:hAnsi="Calibri" w:cs="Calibri"/>
          <w:b/>
          <w:i w:val="0"/>
          <w:iCs w:val="0"/>
          <w:sz w:val="24"/>
          <w:szCs w:val="24"/>
          <w:u w:val="none"/>
        </w:rPr>
        <w:t xml:space="preserve">“PESTLE analysis” </w:t>
      </w:r>
      <w:r>
        <w:rPr>
          <w:rFonts w:hint="default" w:ascii="Calibri" w:hAnsi="Calibri" w:cs="Calibri"/>
          <w:i w:val="0"/>
          <w:iCs w:val="0"/>
          <w:sz w:val="24"/>
          <w:szCs w:val="24"/>
          <w:u w:val="none"/>
        </w:rPr>
        <w:t>and</w:t>
      </w:r>
      <w:r>
        <w:rPr>
          <w:rFonts w:hint="default" w:ascii="Calibri" w:hAnsi="Calibri" w:cs="Calibri"/>
          <w:b/>
          <w:i w:val="0"/>
          <w:iCs w:val="0"/>
          <w:sz w:val="24"/>
          <w:szCs w:val="24"/>
          <w:u w:val="none"/>
        </w:rPr>
        <w:t xml:space="preserve"> “SWOT analysis” </w:t>
      </w:r>
      <w:r>
        <w:rPr>
          <w:rFonts w:hint="default" w:ascii="Calibri" w:hAnsi="Calibri" w:cs="Calibri"/>
          <w:i w:val="0"/>
          <w:iCs w:val="0"/>
          <w:sz w:val="24"/>
          <w:szCs w:val="24"/>
          <w:u w:val="none"/>
        </w:rPr>
        <w:t xml:space="preserve">have been used to examine the external factors and internal factors. In addition, </w:t>
      </w:r>
      <w:r>
        <w:rPr>
          <w:rFonts w:hint="default" w:ascii="Calibri" w:hAnsi="Calibri" w:cs="Calibri"/>
          <w:b/>
          <w:i w:val="0"/>
          <w:iCs w:val="0"/>
          <w:sz w:val="24"/>
          <w:szCs w:val="24"/>
          <w:u w:val="none"/>
        </w:rPr>
        <w:t>“Porter's Five Forces Model”</w:t>
      </w:r>
      <w:r>
        <w:rPr>
          <w:rFonts w:hint="default" w:ascii="Calibri" w:hAnsi="Calibri" w:cs="Calibri"/>
          <w:i w:val="0"/>
          <w:iCs w:val="0"/>
          <w:sz w:val="24"/>
          <w:szCs w:val="24"/>
          <w:u w:val="none"/>
        </w:rPr>
        <w:t xml:space="preserve"> has been used to figure out the main competitive forces of the retail industry. Furthermore, the segmentation, positioning and target market of the company has also been addressed. The finding shows, Tesco has established a good marketing position in the UK marketplaces that help the company to achieve strategic business objectives. The </w:t>
      </w:r>
      <w:r>
        <w:rPr>
          <w:rFonts w:hint="default" w:ascii="Calibri" w:hAnsi="Calibri" w:cs="Calibri"/>
          <w:b/>
          <w:i w:val="0"/>
          <w:iCs w:val="0"/>
          <w:sz w:val="24"/>
          <w:szCs w:val="24"/>
          <w:u w:val="none"/>
        </w:rPr>
        <w:t>“4Ps Marketing mix strategy”</w:t>
      </w:r>
      <w:r>
        <w:rPr>
          <w:rFonts w:hint="default" w:ascii="Calibri" w:hAnsi="Calibri" w:cs="Calibri"/>
          <w:i w:val="0"/>
          <w:iCs w:val="0"/>
          <w:sz w:val="24"/>
          <w:szCs w:val="24"/>
          <w:u w:val="none"/>
        </w:rPr>
        <w:t xml:space="preserve"> has been taken to determine the product, place, promotional style, and pricing style of Tesco. It can be concluded that the brand reputation and good marketing position of the retail company Tesco help the company to achieve its long-term business goal. </w:t>
      </w:r>
    </w:p>
    <w:p>
      <w:pPr>
        <w:pStyle w:val="2"/>
        <w:rPr>
          <w:rFonts w:hint="default" w:ascii="Calibri" w:hAnsi="Calibri" w:cs="Calibri"/>
          <w:i w:val="0"/>
          <w:iCs w:val="0"/>
          <w:sz w:val="24"/>
          <w:szCs w:val="24"/>
          <w:u w:val="none"/>
        </w:rPr>
      </w:pPr>
      <w:bookmarkStart w:id="9" w:name="_Toc122095109"/>
      <w:r>
        <w:rPr>
          <w:rFonts w:hint="default" w:ascii="Calibri" w:hAnsi="Calibri" w:cs="Calibri"/>
          <w:i w:val="0"/>
          <w:iCs w:val="0"/>
          <w:sz w:val="24"/>
          <w:szCs w:val="24"/>
          <w:u w:val="none"/>
        </w:rPr>
        <w:t>Question B</w:t>
      </w:r>
      <w:bookmarkEnd w:id="9"/>
    </w:p>
    <w:p>
      <w:pPr>
        <w:pStyle w:val="3"/>
        <w:rPr>
          <w:rFonts w:hint="default" w:ascii="Calibri" w:hAnsi="Calibri" w:cs="Calibri"/>
          <w:i w:val="0"/>
          <w:iCs w:val="0"/>
          <w:sz w:val="24"/>
          <w:szCs w:val="24"/>
          <w:u w:val="none"/>
        </w:rPr>
      </w:pPr>
      <w:bookmarkStart w:id="10" w:name="_Toc122095110"/>
      <w:r>
        <w:rPr>
          <w:rFonts w:hint="default" w:ascii="Calibri" w:hAnsi="Calibri" w:cs="Calibri"/>
          <w:i w:val="0"/>
          <w:iCs w:val="0"/>
          <w:sz w:val="24"/>
          <w:szCs w:val="24"/>
          <w:u w:val="none"/>
        </w:rPr>
        <w:t>Recommendations</w:t>
      </w:r>
      <w:bookmarkEnd w:id="10"/>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t xml:space="preserve">Tesco company to overcome the market competition and improves the financial performance of the business required following a </w:t>
      </w:r>
      <w:r>
        <w:rPr>
          <w:rFonts w:hint="default" w:ascii="Calibri" w:hAnsi="Calibri" w:cs="Calibri"/>
          <w:b/>
          <w:i w:val="0"/>
          <w:iCs w:val="0"/>
          <w:sz w:val="24"/>
          <w:szCs w:val="24"/>
          <w:u w:val="none"/>
        </w:rPr>
        <w:t>“competitive pricing strategy”</w:t>
      </w:r>
      <w:r>
        <w:rPr>
          <w:rFonts w:hint="default" w:ascii="Calibri" w:hAnsi="Calibri" w:cs="Calibri"/>
          <w:i w:val="0"/>
          <w:iCs w:val="0"/>
          <w:sz w:val="24"/>
          <w:szCs w:val="24"/>
          <w:u w:val="none"/>
        </w:rPr>
        <w:t xml:space="preserve">. As opined by Faith (2018), a </w:t>
      </w:r>
      <w:r>
        <w:rPr>
          <w:rFonts w:hint="default" w:ascii="Calibri" w:hAnsi="Calibri" w:cs="Calibri"/>
          <w:b/>
          <w:i w:val="0"/>
          <w:iCs w:val="0"/>
          <w:sz w:val="24"/>
          <w:szCs w:val="24"/>
          <w:u w:val="none"/>
        </w:rPr>
        <w:t xml:space="preserve">“competitive pricing strategy” </w:t>
      </w:r>
      <w:r>
        <w:rPr>
          <w:rFonts w:hint="default" w:ascii="Calibri" w:hAnsi="Calibri" w:cs="Calibri"/>
          <w:i w:val="0"/>
          <w:iCs w:val="0"/>
          <w:sz w:val="24"/>
          <w:szCs w:val="24"/>
          <w:u w:val="none"/>
        </w:rPr>
        <w:t xml:space="preserve">is very effective for the business to enhance sales growth in a minimal time. The company is required to focus on proper </w:t>
      </w:r>
      <w:r>
        <w:rPr>
          <w:rFonts w:hint="default" w:ascii="Calibri" w:hAnsi="Calibri" w:cs="Calibri"/>
          <w:b/>
          <w:i w:val="0"/>
          <w:iCs w:val="0"/>
          <w:sz w:val="24"/>
          <w:szCs w:val="24"/>
          <w:u w:val="none"/>
        </w:rPr>
        <w:t>“supply chain management”</w:t>
      </w:r>
      <w:r>
        <w:rPr>
          <w:rFonts w:hint="default" w:ascii="Calibri" w:hAnsi="Calibri" w:cs="Calibri"/>
          <w:i w:val="0"/>
          <w:iCs w:val="0"/>
          <w:sz w:val="24"/>
          <w:szCs w:val="24"/>
          <w:u w:val="none"/>
        </w:rPr>
        <w:t xml:space="preserve">, that helps the company to keep the availability of the product and the company can effectively maintain customer satisfaction. According to Sodhi and Tang (2021), proper </w:t>
      </w:r>
      <w:r>
        <w:rPr>
          <w:rFonts w:hint="default" w:ascii="Calibri" w:hAnsi="Calibri" w:cs="Calibri"/>
          <w:b/>
          <w:i w:val="0"/>
          <w:iCs w:val="0"/>
          <w:sz w:val="24"/>
          <w:szCs w:val="24"/>
          <w:u w:val="none"/>
        </w:rPr>
        <w:t>“supply chain management”</w:t>
      </w:r>
      <w:r>
        <w:rPr>
          <w:rFonts w:hint="default" w:ascii="Calibri" w:hAnsi="Calibri" w:cs="Calibri"/>
          <w:i w:val="0"/>
          <w:iCs w:val="0"/>
          <w:sz w:val="24"/>
          <w:szCs w:val="24"/>
          <w:u w:val="none"/>
        </w:rPr>
        <w:t> is very important for the retail business to enhance business growth. Therefore, the retail company Tesco is required to maintain proper management of the supply chain to properly meet customer requirements.  </w:t>
      </w:r>
    </w:p>
    <w:p>
      <w:pPr>
        <w:pStyle w:val="2"/>
        <w:rPr>
          <w:rFonts w:hint="default" w:ascii="Calibri" w:hAnsi="Calibri" w:cs="Calibri"/>
          <w:i w:val="0"/>
          <w:iCs w:val="0"/>
          <w:sz w:val="24"/>
          <w:szCs w:val="24"/>
          <w:u w:val="none"/>
        </w:rPr>
      </w:pPr>
      <w:r>
        <w:rPr>
          <w:rFonts w:hint="default" w:ascii="Calibri" w:hAnsi="Calibri" w:cs="Calibri"/>
          <w:i w:val="0"/>
          <w:iCs w:val="0"/>
          <w:sz w:val="24"/>
          <w:szCs w:val="24"/>
          <w:u w:val="none"/>
        </w:rPr>
        <w:br w:type="page"/>
      </w:r>
      <w:bookmarkStart w:id="11" w:name="_Toc122095111"/>
      <w:r>
        <w:rPr>
          <w:rFonts w:hint="default" w:ascii="Calibri" w:hAnsi="Calibri" w:cs="Calibri"/>
          <w:i w:val="0"/>
          <w:iCs w:val="0"/>
          <w:sz w:val="24"/>
          <w:szCs w:val="24"/>
          <w:u w:val="none"/>
        </w:rPr>
        <w:t>References</w:t>
      </w:r>
      <w:bookmarkEnd w:id="11"/>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color w:val="000000" w:themeColor="text1"/>
          <w:sz w:val="24"/>
          <w:szCs w:val="24"/>
          <w:u w:val="none"/>
          <w:shd w:val="clear" w:color="auto" w:fill="FFFFFF"/>
        </w:rPr>
        <w:t>Faith, D.O., 2018. A review of the effect of pricing strategies on the purchase of consumer goods. International Journal of Research in Management, Science &amp; Technology (E-ISSN: 2321-3264) Vol, 2.</w:t>
      </w:r>
      <w:r>
        <w:rPr>
          <w:rFonts w:hint="default" w:ascii="Calibri" w:hAnsi="Calibri" w:cs="Calibri"/>
          <w:i w:val="0"/>
          <w:iCs w:val="0"/>
          <w:color w:val="000000" w:themeColor="text1"/>
          <w:sz w:val="24"/>
          <w:szCs w:val="24"/>
          <w:u w:val="none"/>
        </w:rPr>
        <w:t xml:space="preserve"> </w:t>
      </w:r>
      <w:r>
        <w:rPr>
          <w:rFonts w:hint="default" w:ascii="Calibri" w:hAnsi="Calibri" w:cs="Calibri"/>
          <w:i w:val="0"/>
          <w:iCs w:val="0"/>
          <w:color w:val="000000" w:themeColor="text1"/>
          <w:sz w:val="24"/>
          <w:szCs w:val="24"/>
          <w:u w:val="none"/>
          <w:shd w:val="clear" w:color="auto" w:fill="FFFFFF"/>
        </w:rPr>
        <w:t>https://papers.ssrn.com/sol3/papers.cfm?abstract_id=3122351</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shd w:val="clear" w:color="auto" w:fill="FFFFFF"/>
        </w:rPr>
        <w:t>Galera‐Zarco, C., Opazo‐Basáez, M., Marić, J. and García‐Feijoo, M., 2020. Digitalization and the inception of concentric strategic alliances: A case study in the retailing sector. Strategic Change, 29(2), pp.165-177.</w:t>
      </w:r>
      <w:r>
        <w:rPr>
          <w:rFonts w:hint="default" w:ascii="Calibri" w:hAnsi="Calibri" w:cs="Calibri"/>
          <w:i w:val="0"/>
          <w:iCs w:val="0"/>
          <w:color w:val="000000" w:themeColor="text1"/>
          <w:sz w:val="24"/>
          <w:szCs w:val="24"/>
          <w:u w:val="none"/>
        </w:rPr>
        <w:t xml:space="preserve">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"https://doi.org/10.1002/jsc.2319"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https://doi.org/10.1002/jsc.2319</w:t>
      </w:r>
      <w:r>
        <w:rPr>
          <w:rStyle w:val="10"/>
          <w:rFonts w:hint="default" w:ascii="Calibri" w:hAnsi="Calibri" w:cs="Calibri"/>
          <w:i w:val="0"/>
          <w:iCs w:val="0"/>
          <w:color w:val="000000" w:themeColor="text1"/>
          <w:sz w:val="24"/>
          <w:szCs w:val="24"/>
          <w:u w:val="none"/>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Gov.uk (2022a). Income Tax rates and Personal Allowances.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"https://www.gov.uk/income-tax-rates.%20Accessed%20on%2016.12.2022"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https://www.gov.uk/income-tax-rates. Accessed on 16.12.2022</w:t>
      </w:r>
      <w:r>
        <w:rPr>
          <w:rStyle w:val="10"/>
          <w:rFonts w:hint="default" w:ascii="Calibri" w:hAnsi="Calibri" w:cs="Calibri"/>
          <w:i w:val="0"/>
          <w:iCs w:val="0"/>
          <w:color w:val="000000" w:themeColor="text1"/>
          <w:sz w:val="24"/>
          <w:szCs w:val="24"/>
          <w:u w:val="none"/>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Gov.uk (2022b). Environmental Protection Act 1990.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"https://www.gov.uk/income-tax-rates.%20Accessed%20on%2016.12.2022" </w:instrText>
      </w:r>
      <w:r>
        <w:rPr>
          <w:rFonts w:hint="default" w:ascii="Calibri" w:hAnsi="Calibri" w:cs="Calibri"/>
          <w:i w:val="0"/>
          <w:iCs w:val="0"/>
          <w:u w:val="none"/>
        </w:rPr>
        <w:fldChar w:fldCharType="separate"/>
      </w:r>
      <w:r>
        <w:rPr>
          <w:rFonts w:hint="default" w:ascii="Calibri" w:hAnsi="Calibri" w:cs="Calibri"/>
          <w:i w:val="0"/>
          <w:iCs w:val="0"/>
          <w:color w:val="000000" w:themeColor="text1"/>
          <w:sz w:val="24"/>
          <w:szCs w:val="24"/>
          <w:u w:val="none"/>
        </w:rPr>
        <w:t xml:space="preserve"> </w:t>
      </w:r>
      <w:r>
        <w:rPr>
          <w:rStyle w:val="10"/>
          <w:rFonts w:hint="default" w:ascii="Calibri" w:hAnsi="Calibri" w:cs="Calibri"/>
          <w:i w:val="0"/>
          <w:iCs w:val="0"/>
          <w:color w:val="000000" w:themeColor="text1"/>
          <w:sz w:val="24"/>
          <w:szCs w:val="24"/>
          <w:u w:val="none"/>
        </w:rPr>
        <w:t>https://www.legislation.gov.uk/ukpga/1990/43/contents. Accessed on 16.12.2022</w:t>
      </w:r>
      <w:r>
        <w:rPr>
          <w:rStyle w:val="10"/>
          <w:rFonts w:hint="default" w:ascii="Calibri" w:hAnsi="Calibri" w:cs="Calibri"/>
          <w:i w:val="0"/>
          <w:iCs w:val="0"/>
          <w:color w:val="000000" w:themeColor="text1"/>
          <w:sz w:val="24"/>
          <w:szCs w:val="24"/>
          <w:u w:val="none"/>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Gov.uk (2022c).  Equality Act 2010.   Available from https://www.gov.uk/guidance/equality-act-2010-guidance#:~:text=The%20Equality%20Act%202010%20legally,strengthening%20protection%20in%20some%20situations. Accessed on 16.12.2022</w:t>
      </w:r>
    </w:p>
    <w:p>
      <w:pPr>
        <w:spacing w:after="0" w:line="360" w:lineRule="auto"/>
        <w:jc w:val="both"/>
        <w:rPr>
          <w:rFonts w:hint="default" w:ascii="Calibri" w:hAnsi="Calibri" w:cs="Calibri"/>
          <w:i w:val="0"/>
          <w:iCs w:val="0"/>
          <w:color w:val="000000" w:themeColor="text1"/>
          <w:sz w:val="24"/>
          <w:szCs w:val="24"/>
          <w:u w:val="none"/>
          <w:shd w:val="clear" w:color="auto" w:fill="FFFFFF"/>
        </w:rPr>
      </w:pPr>
      <w:r>
        <w:rPr>
          <w:rFonts w:hint="default" w:ascii="Calibri" w:hAnsi="Calibri" w:cs="Calibri"/>
          <w:i w:val="0"/>
          <w:iCs w:val="0"/>
          <w:color w:val="000000" w:themeColor="text1"/>
          <w:sz w:val="24"/>
          <w:szCs w:val="24"/>
          <w:u w:val="none"/>
          <w:shd w:val="clear" w:color="auto" w:fill="FFFFFF"/>
        </w:rPr>
        <w:t>Keiningham, T., Aksoy, L., Bruce, H.L., Cadet, F., Clennell, N., Hodgkinson, I.R. and Kearney, T., 2020. Customer experience driven business model innovation. Journal of Business Research, 116, pp.431-440.</w:t>
      </w:r>
      <w:r>
        <w:rPr>
          <w:rFonts w:hint="default" w:ascii="Calibri" w:hAnsi="Calibri" w:cs="Calibri"/>
          <w:i w:val="0"/>
          <w:iCs w:val="0"/>
          <w:color w:val="000000" w:themeColor="text1"/>
          <w:sz w:val="24"/>
          <w:szCs w:val="24"/>
          <w:u w:val="none"/>
        </w:rPr>
        <w:t xml:space="preserve">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"https://www.sciencedirect.com/science/article/pii/S014829631930462X"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shd w:val="clear" w:color="auto" w:fill="FFFFFF"/>
        </w:rPr>
        <w:t>https://www.sciencedirect.com/science/article/pii/S014829631930462X</w:t>
      </w:r>
      <w:r>
        <w:rPr>
          <w:rStyle w:val="10"/>
          <w:rFonts w:hint="default" w:ascii="Calibri" w:hAnsi="Calibri" w:cs="Calibri"/>
          <w:i w:val="0"/>
          <w:iCs w:val="0"/>
          <w:color w:val="000000" w:themeColor="text1"/>
          <w:sz w:val="24"/>
          <w:szCs w:val="24"/>
          <w:u w:val="none"/>
          <w:shd w:val="clear" w:color="auto" w:fill="FFFFFF"/>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Ons.gov.uk (2022a). Unemployment rate (aged 16 and over, seasonally adjusted): %.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"https://www.gov.uk/income-tax-rates.%20Accessed%20on%2016.12.2022" </w:instrText>
      </w:r>
      <w:r>
        <w:rPr>
          <w:rFonts w:hint="default" w:ascii="Calibri" w:hAnsi="Calibri" w:cs="Calibri"/>
          <w:i w:val="0"/>
          <w:iCs w:val="0"/>
          <w:u w:val="none"/>
        </w:rPr>
        <w:fldChar w:fldCharType="separate"/>
      </w:r>
      <w:r>
        <w:rPr>
          <w:rFonts w:hint="default" w:ascii="Calibri" w:hAnsi="Calibri" w:cs="Calibri"/>
          <w:i w:val="0"/>
          <w:iCs w:val="0"/>
          <w:color w:val="000000" w:themeColor="text1"/>
          <w:sz w:val="24"/>
          <w:szCs w:val="24"/>
          <w:u w:val="none"/>
        </w:rPr>
        <w:t xml:space="preserve"> </w:t>
      </w:r>
      <w:r>
        <w:rPr>
          <w:rStyle w:val="10"/>
          <w:rFonts w:hint="default" w:ascii="Calibri" w:hAnsi="Calibri" w:cs="Calibri"/>
          <w:i w:val="0"/>
          <w:iCs w:val="0"/>
          <w:color w:val="000000" w:themeColor="text1"/>
          <w:sz w:val="24"/>
          <w:szCs w:val="24"/>
          <w:u w:val="none"/>
        </w:rPr>
        <w:t>https://www.ons.gov.uk/employmentandlabourmarket/peoplenotinwork/unemployment#:~:text=Labour%20market%20overview%2C%20UK%3A%20December%202022&amp;text=The%20unemployment%20rate%20for%20August,seen%20across%20all%20age%20groups. Accessed on 16.12.2022</w:t>
      </w:r>
      <w:r>
        <w:rPr>
          <w:rStyle w:val="10"/>
          <w:rFonts w:hint="default" w:ascii="Calibri" w:hAnsi="Calibri" w:cs="Calibri"/>
          <w:i w:val="0"/>
          <w:iCs w:val="0"/>
          <w:color w:val="000000" w:themeColor="text1"/>
          <w:sz w:val="24"/>
          <w:szCs w:val="24"/>
          <w:u w:val="none"/>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Ons.gov.uk (2022b). Retail sales, Great Britain: October 2022.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"https://www.gov.uk/income-tax-rates.%20Accessed%20on%2016.12.2022" </w:instrText>
      </w:r>
      <w:r>
        <w:rPr>
          <w:rFonts w:hint="default" w:ascii="Calibri" w:hAnsi="Calibri" w:cs="Calibri"/>
          <w:i w:val="0"/>
          <w:iCs w:val="0"/>
          <w:u w:val="none"/>
        </w:rPr>
        <w:fldChar w:fldCharType="separate"/>
      </w:r>
      <w:r>
        <w:rPr>
          <w:rFonts w:hint="default" w:ascii="Calibri" w:hAnsi="Calibri" w:cs="Calibri"/>
          <w:i w:val="0"/>
          <w:iCs w:val="0"/>
          <w:color w:val="000000" w:themeColor="text1"/>
          <w:sz w:val="24"/>
          <w:szCs w:val="24"/>
          <w:u w:val="none"/>
        </w:rPr>
        <w:t xml:space="preserve"> </w:t>
      </w:r>
      <w:r>
        <w:rPr>
          <w:rStyle w:val="10"/>
          <w:rFonts w:hint="default" w:ascii="Calibri" w:hAnsi="Calibri" w:cs="Calibri"/>
          <w:i w:val="0"/>
          <w:iCs w:val="0"/>
          <w:color w:val="000000" w:themeColor="text1"/>
          <w:sz w:val="24"/>
          <w:szCs w:val="24"/>
          <w:u w:val="none"/>
        </w:rPr>
        <w:t>https://www.ons.gov.uk/businessindustryandtrade/retailindustry/bulletins/retailsales/october2022 Accessed on 16.12.2022</w:t>
      </w:r>
      <w:r>
        <w:rPr>
          <w:rStyle w:val="10"/>
          <w:rFonts w:hint="default" w:ascii="Calibri" w:hAnsi="Calibri" w:cs="Calibri"/>
          <w:i w:val="0"/>
          <w:iCs w:val="0"/>
          <w:color w:val="000000" w:themeColor="text1"/>
          <w:sz w:val="24"/>
          <w:szCs w:val="24"/>
          <w:u w:val="none"/>
        </w:rPr>
        <w:fldChar w:fldCharType="end"/>
      </w:r>
    </w:p>
    <w:p>
      <w:pPr>
        <w:spacing w:after="0" w:line="360" w:lineRule="auto"/>
        <w:jc w:val="both"/>
        <w:rPr>
          <w:rFonts w:hint="default" w:ascii="Calibri" w:hAnsi="Calibri" w:cs="Calibri"/>
          <w:i w:val="0"/>
          <w:iCs w:val="0"/>
          <w:color w:val="000000" w:themeColor="text1"/>
          <w:sz w:val="24"/>
          <w:szCs w:val="24"/>
          <w:u w:val="none"/>
          <w:shd w:val="clear" w:color="auto" w:fill="FFFFFF"/>
        </w:rPr>
      </w:pPr>
      <w:r>
        <w:rPr>
          <w:rFonts w:hint="default" w:ascii="Calibri" w:hAnsi="Calibri" w:cs="Calibri"/>
          <w:i w:val="0"/>
          <w:iCs w:val="0"/>
          <w:color w:val="000000" w:themeColor="text1"/>
          <w:sz w:val="24"/>
          <w:szCs w:val="24"/>
          <w:u w:val="none"/>
          <w:shd w:val="clear" w:color="auto" w:fill="FFFFFF"/>
        </w:rPr>
        <w:t>Sodhi, M.S. and Tang, C.S., 2021. Supply chain management for extreme conditions: research opportunities. Journal of Supply Chain Management, 57(1), pp.7-16.</w:t>
      </w:r>
      <w:r>
        <w:rPr>
          <w:rFonts w:hint="default" w:ascii="Calibri" w:hAnsi="Calibri" w:cs="Calibri"/>
          <w:i w:val="0"/>
          <w:iCs w:val="0"/>
          <w:color w:val="000000" w:themeColor="text1"/>
          <w:sz w:val="24"/>
          <w:szCs w:val="24"/>
          <w:u w:val="none"/>
        </w:rPr>
        <w:t xml:space="preserve">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"https://doi.org/10.1111/jscm.12255"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shd w:val="clear" w:color="auto" w:fill="FFFFFF"/>
        </w:rPr>
        <w:t>https://doi.org/10.1111/jscm.12255</w:t>
      </w:r>
      <w:r>
        <w:rPr>
          <w:rStyle w:val="10"/>
          <w:rFonts w:hint="default" w:ascii="Calibri" w:hAnsi="Calibri" w:cs="Calibri"/>
          <w:i w:val="0"/>
          <w:iCs w:val="0"/>
          <w:color w:val="000000" w:themeColor="text1"/>
          <w:sz w:val="24"/>
          <w:szCs w:val="24"/>
          <w:u w:val="none"/>
          <w:shd w:val="clear" w:color="auto" w:fill="FFFFFF"/>
        </w:rPr>
        <w:fldChar w:fldCharType="end"/>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Statista.com (2022a). Annual revenue of Tesco Group in the United Kingdom (UK) and the Republic of Ireland from financial year 2015 to 2022. Available from https://www.statista.com/statistics/490931/tesco-group-finance-revenue-united-kingdom-uk/.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Statista.com (2022b). Crime in the UK - Statistics &amp; Facts.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"https://www.statista.com/topics/3793/crime-in-the-uk/" \l "topicOverview"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https://www.statista.com/topics/3793/crime-in-the-uk/#topicOverview</w:t>
      </w:r>
      <w:r>
        <w:rPr>
          <w:rStyle w:val="10"/>
          <w:rFonts w:hint="default" w:ascii="Calibri" w:hAnsi="Calibri" w:cs="Calibri"/>
          <w:i w:val="0"/>
          <w:iCs w:val="0"/>
          <w:color w:val="000000" w:themeColor="text1"/>
          <w:sz w:val="24"/>
          <w:szCs w:val="24"/>
          <w:u w:val="none"/>
        </w:rPr>
        <w:fldChar w:fldCharType="end"/>
      </w:r>
      <w:r>
        <w:rPr>
          <w:rFonts w:hint="default" w:ascii="Calibri" w:hAnsi="Calibri" w:cs="Calibri"/>
          <w:i w:val="0"/>
          <w:iCs w:val="0"/>
          <w:color w:val="000000" w:themeColor="text1"/>
          <w:sz w:val="24"/>
          <w:szCs w:val="24"/>
          <w:u w:val="none"/>
        </w:rPr>
        <w:t>.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Statista.com (2022c). Gross domestic product (GDP) growth rate in the United Kingdom 2027. Available from https://www.statista.com/statistics/263613/gross-domestic-product-gdp-growth-rate-in-the-united-kingdom/.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Statista.com (2022d). E-commerce sales in the United Kingdom (UK) from 2014 to 2019, by technology. Available from https://www.statista.com/statistics/282164/e-commerce-annual-sales-in-the-united-kingdom-uk-by-technology/.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Statista.com (2022e). Tesco's number of stores worldwide 2008-2022. Available from https://www.statista.com/statistics/238667/tesco-plc-number-of-outlets-worldwide/.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Tescoplc.com (2022). About Us.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"https://www.tescoplc.com/about/"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https://www.tescoplc.com/about/</w:t>
      </w:r>
      <w:r>
        <w:rPr>
          <w:rStyle w:val="10"/>
          <w:rFonts w:hint="default" w:ascii="Calibri" w:hAnsi="Calibri" w:cs="Calibri"/>
          <w:i w:val="0"/>
          <w:iCs w:val="0"/>
          <w:color w:val="000000" w:themeColor="text1"/>
          <w:sz w:val="24"/>
          <w:szCs w:val="24"/>
          <w:u w:val="none"/>
        </w:rPr>
        <w:fldChar w:fldCharType="end"/>
      </w:r>
      <w:r>
        <w:rPr>
          <w:rFonts w:hint="default" w:ascii="Calibri" w:hAnsi="Calibri" w:cs="Calibri"/>
          <w:i w:val="0"/>
          <w:iCs w:val="0"/>
          <w:color w:val="000000" w:themeColor="text1"/>
          <w:sz w:val="24"/>
          <w:szCs w:val="24"/>
          <w:u w:val="none"/>
        </w:rPr>
        <w:t>.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Tescoplc.com (2022). About Us.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"https://www.tescoplc.com/about/"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https://www.tescoplc.com/about/</w:t>
      </w:r>
      <w:r>
        <w:rPr>
          <w:rStyle w:val="10"/>
          <w:rFonts w:hint="default" w:ascii="Calibri" w:hAnsi="Calibri" w:cs="Calibri"/>
          <w:i w:val="0"/>
          <w:iCs w:val="0"/>
          <w:color w:val="000000" w:themeColor="text1"/>
          <w:sz w:val="24"/>
          <w:szCs w:val="24"/>
          <w:u w:val="none"/>
        </w:rPr>
        <w:fldChar w:fldCharType="end"/>
      </w:r>
      <w:r>
        <w:rPr>
          <w:rFonts w:hint="default" w:ascii="Calibri" w:hAnsi="Calibri" w:cs="Calibri"/>
          <w:i w:val="0"/>
          <w:iCs w:val="0"/>
          <w:color w:val="000000" w:themeColor="text1"/>
          <w:sz w:val="24"/>
          <w:szCs w:val="24"/>
          <w:u w:val="none"/>
        </w:rPr>
        <w:t>. Accessed on 16.12.2022</w:t>
      </w:r>
    </w:p>
    <w:p>
      <w:pPr>
        <w:spacing w:after="0" w:line="360" w:lineRule="auto"/>
        <w:jc w:val="both"/>
        <w:rPr>
          <w:rFonts w:hint="default" w:ascii="Calibri" w:hAnsi="Calibri" w:cs="Calibri"/>
          <w:i w:val="0"/>
          <w:iCs w:val="0"/>
          <w:color w:val="000000" w:themeColor="text1"/>
          <w:sz w:val="24"/>
          <w:szCs w:val="24"/>
          <w:u w:val="none"/>
        </w:rPr>
      </w:pPr>
      <w:r>
        <w:rPr>
          <w:rFonts w:hint="default" w:ascii="Calibri" w:hAnsi="Calibri" w:cs="Calibri"/>
          <w:i w:val="0"/>
          <w:iCs w:val="0"/>
          <w:color w:val="000000" w:themeColor="text1"/>
          <w:sz w:val="24"/>
          <w:szCs w:val="24"/>
          <w:u w:val="none"/>
        </w:rPr>
        <w:t xml:space="preserve">Una.org.uk (2022). International Literacy Day. Available from </w:t>
      </w:r>
      <w:r>
        <w:rPr>
          <w:rFonts w:hint="default" w:ascii="Calibri" w:hAnsi="Calibri" w:cs="Calibri"/>
          <w:i w:val="0"/>
          <w:iCs w:val="0"/>
          <w:u w:val="none"/>
        </w:rPr>
        <w:fldChar w:fldCharType="begin"/>
      </w:r>
      <w:r>
        <w:rPr>
          <w:rFonts w:hint="default" w:ascii="Calibri" w:hAnsi="Calibri" w:cs="Calibri"/>
          <w:i w:val="0"/>
          <w:iCs w:val="0"/>
          <w:u w:val="none"/>
        </w:rPr>
        <w:instrText xml:space="preserve"> HYPERLINK "%20https://una.org.uk/international-literacy-day-factsheet.%20Accessed%20on%2016.12.2022" </w:instrText>
      </w:r>
      <w:r>
        <w:rPr>
          <w:rFonts w:hint="default" w:ascii="Calibri" w:hAnsi="Calibri" w:cs="Calibri"/>
          <w:i w:val="0"/>
          <w:iCs w:val="0"/>
          <w:u w:val="none"/>
        </w:rPr>
        <w:fldChar w:fldCharType="separate"/>
      </w:r>
      <w:r>
        <w:rPr>
          <w:rStyle w:val="10"/>
          <w:rFonts w:hint="default" w:ascii="Calibri" w:hAnsi="Calibri" w:cs="Calibri"/>
          <w:i w:val="0"/>
          <w:iCs w:val="0"/>
          <w:color w:val="000000" w:themeColor="text1"/>
          <w:sz w:val="24"/>
          <w:szCs w:val="24"/>
          <w:u w:val="none"/>
        </w:rPr>
        <w:t xml:space="preserve"> https://una.org.uk/international-literacy-day-factsheet. Accessed on 16.12.2022</w:t>
      </w:r>
      <w:r>
        <w:rPr>
          <w:rStyle w:val="10"/>
          <w:rFonts w:hint="default" w:ascii="Calibri" w:hAnsi="Calibri" w:cs="Calibri"/>
          <w:i w:val="0"/>
          <w:iCs w:val="0"/>
          <w:color w:val="000000" w:themeColor="text1"/>
          <w:sz w:val="24"/>
          <w:szCs w:val="24"/>
          <w:u w:val="none"/>
        </w:rPr>
        <w:fldChar w:fldCharType="end"/>
      </w:r>
    </w:p>
    <w:p>
      <w:pPr>
        <w:spacing w:after="0" w:line="360" w:lineRule="auto"/>
        <w:rPr>
          <w:rFonts w:hint="default" w:ascii="Calibri" w:hAnsi="Calibri" w:cs="Calibri"/>
          <w:i w:val="0"/>
          <w:iCs w:val="0"/>
          <w:sz w:val="24"/>
          <w:szCs w:val="24"/>
          <w:u w:val="none"/>
        </w:rPr>
      </w:pPr>
    </w:p>
    <w:p>
      <w:pPr>
        <w:pStyle w:val="2"/>
        <w:rPr>
          <w:rFonts w:hint="default" w:ascii="Calibri" w:hAnsi="Calibri" w:cs="Calibri"/>
          <w:i w:val="0"/>
          <w:iCs w:val="0"/>
          <w:sz w:val="24"/>
          <w:szCs w:val="24"/>
          <w:u w:val="none"/>
        </w:rPr>
      </w:pPr>
      <w:bookmarkStart w:id="12" w:name="_Toc122095112"/>
      <w:r>
        <w:rPr>
          <w:rFonts w:hint="default" w:ascii="Calibri" w:hAnsi="Calibri" w:cs="Calibri"/>
          <w:i w:val="0"/>
          <w:iCs w:val="0"/>
          <w:sz w:val="24"/>
          <w:szCs w:val="24"/>
          <w:u w:val="none"/>
        </w:rPr>
        <w:t>Appendices</w:t>
      </w:r>
      <w:bookmarkEnd w:id="12"/>
    </w:p>
    <w:p>
      <w:pPr>
        <w:pStyle w:val="3"/>
        <w:rPr>
          <w:rFonts w:hint="default" w:ascii="Calibri" w:hAnsi="Calibri" w:cs="Calibri"/>
          <w:i w:val="0"/>
          <w:iCs w:val="0"/>
          <w:sz w:val="24"/>
          <w:szCs w:val="24"/>
          <w:u w:val="none"/>
        </w:rPr>
      </w:pPr>
      <w:bookmarkStart w:id="13" w:name="_Toc122095113"/>
      <w:r>
        <w:rPr>
          <w:rFonts w:hint="default" w:ascii="Calibri" w:hAnsi="Calibri" w:cs="Calibri"/>
          <w:i w:val="0"/>
          <w:iCs w:val="0"/>
          <w:sz w:val="24"/>
          <w:szCs w:val="24"/>
          <w:u w:val="none"/>
        </w:rPr>
        <w:t>Appendix 1: Market competition</w:t>
      </w:r>
      <w:bookmarkEnd w:id="13"/>
    </w:p>
    <w:p>
      <w:pPr>
        <w:spacing w:after="0" w:line="360" w:lineRule="auto"/>
        <w:jc w:val="both"/>
        <w:rPr>
          <w:rFonts w:hint="default" w:ascii="Calibri" w:hAnsi="Calibri" w:cs="Calibri"/>
          <w:i w:val="0"/>
          <w:iCs w:val="0"/>
          <w:sz w:val="24"/>
          <w:szCs w:val="24"/>
          <w:u w:val="none"/>
        </w:rPr>
      </w:pPr>
      <w:r>
        <w:rPr>
          <w:rFonts w:hint="default" w:ascii="Calibri" w:hAnsi="Calibri" w:cs="Calibri"/>
          <w:i w:val="0"/>
          <w:iCs w:val="0"/>
          <w:sz w:val="24"/>
          <w:szCs w:val="24"/>
          <w:u w:val="none"/>
        </w:rPr>
        <w:drawing>
          <wp:inline distT="0" distB="0" distL="0" distR="0">
            <wp:extent cx="5486400" cy="3200400"/>
            <wp:effectExtent l="0" t="3810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pPr>
        <w:spacing w:after="0" w:line="360" w:lineRule="auto"/>
        <w:jc w:val="center"/>
        <w:rPr>
          <w:rFonts w:hint="default" w:ascii="Calibri" w:hAnsi="Calibri" w:cs="Calibri"/>
          <w:i w:val="0"/>
          <w:iCs w:val="0"/>
          <w:sz w:val="24"/>
          <w:szCs w:val="24"/>
          <w:u w:val="none"/>
        </w:rPr>
      </w:pPr>
      <w:r>
        <w:rPr>
          <w:rFonts w:hint="default" w:ascii="Calibri" w:hAnsi="Calibri" w:cs="Calibri"/>
          <w:i w:val="0"/>
          <w:iCs w:val="0"/>
          <w:sz w:val="24"/>
          <w:szCs w:val="24"/>
          <w:u w:val="none"/>
        </w:rPr>
        <w:t>(Source: Self-developed)</w:t>
      </w:r>
    </w:p>
    <w:p>
      <w:pPr>
        <w:spacing w:after="0" w:line="360" w:lineRule="auto"/>
        <w:jc w:val="both"/>
        <w:rPr>
          <w:rFonts w:hint="default" w:ascii="Calibri" w:hAnsi="Calibri" w:cs="Calibri"/>
          <w:i w:val="0"/>
          <w:iCs w:val="0"/>
          <w:sz w:val="24"/>
          <w:szCs w:val="24"/>
          <w:u w:val="none"/>
        </w:rPr>
      </w:pPr>
    </w:p>
    <w:p>
      <w:pPr>
        <w:spacing w:after="0" w:line="360" w:lineRule="auto"/>
        <w:jc w:val="both"/>
        <w:rPr>
          <w:rFonts w:hint="default" w:ascii="Calibri" w:hAnsi="Calibri" w:cs="Calibri"/>
          <w:i w:val="0"/>
          <w:iCs w:val="0"/>
          <w:sz w:val="24"/>
          <w:szCs w:val="24"/>
          <w:u w:val="none"/>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04704"/>
      <w:docPartObj>
        <w:docPartGallery w:val="autotext"/>
      </w:docPartObj>
    </w:sdtPr>
    <w:sdtEndPr>
      <w:rPr>
        <w:rFonts w:ascii="Times New Roman" w:hAnsi="Times New Roman" w:cs="Times New Roman"/>
        <w:sz w:val="20"/>
      </w:rPr>
    </w:sdtEndPr>
    <w:sdtContent>
      <w:p>
        <w:pPr>
          <w:pStyle w:val="8"/>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16</w:t>
        </w:r>
        <w:r>
          <w:rPr>
            <w:rFonts w:ascii="Times New Roman" w:hAnsi="Times New Roman" w:cs="Times New Roman"/>
            <w:sz w:val="20"/>
          </w:rP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45FBF"/>
    <w:multiLevelType w:val="multilevel"/>
    <w:tmpl w:val="0A045FB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7A54F08"/>
    <w:multiLevelType w:val="multilevel"/>
    <w:tmpl w:val="17A54F0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78D8608"/>
    <w:multiLevelType w:val="multilevel"/>
    <w:tmpl w:val="378D860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3E108D57"/>
    <w:multiLevelType w:val="multilevel"/>
    <w:tmpl w:val="3E108D5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3FCD6B3C"/>
    <w:multiLevelType w:val="multilevel"/>
    <w:tmpl w:val="3FCD6B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4C9F97F7"/>
    <w:multiLevelType w:val="multilevel"/>
    <w:tmpl w:val="4C9F97F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603720CB"/>
    <w:multiLevelType w:val="multilevel"/>
    <w:tmpl w:val="603720C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67CC810B"/>
    <w:multiLevelType w:val="multilevel"/>
    <w:tmpl w:val="67CC810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6F523DA5"/>
    <w:multiLevelType w:val="multilevel"/>
    <w:tmpl w:val="6F523DA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6"/>
  </w:num>
  <w:num w:numId="2">
    <w:abstractNumId w:val="5"/>
  </w:num>
  <w:num w:numId="3">
    <w:abstractNumId w:val="8"/>
  </w:num>
  <w:num w:numId="4">
    <w:abstractNumId w:val="3"/>
  </w:num>
  <w:num w:numId="5">
    <w:abstractNumId w:val="7"/>
  </w:num>
  <w:num w:numId="6">
    <w:abstractNumId w:val="2"/>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422DEB"/>
    <w:rsid w:val="00022A02"/>
    <w:rsid w:val="000267EA"/>
    <w:rsid w:val="00032F08"/>
    <w:rsid w:val="00053224"/>
    <w:rsid w:val="00081D88"/>
    <w:rsid w:val="000B6F05"/>
    <w:rsid w:val="000E0B52"/>
    <w:rsid w:val="0013007C"/>
    <w:rsid w:val="00140053"/>
    <w:rsid w:val="00156605"/>
    <w:rsid w:val="00190D40"/>
    <w:rsid w:val="001A1B2D"/>
    <w:rsid w:val="001B5D76"/>
    <w:rsid w:val="00227D4F"/>
    <w:rsid w:val="002810AD"/>
    <w:rsid w:val="002B4E9F"/>
    <w:rsid w:val="0033059B"/>
    <w:rsid w:val="00362266"/>
    <w:rsid w:val="003A2AF1"/>
    <w:rsid w:val="003C440A"/>
    <w:rsid w:val="003E4C65"/>
    <w:rsid w:val="0041534C"/>
    <w:rsid w:val="00422DEB"/>
    <w:rsid w:val="00437411"/>
    <w:rsid w:val="00443292"/>
    <w:rsid w:val="004A1F98"/>
    <w:rsid w:val="004A31BF"/>
    <w:rsid w:val="004C4749"/>
    <w:rsid w:val="004E4179"/>
    <w:rsid w:val="00540A9F"/>
    <w:rsid w:val="0058612A"/>
    <w:rsid w:val="005B610F"/>
    <w:rsid w:val="005B7A8F"/>
    <w:rsid w:val="005E1BBA"/>
    <w:rsid w:val="005F5E1D"/>
    <w:rsid w:val="00656A0B"/>
    <w:rsid w:val="006B1C2D"/>
    <w:rsid w:val="006D05CE"/>
    <w:rsid w:val="006F231A"/>
    <w:rsid w:val="00705552"/>
    <w:rsid w:val="0070616C"/>
    <w:rsid w:val="007557E4"/>
    <w:rsid w:val="007C2C87"/>
    <w:rsid w:val="007E7508"/>
    <w:rsid w:val="00816C51"/>
    <w:rsid w:val="008B3C9E"/>
    <w:rsid w:val="008F55F2"/>
    <w:rsid w:val="0090515C"/>
    <w:rsid w:val="00920D2B"/>
    <w:rsid w:val="00922FC9"/>
    <w:rsid w:val="00944B0B"/>
    <w:rsid w:val="00971D23"/>
    <w:rsid w:val="00986A54"/>
    <w:rsid w:val="009E50B8"/>
    <w:rsid w:val="00A30470"/>
    <w:rsid w:val="00A70A85"/>
    <w:rsid w:val="00A83B88"/>
    <w:rsid w:val="00AA2D5D"/>
    <w:rsid w:val="00AD0811"/>
    <w:rsid w:val="00B37427"/>
    <w:rsid w:val="00B410B1"/>
    <w:rsid w:val="00BC7623"/>
    <w:rsid w:val="00BC7FB7"/>
    <w:rsid w:val="00C45AC0"/>
    <w:rsid w:val="00C6403F"/>
    <w:rsid w:val="00C74CB3"/>
    <w:rsid w:val="00C86004"/>
    <w:rsid w:val="00C968DE"/>
    <w:rsid w:val="00CB3178"/>
    <w:rsid w:val="00CD50F9"/>
    <w:rsid w:val="00CE20BD"/>
    <w:rsid w:val="00D67792"/>
    <w:rsid w:val="00DA7CD5"/>
    <w:rsid w:val="00DB3215"/>
    <w:rsid w:val="00E10F2B"/>
    <w:rsid w:val="00EA66BB"/>
    <w:rsid w:val="00ED4F61"/>
    <w:rsid w:val="00F22E89"/>
    <w:rsid w:val="00F26D61"/>
    <w:rsid w:val="00FA4B5F"/>
    <w:rsid w:val="00FC5CD8"/>
    <w:rsid w:val="00FF3F10"/>
    <w:rsid w:val="061D669F"/>
    <w:rsid w:val="2BB96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21"/>
    <w:qFormat/>
    <w:uiPriority w:val="9"/>
    <w:pPr>
      <w:keepNext/>
      <w:keepLines/>
      <w:spacing w:after="0" w:line="360" w:lineRule="auto"/>
      <w:jc w:val="both"/>
      <w:outlineLvl w:val="0"/>
    </w:pPr>
    <w:rPr>
      <w:rFonts w:ascii="Times New Roman" w:hAnsi="Times New Roman" w:eastAsiaTheme="majorEastAsia" w:cstheme="majorBidi"/>
      <w:b/>
      <w:bCs/>
      <w:color w:val="000000" w:themeColor="text1"/>
      <w:sz w:val="28"/>
      <w:szCs w:val="28"/>
    </w:rPr>
  </w:style>
  <w:style w:type="paragraph" w:styleId="3">
    <w:name w:val="heading 2"/>
    <w:basedOn w:val="1"/>
    <w:next w:val="1"/>
    <w:link w:val="22"/>
    <w:unhideWhenUsed/>
    <w:qFormat/>
    <w:uiPriority w:val="9"/>
    <w:pPr>
      <w:keepNext/>
      <w:keepLines/>
      <w:spacing w:after="0" w:line="360" w:lineRule="auto"/>
      <w:jc w:val="both"/>
      <w:outlineLvl w:val="1"/>
    </w:pPr>
    <w:rPr>
      <w:rFonts w:ascii="Times New Roman" w:hAnsi="Times New Roman" w:eastAsiaTheme="majorEastAsia" w:cstheme="majorBidi"/>
      <w:b/>
      <w:bCs/>
      <w:color w:val="000000" w:themeColor="text1"/>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pPr>
      <w:spacing w:after="0" w:line="240" w:lineRule="auto"/>
    </w:pPr>
    <w:rPr>
      <w:rFonts w:ascii="Tahoma" w:hAnsi="Tahoma" w:cs="Tahoma"/>
      <w:sz w:val="16"/>
      <w:szCs w:val="16"/>
    </w:rPr>
  </w:style>
  <w:style w:type="character" w:styleId="7">
    <w:name w:val="Emphasis"/>
    <w:basedOn w:val="4"/>
    <w:qFormat/>
    <w:uiPriority w:val="20"/>
    <w:rPr>
      <w:i/>
      <w:iCs/>
    </w:rPr>
  </w:style>
  <w:style w:type="paragraph" w:styleId="8">
    <w:name w:val="footer"/>
    <w:basedOn w:val="1"/>
    <w:link w:val="16"/>
    <w:unhideWhenUsed/>
    <w:qFormat/>
    <w:uiPriority w:val="99"/>
    <w:pPr>
      <w:tabs>
        <w:tab w:val="center" w:pos="4680"/>
        <w:tab w:val="right" w:pos="9360"/>
      </w:tabs>
      <w:spacing w:after="0" w:line="240" w:lineRule="auto"/>
    </w:pPr>
  </w:style>
  <w:style w:type="paragraph" w:styleId="9">
    <w:name w:val="header"/>
    <w:basedOn w:val="1"/>
    <w:link w:val="15"/>
    <w:semiHidden/>
    <w:unhideWhenUsed/>
    <w:qFormat/>
    <w:uiPriority w:val="99"/>
    <w:pPr>
      <w:tabs>
        <w:tab w:val="center" w:pos="4680"/>
        <w:tab w:val="right" w:pos="9360"/>
      </w:tabs>
      <w:spacing w:after="0" w:line="240" w:lineRule="auto"/>
    </w:pPr>
  </w:style>
  <w:style w:type="character" w:styleId="10">
    <w:name w:val="Hyperlink"/>
    <w:basedOn w:val="4"/>
    <w:unhideWhenUsed/>
    <w:qFormat/>
    <w:uiPriority w:val="99"/>
    <w:rPr>
      <w:color w:val="0000FF" w:themeColor="hyperlink"/>
      <w:u w:val="single"/>
    </w:rPr>
  </w:style>
  <w:style w:type="paragraph" w:styleId="11">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2">
    <w:name w:val="Table Grid"/>
    <w:basedOn w:val="5"/>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3">
    <w:name w:val="toc 1"/>
    <w:basedOn w:val="1"/>
    <w:next w:val="1"/>
    <w:unhideWhenUsed/>
    <w:qFormat/>
    <w:uiPriority w:val="39"/>
    <w:pPr>
      <w:spacing w:after="100"/>
    </w:pPr>
  </w:style>
  <w:style w:type="paragraph" w:styleId="14">
    <w:name w:val="toc 2"/>
    <w:basedOn w:val="1"/>
    <w:next w:val="1"/>
    <w:unhideWhenUsed/>
    <w:qFormat/>
    <w:uiPriority w:val="39"/>
    <w:pPr>
      <w:spacing w:after="100"/>
      <w:ind w:left="220"/>
    </w:pPr>
  </w:style>
  <w:style w:type="character" w:customStyle="1" w:styleId="15">
    <w:name w:val="Header Char"/>
    <w:basedOn w:val="4"/>
    <w:link w:val="9"/>
    <w:semiHidden/>
    <w:qFormat/>
    <w:uiPriority w:val="99"/>
  </w:style>
  <w:style w:type="character" w:customStyle="1" w:styleId="16">
    <w:name w:val="Footer Char"/>
    <w:basedOn w:val="4"/>
    <w:link w:val="8"/>
    <w:qFormat/>
    <w:uiPriority w:val="99"/>
  </w:style>
  <w:style w:type="character" w:customStyle="1" w:styleId="17">
    <w:name w:val="Balloon Text Char"/>
    <w:basedOn w:val="4"/>
    <w:link w:val="6"/>
    <w:semiHidden/>
    <w:uiPriority w:val="99"/>
    <w:rPr>
      <w:rFonts w:ascii="Tahoma" w:hAnsi="Tahoma" w:cs="Tahoma"/>
      <w:sz w:val="16"/>
      <w:szCs w:val="16"/>
    </w:rPr>
  </w:style>
  <w:style w:type="table" w:customStyle="1" w:styleId="18">
    <w:name w:val="Table1"/>
    <w:basedOn w:val="5"/>
    <w:qFormat/>
    <w:uiPriority w:val="0"/>
    <w:pPr>
      <w:spacing w:after="0"/>
    </w:pPr>
    <w:rPr>
      <w:rFonts w:ascii="Arial" w:hAnsi="Arial" w:eastAsia="Arial" w:cs="Arial"/>
    </w:rPr>
    <w:tblPr>
      <w:tblCellMar>
        <w:top w:w="100" w:type="dxa"/>
        <w:left w:w="100" w:type="dxa"/>
        <w:bottom w:w="100" w:type="dxa"/>
        <w:right w:w="100" w:type="dxa"/>
      </w:tblCellMar>
    </w:tblPr>
  </w:style>
  <w:style w:type="table" w:customStyle="1" w:styleId="19">
    <w:name w:val="Table4"/>
    <w:basedOn w:val="5"/>
    <w:qFormat/>
    <w:uiPriority w:val="0"/>
    <w:pPr>
      <w:spacing w:after="0"/>
    </w:pPr>
    <w:rPr>
      <w:rFonts w:ascii="Arial" w:hAnsi="Arial" w:eastAsia="Arial" w:cs="Arial"/>
    </w:rPr>
    <w:tblPr>
      <w:tblCellMar>
        <w:top w:w="100" w:type="dxa"/>
        <w:left w:w="100" w:type="dxa"/>
        <w:bottom w:w="100" w:type="dxa"/>
        <w:right w:w="100" w:type="dxa"/>
      </w:tblCellMar>
    </w:tblPr>
  </w:style>
  <w:style w:type="paragraph" w:styleId="20">
    <w:name w:val="List Paragraph"/>
    <w:basedOn w:val="1"/>
    <w:qFormat/>
    <w:uiPriority w:val="34"/>
    <w:pPr>
      <w:ind w:left="720"/>
      <w:contextualSpacing/>
    </w:pPr>
  </w:style>
  <w:style w:type="character" w:customStyle="1" w:styleId="21">
    <w:name w:val="Heading 1 Char"/>
    <w:basedOn w:val="4"/>
    <w:link w:val="2"/>
    <w:qFormat/>
    <w:uiPriority w:val="9"/>
    <w:rPr>
      <w:rFonts w:ascii="Times New Roman" w:hAnsi="Times New Roman" w:eastAsiaTheme="majorEastAsia" w:cstheme="majorBidi"/>
      <w:b/>
      <w:bCs/>
      <w:color w:val="000000" w:themeColor="text1"/>
      <w:sz w:val="28"/>
      <w:szCs w:val="28"/>
    </w:rPr>
  </w:style>
  <w:style w:type="character" w:customStyle="1" w:styleId="22">
    <w:name w:val="Heading 2 Char"/>
    <w:basedOn w:val="4"/>
    <w:link w:val="3"/>
    <w:qFormat/>
    <w:uiPriority w:val="9"/>
    <w:rPr>
      <w:rFonts w:ascii="Times New Roman" w:hAnsi="Times New Roman" w:eastAsiaTheme="majorEastAsia" w:cstheme="majorBidi"/>
      <w:b/>
      <w:bCs/>
      <w:color w:val="000000" w:themeColor="text1"/>
      <w:sz w:val="26"/>
      <w:szCs w:val="26"/>
    </w:rPr>
  </w:style>
  <w:style w:type="paragraph" w:customStyle="1" w:styleId="23">
    <w:name w:val="TOC Heading"/>
    <w:basedOn w:val="2"/>
    <w:next w:val="1"/>
    <w:semiHidden/>
    <w:unhideWhenUsed/>
    <w:qFormat/>
    <w:uiPriority w:val="39"/>
    <w:pPr>
      <w:spacing w:before="480" w:line="276" w:lineRule="auto"/>
      <w:jc w:val="left"/>
      <w:outlineLvl w:val="9"/>
    </w:pPr>
    <w:rPr>
      <w:rFonts w:asciiTheme="majorHAnsi" w:hAnsiTheme="majorHAnsi"/>
      <w:color w:val="366091"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4.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49F059B-2DBF-4AA5-AE22-800CD9162C63}" type="doc">
      <dgm:prSet loTypeId="urn:microsoft.com/office/officeart/2005/8/layout/radial4#1" loCatId="relationship" qsTypeId="urn:microsoft.com/office/officeart/2005/8/quickstyle/3d2#1" qsCatId="3D" csTypeId="urn:microsoft.com/office/officeart/2005/8/colors/colorful1#1" csCatId="colorful" phldr="1"/>
      <dgm:spPr/>
      <dgm:t>
        <a:bodyPr/>
        <a:p>
          <a:endParaRPr lang="en-US"/>
        </a:p>
      </dgm:t>
    </dgm:pt>
    <dgm:pt modelId="{718B83F5-1538-45AD-AE68-9F36582E5EB7}">
      <dgm:prSet phldrT="[Text]" custT="1"/>
      <dgm:spPr/>
      <dgm:t>
        <a:bodyPr/>
        <a:p>
          <a:r>
            <a:rPr lang="en-US" sz="1400" b="1">
              <a:solidFill>
                <a:schemeClr val="tx1"/>
              </a:solidFill>
              <a:latin typeface="Times New Roman" panose="02020603050405020304" charset="0"/>
              <a:cs typeface="Times New Roman" panose="02020603050405020304" charset="0"/>
            </a:rPr>
            <a:t>Market competition</a:t>
          </a:r>
        </a:p>
      </dgm:t>
    </dgm:pt>
    <dgm:pt modelId="{73BA7F53-D167-4D58-986B-78BC01BD539A}" cxnId="{CB9E4919-C2AA-4319-A402-660FB67E5A2E}" type="parTrans">
      <dgm:prSet/>
      <dgm:spPr/>
      <dgm:t>
        <a:bodyPr/>
        <a:p>
          <a:endParaRPr lang="en-US"/>
        </a:p>
      </dgm:t>
    </dgm:pt>
    <dgm:pt modelId="{20504E64-3581-4080-8A2B-4896310A775C}" cxnId="{CB9E4919-C2AA-4319-A402-660FB67E5A2E}" type="sibTrans">
      <dgm:prSet/>
      <dgm:spPr/>
      <dgm:t>
        <a:bodyPr/>
        <a:p>
          <a:endParaRPr lang="en-US"/>
        </a:p>
      </dgm:t>
    </dgm:pt>
    <dgm:pt modelId="{A5EC1040-825A-4604-AFE3-51E8BA5A95A7}">
      <dgm:prSet phldrT="[Text]" custT="1"/>
      <dgm:spPr/>
      <dgm:t>
        <a:bodyPr/>
        <a:p>
          <a:r>
            <a:rPr lang="en-US" sz="1400" b="1">
              <a:solidFill>
                <a:schemeClr val="tx1"/>
              </a:solidFill>
              <a:latin typeface="Times New Roman" panose="02020603050405020304" charset="0"/>
              <a:cs typeface="Times New Roman" panose="02020603050405020304" charset="0"/>
            </a:rPr>
            <a:t>ASDA</a:t>
          </a:r>
        </a:p>
      </dgm:t>
    </dgm:pt>
    <dgm:pt modelId="{3CABE017-83FF-41CA-98DA-D7F8380CEF60}" cxnId="{996B5DFF-B640-42D5-AACD-EFC77EE95272}" type="parTrans">
      <dgm:prSet/>
      <dgm:spPr/>
      <dgm:t>
        <a:bodyPr/>
        <a:p>
          <a:endParaRPr lang="en-US"/>
        </a:p>
      </dgm:t>
    </dgm:pt>
    <dgm:pt modelId="{2804C289-B31E-4FD7-BB1B-A6F45623FD57}" cxnId="{996B5DFF-B640-42D5-AACD-EFC77EE95272}" type="sibTrans">
      <dgm:prSet/>
      <dgm:spPr/>
      <dgm:t>
        <a:bodyPr/>
        <a:p>
          <a:endParaRPr lang="en-US"/>
        </a:p>
      </dgm:t>
    </dgm:pt>
    <dgm:pt modelId="{824A136C-A6DA-4598-997E-BB108DA9EC24}">
      <dgm:prSet phldrT="[Text]" custT="1"/>
      <dgm:spPr/>
      <dgm:t>
        <a:bodyPr/>
        <a:p>
          <a:r>
            <a:rPr lang="en-US" sz="1400" b="1">
              <a:solidFill>
                <a:schemeClr val="tx1"/>
              </a:solidFill>
              <a:latin typeface="Times New Roman" panose="02020603050405020304" charset="0"/>
              <a:cs typeface="Times New Roman" panose="02020603050405020304" charset="0"/>
            </a:rPr>
            <a:t>Morrison's </a:t>
          </a:r>
        </a:p>
      </dgm:t>
    </dgm:pt>
    <dgm:pt modelId="{655DA64F-761D-4690-8DA6-E7227F0A190F}" cxnId="{0F5C1F5E-C7F0-4DC3-91D9-D1A7DE8391A1}" type="parTrans">
      <dgm:prSet/>
      <dgm:spPr/>
      <dgm:t>
        <a:bodyPr/>
        <a:p>
          <a:endParaRPr lang="en-US"/>
        </a:p>
      </dgm:t>
    </dgm:pt>
    <dgm:pt modelId="{E7167D84-1C82-4A06-91DB-DFD264A4FDCA}" cxnId="{0F5C1F5E-C7F0-4DC3-91D9-D1A7DE8391A1}" type="sibTrans">
      <dgm:prSet/>
      <dgm:spPr/>
      <dgm:t>
        <a:bodyPr/>
        <a:p>
          <a:endParaRPr lang="en-US"/>
        </a:p>
      </dgm:t>
    </dgm:pt>
    <dgm:pt modelId="{0F9BE34F-96DC-47AD-89A5-D768F274D1D2}">
      <dgm:prSet phldrT="[Text]" custT="1"/>
      <dgm:spPr/>
      <dgm:t>
        <a:bodyPr/>
        <a:p>
          <a:r>
            <a:rPr lang="en-US" sz="1400" b="1">
              <a:solidFill>
                <a:schemeClr val="tx1"/>
              </a:solidFill>
              <a:latin typeface="Times New Roman" panose="02020603050405020304" charset="0"/>
              <a:cs typeface="Times New Roman" panose="02020603050405020304" charset="0"/>
            </a:rPr>
            <a:t>Sainsbury's</a:t>
          </a:r>
        </a:p>
      </dgm:t>
    </dgm:pt>
    <dgm:pt modelId="{F666471B-944B-4462-9BB2-6375E55129E2}" cxnId="{0F312B86-2F57-48E2-8708-81899D47339E}" type="parTrans">
      <dgm:prSet/>
      <dgm:spPr/>
      <dgm:t>
        <a:bodyPr/>
        <a:p>
          <a:endParaRPr lang="en-US"/>
        </a:p>
      </dgm:t>
    </dgm:pt>
    <dgm:pt modelId="{3C079F0E-0A6F-4706-A052-456B42698047}" cxnId="{0F312B86-2F57-48E2-8708-81899D47339E}" type="sibTrans">
      <dgm:prSet/>
      <dgm:spPr/>
      <dgm:t>
        <a:bodyPr/>
        <a:p>
          <a:endParaRPr lang="en-US"/>
        </a:p>
      </dgm:t>
    </dgm:pt>
    <dgm:pt modelId="{E01E8209-B223-448C-BE25-0C8B9263E57B}" type="pres">
      <dgm:prSet presAssocID="{F49F059B-2DBF-4AA5-AE22-800CD9162C63}" presName="cycle" presStyleCnt="0">
        <dgm:presLayoutVars>
          <dgm:chMax val="1"/>
          <dgm:dir/>
          <dgm:animLvl val="ctr"/>
          <dgm:resizeHandles val="exact"/>
        </dgm:presLayoutVars>
      </dgm:prSet>
      <dgm:spPr/>
    </dgm:pt>
    <dgm:pt modelId="{B524407A-74A7-4762-B23C-B79EF698F111}" type="pres">
      <dgm:prSet presAssocID="{718B83F5-1538-45AD-AE68-9F36582E5EB7}" presName="centerShape" presStyleLbl="node0" presStyleIdx="0" presStyleCnt="1"/>
      <dgm:spPr/>
    </dgm:pt>
    <dgm:pt modelId="{6D9CB842-6EEF-4573-A633-EF95F649850F}" type="pres">
      <dgm:prSet presAssocID="{3CABE017-83FF-41CA-98DA-D7F8380CEF60}" presName="parTrans" presStyleLbl="bgSibTrans2D1" presStyleIdx="0" presStyleCnt="3"/>
      <dgm:spPr/>
    </dgm:pt>
    <dgm:pt modelId="{9627B0AE-3E88-48E1-A2C6-4F09F8B1C84E}" type="pres">
      <dgm:prSet presAssocID="{A5EC1040-825A-4604-AFE3-51E8BA5A95A7}" presName="node" presStyleLbl="node1" presStyleIdx="0" presStyleCnt="3">
        <dgm:presLayoutVars>
          <dgm:bulletEnabled val="1"/>
        </dgm:presLayoutVars>
      </dgm:prSet>
      <dgm:spPr/>
    </dgm:pt>
    <dgm:pt modelId="{D8A41E2C-2EC3-4C04-965B-88E2AAB1EFA9}" type="pres">
      <dgm:prSet presAssocID="{655DA64F-761D-4690-8DA6-E7227F0A190F}" presName="parTrans" presStyleLbl="bgSibTrans2D1" presStyleIdx="1" presStyleCnt="3"/>
      <dgm:spPr/>
    </dgm:pt>
    <dgm:pt modelId="{21D6A87A-D6C5-4906-A5B3-33B5282D85D5}" type="pres">
      <dgm:prSet presAssocID="{824A136C-A6DA-4598-997E-BB108DA9EC24}" presName="node" presStyleLbl="node1" presStyleIdx="1" presStyleCnt="3">
        <dgm:presLayoutVars>
          <dgm:bulletEnabled val="1"/>
        </dgm:presLayoutVars>
      </dgm:prSet>
      <dgm:spPr/>
    </dgm:pt>
    <dgm:pt modelId="{B401D5B8-DB24-4EDB-A6A7-D42D0CE9B1C3}" type="pres">
      <dgm:prSet presAssocID="{F666471B-944B-4462-9BB2-6375E55129E2}" presName="parTrans" presStyleLbl="bgSibTrans2D1" presStyleIdx="2" presStyleCnt="3"/>
      <dgm:spPr/>
    </dgm:pt>
    <dgm:pt modelId="{694E062D-AA8D-4092-8699-0B6D8BF68016}" type="pres">
      <dgm:prSet presAssocID="{0F9BE34F-96DC-47AD-89A5-D768F274D1D2}" presName="node" presStyleLbl="node1" presStyleIdx="2" presStyleCnt="3">
        <dgm:presLayoutVars>
          <dgm:bulletEnabled val="1"/>
        </dgm:presLayoutVars>
      </dgm:prSet>
      <dgm:spPr/>
    </dgm:pt>
  </dgm:ptLst>
  <dgm:cxnLst>
    <dgm:cxn modelId="{3FD85C05-8271-4E41-99F4-B2C6FEA1C966}" type="presOf" srcId="{A5EC1040-825A-4604-AFE3-51E8BA5A95A7}" destId="{9627B0AE-3E88-48E1-A2C6-4F09F8B1C84E}" srcOrd="0" destOrd="0" presId="urn:microsoft.com/office/officeart/2005/8/layout/radial4#1"/>
    <dgm:cxn modelId="{B9983A0D-10E0-43D5-9A7F-D8B6B3E8DD8F}" type="presOf" srcId="{3CABE017-83FF-41CA-98DA-D7F8380CEF60}" destId="{6D9CB842-6EEF-4573-A633-EF95F649850F}" srcOrd="0" destOrd="0" presId="urn:microsoft.com/office/officeart/2005/8/layout/radial4#1"/>
    <dgm:cxn modelId="{CB9E4919-C2AA-4319-A402-660FB67E5A2E}" srcId="{F49F059B-2DBF-4AA5-AE22-800CD9162C63}" destId="{718B83F5-1538-45AD-AE68-9F36582E5EB7}" srcOrd="0" destOrd="0" parTransId="{73BA7F53-D167-4D58-986B-78BC01BD539A}" sibTransId="{20504E64-3581-4080-8A2B-4896310A775C}"/>
    <dgm:cxn modelId="{3896A73F-5B21-4F60-B968-17C55933F1A5}" type="presOf" srcId="{655DA64F-761D-4690-8DA6-E7227F0A190F}" destId="{D8A41E2C-2EC3-4C04-965B-88E2AAB1EFA9}" srcOrd="0" destOrd="0" presId="urn:microsoft.com/office/officeart/2005/8/layout/radial4#1"/>
    <dgm:cxn modelId="{0F5C1F5E-C7F0-4DC3-91D9-D1A7DE8391A1}" srcId="{718B83F5-1538-45AD-AE68-9F36582E5EB7}" destId="{824A136C-A6DA-4598-997E-BB108DA9EC24}" srcOrd="1" destOrd="0" parTransId="{655DA64F-761D-4690-8DA6-E7227F0A190F}" sibTransId="{E7167D84-1C82-4A06-91DB-DFD264A4FDCA}"/>
    <dgm:cxn modelId="{221BD743-D7E6-4C84-BF94-8705A37338AB}" type="presOf" srcId="{F49F059B-2DBF-4AA5-AE22-800CD9162C63}" destId="{E01E8209-B223-448C-BE25-0C8B9263E57B}" srcOrd="0" destOrd="0" presId="urn:microsoft.com/office/officeart/2005/8/layout/radial4#1"/>
    <dgm:cxn modelId="{9D3B0E4C-6231-4B7A-8A16-77EC4F732C35}" type="presOf" srcId="{824A136C-A6DA-4598-997E-BB108DA9EC24}" destId="{21D6A87A-D6C5-4906-A5B3-33B5282D85D5}" srcOrd="0" destOrd="0" presId="urn:microsoft.com/office/officeart/2005/8/layout/radial4#1"/>
    <dgm:cxn modelId="{CB401A70-7270-42B4-A375-8B52978B15B6}" type="presOf" srcId="{0F9BE34F-96DC-47AD-89A5-D768F274D1D2}" destId="{694E062D-AA8D-4092-8699-0B6D8BF68016}" srcOrd="0" destOrd="0" presId="urn:microsoft.com/office/officeart/2005/8/layout/radial4#1"/>
    <dgm:cxn modelId="{B739D871-CFE6-4127-A847-A613323A38A9}" type="presOf" srcId="{F666471B-944B-4462-9BB2-6375E55129E2}" destId="{B401D5B8-DB24-4EDB-A6A7-D42D0CE9B1C3}" srcOrd="0" destOrd="0" presId="urn:microsoft.com/office/officeart/2005/8/layout/radial4#1"/>
    <dgm:cxn modelId="{0F312B86-2F57-48E2-8708-81899D47339E}" srcId="{718B83F5-1538-45AD-AE68-9F36582E5EB7}" destId="{0F9BE34F-96DC-47AD-89A5-D768F274D1D2}" srcOrd="2" destOrd="0" parTransId="{F666471B-944B-4462-9BB2-6375E55129E2}" sibTransId="{3C079F0E-0A6F-4706-A052-456B42698047}"/>
    <dgm:cxn modelId="{E64A10DC-D678-4A82-9BE6-0CC44705709D}" type="presOf" srcId="{718B83F5-1538-45AD-AE68-9F36582E5EB7}" destId="{B524407A-74A7-4762-B23C-B79EF698F111}" srcOrd="0" destOrd="0" presId="urn:microsoft.com/office/officeart/2005/8/layout/radial4#1"/>
    <dgm:cxn modelId="{996B5DFF-B640-42D5-AACD-EFC77EE95272}" srcId="{718B83F5-1538-45AD-AE68-9F36582E5EB7}" destId="{A5EC1040-825A-4604-AFE3-51E8BA5A95A7}" srcOrd="0" destOrd="0" parTransId="{3CABE017-83FF-41CA-98DA-D7F8380CEF60}" sibTransId="{2804C289-B31E-4FD7-BB1B-A6F45623FD57}"/>
    <dgm:cxn modelId="{189CD1B8-2390-40BF-89D8-9EB3CC55C034}" type="presParOf" srcId="{E01E8209-B223-448C-BE25-0C8B9263E57B}" destId="{B524407A-74A7-4762-B23C-B79EF698F111}" srcOrd="0" destOrd="0" presId="urn:microsoft.com/office/officeart/2005/8/layout/radial4#1"/>
    <dgm:cxn modelId="{021D4C53-3BB6-4E18-B993-D6C00D75E1F4}" type="presParOf" srcId="{E01E8209-B223-448C-BE25-0C8B9263E57B}" destId="{6D9CB842-6EEF-4573-A633-EF95F649850F}" srcOrd="1" destOrd="0" presId="urn:microsoft.com/office/officeart/2005/8/layout/radial4#1"/>
    <dgm:cxn modelId="{F776558C-BE4A-4FEE-9409-592D4F839411}" type="presParOf" srcId="{E01E8209-B223-448C-BE25-0C8B9263E57B}" destId="{9627B0AE-3E88-48E1-A2C6-4F09F8B1C84E}" srcOrd="2" destOrd="0" presId="urn:microsoft.com/office/officeart/2005/8/layout/radial4#1"/>
    <dgm:cxn modelId="{EE8E8661-AD8B-48FB-AF9C-5CEB98B46561}" type="presParOf" srcId="{E01E8209-B223-448C-BE25-0C8B9263E57B}" destId="{D8A41E2C-2EC3-4C04-965B-88E2AAB1EFA9}" srcOrd="3" destOrd="0" presId="urn:microsoft.com/office/officeart/2005/8/layout/radial4#1"/>
    <dgm:cxn modelId="{849F6EBD-3902-44F1-BDE2-F13EB0ED4AD7}" type="presParOf" srcId="{E01E8209-B223-448C-BE25-0C8B9263E57B}" destId="{21D6A87A-D6C5-4906-A5B3-33B5282D85D5}" srcOrd="4" destOrd="0" presId="urn:microsoft.com/office/officeart/2005/8/layout/radial4#1"/>
    <dgm:cxn modelId="{6612C70C-C91E-4BD8-A36B-71F8401397EC}" type="presParOf" srcId="{E01E8209-B223-448C-BE25-0C8B9263E57B}" destId="{B401D5B8-DB24-4EDB-A6A7-D42D0CE9B1C3}" srcOrd="5" destOrd="0" presId="urn:microsoft.com/office/officeart/2005/8/layout/radial4#1"/>
    <dgm:cxn modelId="{568A0B63-A790-4F2A-BAF3-1A34D70EB6B6}" type="presParOf" srcId="{E01E8209-B223-448C-BE25-0C8B9263E57B}" destId="{694E062D-AA8D-4092-8699-0B6D8BF68016}" srcOrd="6" destOrd="0" presId="urn:microsoft.com/office/officeart/2005/8/layout/radial4#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24407A-74A7-4762-B23C-B79EF698F111}">
      <dsp:nvSpPr>
        <dsp:cNvPr id="0" name=""/>
        <dsp:cNvSpPr/>
      </dsp:nvSpPr>
      <dsp:spPr>
        <a:xfrm>
          <a:off x="2013385" y="1739549"/>
          <a:ext cx="1459628" cy="145962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Market competition</a:t>
          </a:r>
        </a:p>
      </dsp:txBody>
      <dsp:txXfrm>
        <a:off x="2227143" y="1953307"/>
        <a:ext cx="1032112" cy="1032112"/>
      </dsp:txXfrm>
    </dsp:sp>
    <dsp:sp modelId="{6D9CB842-6EEF-4573-A633-EF95F649850F}">
      <dsp:nvSpPr>
        <dsp:cNvPr id="0" name=""/>
        <dsp:cNvSpPr/>
      </dsp:nvSpPr>
      <dsp:spPr>
        <a:xfrm rot="12900000">
          <a:off x="1074621" y="1484629"/>
          <a:ext cx="1118566" cy="415994"/>
        </a:xfrm>
        <a:prstGeom prst="leftArrow">
          <a:avLst>
            <a:gd name="adj1" fmla="val 60000"/>
            <a:gd name="adj2" fmla="val 5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9627B0AE-3E88-48E1-A2C6-4F09F8B1C84E}">
      <dsp:nvSpPr>
        <dsp:cNvPr id="0" name=""/>
        <dsp:cNvSpPr/>
      </dsp:nvSpPr>
      <dsp:spPr>
        <a:xfrm>
          <a:off x="482442" y="817176"/>
          <a:ext cx="1386647" cy="110931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ASDA</a:t>
          </a:r>
        </a:p>
      </dsp:txBody>
      <dsp:txXfrm>
        <a:off x="514933" y="849667"/>
        <a:ext cx="1321665" cy="1044335"/>
      </dsp:txXfrm>
    </dsp:sp>
    <dsp:sp modelId="{D8A41E2C-2EC3-4C04-965B-88E2AAB1EFA9}">
      <dsp:nvSpPr>
        <dsp:cNvPr id="0" name=""/>
        <dsp:cNvSpPr/>
      </dsp:nvSpPr>
      <dsp:spPr>
        <a:xfrm rot="16200000">
          <a:off x="2183916" y="907167"/>
          <a:ext cx="1118566" cy="415994"/>
        </a:xfrm>
        <a:prstGeom prst="leftArrow">
          <a:avLst>
            <a:gd name="adj1" fmla="val 60000"/>
            <a:gd name="adj2" fmla="val 5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21D6A87A-D6C5-4906-A5B3-33B5282D85D5}">
      <dsp:nvSpPr>
        <dsp:cNvPr id="0" name=""/>
        <dsp:cNvSpPr/>
      </dsp:nvSpPr>
      <dsp:spPr>
        <a:xfrm>
          <a:off x="2049876" y="1221"/>
          <a:ext cx="1386647" cy="1109317"/>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Morrison's </a:t>
          </a:r>
        </a:p>
      </dsp:txBody>
      <dsp:txXfrm>
        <a:off x="2082367" y="33712"/>
        <a:ext cx="1321665" cy="1044335"/>
      </dsp:txXfrm>
    </dsp:sp>
    <dsp:sp modelId="{B401D5B8-DB24-4EDB-A6A7-D42D0CE9B1C3}">
      <dsp:nvSpPr>
        <dsp:cNvPr id="0" name=""/>
        <dsp:cNvSpPr/>
      </dsp:nvSpPr>
      <dsp:spPr>
        <a:xfrm rot="19500000">
          <a:off x="3293211" y="1484629"/>
          <a:ext cx="1118566" cy="415994"/>
        </a:xfrm>
        <a:prstGeom prst="leftArrow">
          <a:avLst>
            <a:gd name="adj1" fmla="val 60000"/>
            <a:gd name="adj2" fmla="val 5000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94E062D-AA8D-4092-8699-0B6D8BF68016}">
      <dsp:nvSpPr>
        <dsp:cNvPr id="0" name=""/>
        <dsp:cNvSpPr/>
      </dsp:nvSpPr>
      <dsp:spPr>
        <a:xfrm>
          <a:off x="3617309" y="817176"/>
          <a:ext cx="1386647" cy="1109317"/>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Sainsbury's</a:t>
          </a:r>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4EC72-0DA2-4214-AFBD-67CE9915F8D6}">
  <ds:schemaRefs/>
</ds:datastoreItem>
</file>

<file path=docProps/app.xml><?xml version="1.0" encoding="utf-8"?>
<Properties xmlns="http://schemas.openxmlformats.org/officeDocument/2006/extended-properties" xmlns:vt="http://schemas.openxmlformats.org/officeDocument/2006/docPropsVTypes">
  <Template>Normal</Template>
  <Pages>15</Pages>
  <Words>3032</Words>
  <Characters>17288</Characters>
  <Lines>144</Lines>
  <Paragraphs>40</Paragraphs>
  <TotalTime>5</TotalTime>
  <ScaleCrop>false</ScaleCrop>
  <LinksUpToDate>false</LinksUpToDate>
  <CharactersWithSpaces>20280</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2022-12-16T04:45:00Z</dcterms:created>
  <dc:creator>User</dc:creator>
  <cp:lastModifiedBy>Hi</cp:lastModifiedBy>
  <dcterms:modified xsi:type="dcterms:W3CDTF">2023-01-05T21:13:14Z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6021532972C3466FB608F3871AF225FD</vt:lpwstr>
  </property>
</Properties>
</file>