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247DF1FF"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54618FA3" w14:textId="77777777" w:rsidR="008B72E5" w:rsidRPr="008B72E5" w:rsidRDefault="008B72E5" w:rsidP="008B72E5">
      <w:pPr>
        <w:spacing w:after="300" w:line="276" w:lineRule="auto"/>
        <w:jc w:val="center"/>
        <w:rPr>
          <w:rFonts w:ascii="Arial" w:eastAsia="MS Mincho" w:hAnsi="Arial" w:cs="Times New Roman"/>
          <w:color w:val="232323"/>
          <w:sz w:val="22"/>
          <w:lang w:val="en-US"/>
        </w:rPr>
      </w:pPr>
      <w:r w:rsidRPr="008B72E5">
        <w:rPr>
          <w:rFonts w:ascii="Arial" w:eastAsia="Arial" w:hAnsi="Arial" w:cs="Times New Roman"/>
          <w:b/>
          <w:color w:val="BE0069"/>
          <w:lang w:val="en-US"/>
        </w:rPr>
        <w:t>ONLINE PORTFOLIO</w:t>
      </w:r>
    </w:p>
    <w:p w14:paraId="3DD05494" w14:textId="77777777" w:rsidR="008B72E5" w:rsidRPr="008B72E5" w:rsidRDefault="008B72E5" w:rsidP="008B72E5">
      <w:pPr>
        <w:spacing w:after="200" w:line="276" w:lineRule="auto"/>
        <w:jc w:val="center"/>
        <w:rPr>
          <w:rFonts w:ascii="Arial" w:eastAsia="MS Mincho" w:hAnsi="Arial" w:cs="Times New Roman"/>
          <w:color w:val="232323"/>
          <w:sz w:val="22"/>
          <w:lang w:val="en-US"/>
        </w:rPr>
      </w:pPr>
      <w:r w:rsidRPr="008B72E5">
        <w:rPr>
          <w:rFonts w:ascii="Arial" w:eastAsia="Arial" w:hAnsi="Arial" w:cs="Times New Roman"/>
          <w:b/>
          <w:color w:val="232323"/>
          <w:sz w:val="50"/>
          <w:lang w:val="en-US"/>
        </w:rPr>
        <w:t>Changemakers: Building Your Personal Brand</w:t>
      </w:r>
      <w:r w:rsidRPr="008B72E5">
        <w:rPr>
          <w:rFonts w:ascii="Arial" w:eastAsia="Arial" w:hAnsi="Arial" w:cs="Times New Roman"/>
          <w:b/>
          <w:color w:val="232323"/>
          <w:sz w:val="50"/>
          <w:lang w:val="en-US"/>
        </w:rPr>
        <w:br/>
        <w:t>for Sustainable Employment</w:t>
      </w:r>
    </w:p>
    <w:p w14:paraId="7C498EF9" w14:textId="77777777" w:rsidR="008B72E5" w:rsidRPr="008B72E5" w:rsidRDefault="008B72E5" w:rsidP="008B72E5">
      <w:pPr>
        <w:spacing w:after="720" w:line="276" w:lineRule="auto"/>
        <w:jc w:val="center"/>
        <w:rPr>
          <w:rFonts w:ascii="Arial" w:eastAsia="MS Mincho" w:hAnsi="Arial" w:cs="Times New Roman"/>
          <w:color w:val="232323"/>
          <w:sz w:val="22"/>
          <w:lang w:val="en-US"/>
        </w:rPr>
      </w:pPr>
      <w:r w:rsidRPr="008B72E5">
        <w:rPr>
          <w:rFonts w:ascii="Arial" w:eastAsia="Arial" w:hAnsi="Arial" w:cs="Times New Roman"/>
          <w:b/>
          <w:color w:val="BE0069"/>
          <w:sz w:val="30"/>
          <w:lang w:val="en-US"/>
        </w:rPr>
        <w:t>Component 1</w:t>
      </w:r>
    </w:p>
    <w:p w14:paraId="2CFEE52A" w14:textId="77777777" w:rsidR="008B72E5" w:rsidRPr="008B72E5" w:rsidRDefault="008B72E5" w:rsidP="008B72E5">
      <w:pPr>
        <w:spacing w:after="100" w:line="276" w:lineRule="auto"/>
        <w:jc w:val="center"/>
        <w:rPr>
          <w:rFonts w:ascii="Arial" w:eastAsia="MS Mincho" w:hAnsi="Arial" w:cs="Times New Roman"/>
          <w:color w:val="232323"/>
          <w:sz w:val="22"/>
          <w:lang w:val="en-US"/>
        </w:rPr>
      </w:pPr>
      <w:r w:rsidRPr="008B72E5">
        <w:rPr>
          <w:rFonts w:ascii="Arial" w:eastAsia="Arial" w:hAnsi="Arial" w:cs="Times New Roman"/>
          <w:b/>
          <w:color w:val="232323"/>
          <w:sz w:val="28"/>
          <w:lang w:val="en-US"/>
        </w:rPr>
        <w:t>Folasade Oluwakemi Alabi</w:t>
      </w:r>
    </w:p>
    <w:p w14:paraId="49AA35BA" w14:textId="77777777" w:rsidR="008B72E5" w:rsidRPr="008B72E5" w:rsidRDefault="008B72E5" w:rsidP="008B72E5">
      <w:pPr>
        <w:spacing w:after="440" w:line="276" w:lineRule="auto"/>
        <w:jc w:val="center"/>
        <w:rPr>
          <w:rFonts w:ascii="Arial" w:eastAsia="MS Mincho" w:hAnsi="Arial" w:cs="Times New Roman"/>
          <w:color w:val="232323"/>
          <w:sz w:val="22"/>
          <w:lang w:val="en-US"/>
        </w:rPr>
      </w:pPr>
      <w:r w:rsidRPr="008B72E5">
        <w:rPr>
          <w:rFonts w:ascii="Arial" w:eastAsia="Arial" w:hAnsi="Arial" w:cs="Times New Roman"/>
          <w:color w:val="5A5A5A"/>
          <w:sz w:val="22"/>
          <w:lang w:val="en-US"/>
        </w:rPr>
        <w:t>Student ID: 1817626</w:t>
      </w:r>
    </w:p>
    <w:p w14:paraId="21DC06A0" w14:textId="77777777" w:rsidR="008B72E5" w:rsidRPr="008B72E5" w:rsidRDefault="008B72E5" w:rsidP="008B72E5">
      <w:pPr>
        <w:spacing w:after="80" w:line="276" w:lineRule="auto"/>
        <w:jc w:val="center"/>
        <w:rPr>
          <w:rFonts w:ascii="Arial" w:eastAsia="MS Mincho" w:hAnsi="Arial" w:cs="Times New Roman"/>
          <w:color w:val="232323"/>
          <w:sz w:val="22"/>
          <w:lang w:val="en-US"/>
        </w:rPr>
      </w:pPr>
      <w:proofErr w:type="spellStart"/>
      <w:r w:rsidRPr="008B72E5">
        <w:rPr>
          <w:rFonts w:ascii="Arial" w:eastAsia="Arial" w:hAnsi="Arial" w:cs="Times New Roman"/>
          <w:color w:val="232323"/>
          <w:sz w:val="22"/>
          <w:lang w:val="en-US"/>
        </w:rPr>
        <w:t>Programme</w:t>
      </w:r>
      <w:proofErr w:type="spellEnd"/>
      <w:r w:rsidRPr="008B72E5">
        <w:rPr>
          <w:rFonts w:ascii="Arial" w:eastAsia="Arial" w:hAnsi="Arial" w:cs="Times New Roman"/>
          <w:color w:val="232323"/>
          <w:sz w:val="22"/>
          <w:lang w:val="en-US"/>
        </w:rPr>
        <w:t>: BSc (Hons) Health and Social Care</w:t>
      </w:r>
    </w:p>
    <w:p w14:paraId="10F6EABD" w14:textId="77777777" w:rsidR="008B72E5" w:rsidRPr="008B72E5" w:rsidRDefault="008B72E5" w:rsidP="008B72E5">
      <w:pPr>
        <w:spacing w:after="80" w:line="276" w:lineRule="auto"/>
        <w:jc w:val="center"/>
        <w:rPr>
          <w:rFonts w:ascii="Arial" w:eastAsia="MS Mincho" w:hAnsi="Arial" w:cs="Times New Roman"/>
          <w:color w:val="232323"/>
          <w:sz w:val="22"/>
          <w:lang w:val="en-US"/>
        </w:rPr>
      </w:pPr>
      <w:r w:rsidRPr="008B72E5">
        <w:rPr>
          <w:rFonts w:ascii="Arial" w:eastAsia="Arial" w:hAnsi="Arial" w:cs="Times New Roman"/>
          <w:color w:val="232323"/>
          <w:sz w:val="22"/>
          <w:lang w:val="en-US"/>
        </w:rPr>
        <w:t>Module code: BMHP5015</w:t>
      </w:r>
    </w:p>
    <w:p w14:paraId="6B981A7E" w14:textId="77777777" w:rsidR="008B72E5" w:rsidRPr="008B72E5" w:rsidRDefault="008B72E5" w:rsidP="008B72E5">
      <w:pPr>
        <w:spacing w:after="80" w:line="276" w:lineRule="auto"/>
        <w:jc w:val="center"/>
        <w:rPr>
          <w:rFonts w:ascii="Arial" w:eastAsia="MS Mincho" w:hAnsi="Arial" w:cs="Times New Roman"/>
          <w:color w:val="232323"/>
          <w:sz w:val="22"/>
          <w:lang w:val="en-US"/>
        </w:rPr>
      </w:pPr>
      <w:r w:rsidRPr="008B72E5">
        <w:rPr>
          <w:rFonts w:ascii="Arial" w:eastAsia="Arial" w:hAnsi="Arial" w:cs="Times New Roman"/>
          <w:color w:val="232323"/>
          <w:sz w:val="22"/>
          <w:lang w:val="en-US"/>
        </w:rPr>
        <w:t>Lecturers: Caroline Salami (Module Leader) and Brian Mashumba</w:t>
      </w:r>
    </w:p>
    <w:p w14:paraId="453D38B4" w14:textId="77777777" w:rsidR="008B72E5" w:rsidRPr="008B72E5" w:rsidRDefault="008B72E5" w:rsidP="008B72E5">
      <w:pPr>
        <w:spacing w:after="80" w:line="276" w:lineRule="auto"/>
        <w:jc w:val="center"/>
        <w:rPr>
          <w:rFonts w:ascii="Arial" w:eastAsia="MS Mincho" w:hAnsi="Arial" w:cs="Times New Roman"/>
          <w:color w:val="232323"/>
          <w:sz w:val="22"/>
          <w:lang w:val="en-US"/>
        </w:rPr>
      </w:pPr>
      <w:r w:rsidRPr="008B72E5">
        <w:rPr>
          <w:rFonts w:ascii="Arial" w:eastAsia="Arial" w:hAnsi="Arial" w:cs="Times New Roman"/>
          <w:color w:val="232323"/>
          <w:sz w:val="22"/>
          <w:lang w:val="en-US"/>
        </w:rPr>
        <w:t>Assignment title: Component 1: Online Portfolio</w:t>
      </w:r>
    </w:p>
    <w:p w14:paraId="58B51EA4" w14:textId="77777777" w:rsidR="008B72E5" w:rsidRPr="008B72E5" w:rsidRDefault="008B72E5" w:rsidP="008B72E5">
      <w:pPr>
        <w:spacing w:after="80" w:line="276" w:lineRule="auto"/>
        <w:jc w:val="center"/>
        <w:rPr>
          <w:rFonts w:ascii="Arial" w:eastAsia="MS Mincho" w:hAnsi="Arial" w:cs="Times New Roman"/>
          <w:color w:val="232323"/>
          <w:sz w:val="22"/>
          <w:lang w:val="en-US"/>
        </w:rPr>
      </w:pPr>
      <w:r w:rsidRPr="008B72E5">
        <w:rPr>
          <w:rFonts w:ascii="Arial" w:eastAsia="Arial" w:hAnsi="Arial" w:cs="Times New Roman"/>
          <w:color w:val="232323"/>
          <w:sz w:val="22"/>
          <w:lang w:val="en-US"/>
        </w:rPr>
        <w:t>Submission deadline: 31 July 2026</w:t>
      </w:r>
    </w:p>
    <w:p w14:paraId="37655DD5" w14:textId="77777777" w:rsidR="008B72E5" w:rsidRPr="008B72E5" w:rsidRDefault="008B72E5" w:rsidP="008B72E5">
      <w:pPr>
        <w:spacing w:after="0" w:line="276" w:lineRule="auto"/>
        <w:jc w:val="center"/>
        <w:rPr>
          <w:rFonts w:ascii="Arial" w:eastAsia="MS Mincho" w:hAnsi="Arial" w:cs="Times New Roman"/>
          <w:color w:val="232323"/>
          <w:sz w:val="22"/>
          <w:lang w:val="en-US"/>
        </w:rPr>
      </w:pPr>
      <w:r w:rsidRPr="008B72E5">
        <w:rPr>
          <w:rFonts w:ascii="Arial" w:eastAsia="Arial" w:hAnsi="Arial" w:cs="Times New Roman"/>
          <w:i/>
          <w:color w:val="5A5A5A"/>
          <w:sz w:val="20"/>
          <w:lang w:val="en-US"/>
        </w:rPr>
        <w:t>Word count: 2,003 words (main portfolio text)</w:t>
      </w:r>
    </w:p>
    <w:p w14:paraId="46CD8F91" w14:textId="77777777" w:rsidR="008B72E5" w:rsidRPr="008B72E5" w:rsidRDefault="008B72E5" w:rsidP="008B72E5">
      <w:pPr>
        <w:spacing w:after="120" w:line="360" w:lineRule="auto"/>
        <w:jc w:val="both"/>
        <w:rPr>
          <w:rFonts w:ascii="Arial" w:eastAsia="MS Mincho" w:hAnsi="Arial" w:cs="Times New Roman"/>
          <w:color w:val="232323"/>
          <w:sz w:val="22"/>
          <w:lang w:val="en-US"/>
        </w:rPr>
        <w:sectPr w:rsidR="008B72E5" w:rsidRPr="008B72E5" w:rsidSect="008B72E5">
          <w:pgSz w:w="11906" w:h="16838"/>
          <w:pgMar w:top="1440" w:right="1440" w:bottom="1440" w:left="1440" w:header="709" w:footer="709" w:gutter="0"/>
          <w:cols w:space="720"/>
          <w:docGrid w:linePitch="360"/>
        </w:sectPr>
      </w:pPr>
    </w:p>
    <w:p w14:paraId="570989B0" w14:textId="77777777" w:rsidR="008B72E5" w:rsidRPr="008B72E5" w:rsidRDefault="008B72E5" w:rsidP="008B72E5">
      <w:pPr>
        <w:keepNext/>
        <w:keepLines/>
        <w:spacing w:before="320" w:line="276" w:lineRule="auto"/>
        <w:jc w:val="both"/>
        <w:outlineLvl w:val="0"/>
        <w:rPr>
          <w:rFonts w:ascii="Calibri" w:eastAsia="MS Gothic" w:hAnsi="Calibri" w:cs="Times New Roman"/>
          <w:b/>
          <w:bCs/>
          <w:color w:val="BE0069"/>
          <w:sz w:val="32"/>
          <w:szCs w:val="28"/>
          <w:lang w:val="en-US"/>
        </w:rPr>
      </w:pPr>
      <w:r w:rsidRPr="008B72E5">
        <w:rPr>
          <w:rFonts w:ascii="Calibri" w:eastAsia="MS Gothic" w:hAnsi="Calibri" w:cs="Times New Roman"/>
          <w:b/>
          <w:bCs/>
          <w:color w:val="BE0069"/>
          <w:sz w:val="32"/>
          <w:szCs w:val="28"/>
          <w:lang w:val="en-US"/>
        </w:rPr>
        <w:lastRenderedPageBreak/>
        <w:t>Introduction</w:t>
      </w:r>
    </w:p>
    <w:p w14:paraId="23F400E0"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This portfolio reflects on my learning from the four units of Changemakers: Building Your Personal Brand for Sustainable Employment. The module has helped me connect self-awareness, professional relationships, career opportunities and resilience with the expectations of health and social care practice. Before completing the activities, I viewed employability mainly as gaining a degree and applying for vacancies. I now understand it as an ongoing process of </w:t>
      </w:r>
      <w:proofErr w:type="spellStart"/>
      <w:r w:rsidRPr="008B72E5">
        <w:rPr>
          <w:rFonts w:ascii="Arial" w:eastAsia="Arial" w:hAnsi="Arial" w:cs="Times New Roman"/>
          <w:color w:val="232323"/>
          <w:sz w:val="22"/>
          <w:lang w:val="en-US"/>
        </w:rPr>
        <w:t>recognising</w:t>
      </w:r>
      <w:proofErr w:type="spellEnd"/>
      <w:r w:rsidRPr="008B72E5">
        <w:rPr>
          <w:rFonts w:ascii="Arial" w:eastAsia="Arial" w:hAnsi="Arial" w:cs="Times New Roman"/>
          <w:color w:val="232323"/>
          <w:sz w:val="22"/>
          <w:lang w:val="en-US"/>
        </w:rPr>
        <w:t xml:space="preserve"> my values, communicating an authentic professional identity, developing relevant skills and adapting to change. My current ambition is to begin in a person-</w:t>
      </w:r>
      <w:proofErr w:type="spellStart"/>
      <w:r w:rsidRPr="008B72E5">
        <w:rPr>
          <w:rFonts w:ascii="Arial" w:eastAsia="Arial" w:hAnsi="Arial" w:cs="Times New Roman"/>
          <w:color w:val="232323"/>
          <w:sz w:val="22"/>
          <w:lang w:val="en-US"/>
        </w:rPr>
        <w:t>centred</w:t>
      </w:r>
      <w:proofErr w:type="spellEnd"/>
      <w:r w:rsidRPr="008B72E5">
        <w:rPr>
          <w:rFonts w:ascii="Arial" w:eastAsia="Arial" w:hAnsi="Arial" w:cs="Times New Roman"/>
          <w:color w:val="232323"/>
          <w:sz w:val="22"/>
          <w:lang w:val="en-US"/>
        </w:rPr>
        <w:t xml:space="preserve"> care or support role and progress towards a senior care or service-coordination position. This direction suits my interest in helping people maintain dignity, independence and wellbeing. The reflection therefore evaluates what I learned, how my thinking changed and the actions I will take. It also includes evidence from the online activities and links my learning to academic ideas about personal branding, boundaryless careers, networking, opportunity creation, digital professionalism, grit and mentoring. Where a Moodle screenshot was unavailable, I have included clearly labelled written evidence of my response to the relevant activity prompt.</w:t>
      </w:r>
    </w:p>
    <w:p w14:paraId="62D26658"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MS Mincho" w:hAnsi="Arial" w:cs="Times New Roman"/>
          <w:color w:val="232323"/>
          <w:sz w:val="22"/>
          <w:lang w:val="en-US"/>
        </w:rPr>
        <w:br w:type="page"/>
      </w:r>
    </w:p>
    <w:p w14:paraId="3CAD170F" w14:textId="77777777" w:rsidR="008B72E5" w:rsidRPr="008B72E5" w:rsidRDefault="008B72E5" w:rsidP="008B72E5">
      <w:pPr>
        <w:keepNext/>
        <w:keepLines/>
        <w:spacing w:before="320" w:line="276" w:lineRule="auto"/>
        <w:jc w:val="both"/>
        <w:outlineLvl w:val="0"/>
        <w:rPr>
          <w:rFonts w:ascii="Calibri" w:eastAsia="MS Gothic" w:hAnsi="Calibri" w:cs="Times New Roman"/>
          <w:b/>
          <w:bCs/>
          <w:color w:val="BE0069"/>
          <w:sz w:val="32"/>
          <w:szCs w:val="28"/>
          <w:lang w:val="en-US"/>
        </w:rPr>
      </w:pPr>
      <w:r w:rsidRPr="008B72E5">
        <w:rPr>
          <w:rFonts w:ascii="Calibri" w:eastAsia="MS Gothic" w:hAnsi="Calibri" w:cs="Times New Roman"/>
          <w:b/>
          <w:bCs/>
          <w:color w:val="BE0069"/>
          <w:sz w:val="32"/>
          <w:szCs w:val="28"/>
          <w:lang w:val="en-US"/>
        </w:rPr>
        <w:lastRenderedPageBreak/>
        <w:t>Unit 1: Brand You</w:t>
      </w:r>
    </w:p>
    <w:p w14:paraId="575A732A"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Unit 1 showed me that a personal brand is the consistent impression created by my values, behaviour, skills and communication. Rampersad (2008) argues that personal branding is strongest when it is authentic rather than an artificial image. I therefore identified empathy, active listening, reliability and willingness to learn as qualities I want employers and service users to associate with me. However, I also </w:t>
      </w:r>
      <w:proofErr w:type="spellStart"/>
      <w:r w:rsidRPr="008B72E5">
        <w:rPr>
          <w:rFonts w:ascii="Arial" w:eastAsia="Arial" w:hAnsi="Arial" w:cs="Times New Roman"/>
          <w:color w:val="232323"/>
          <w:sz w:val="22"/>
          <w:lang w:val="en-US"/>
        </w:rPr>
        <w:t>recognised</w:t>
      </w:r>
      <w:proofErr w:type="spellEnd"/>
      <w:r w:rsidRPr="008B72E5">
        <w:rPr>
          <w:rFonts w:ascii="Arial" w:eastAsia="Arial" w:hAnsi="Arial" w:cs="Times New Roman"/>
          <w:color w:val="232323"/>
          <w:sz w:val="22"/>
          <w:lang w:val="en-US"/>
        </w:rPr>
        <w:t xml:space="preserve"> development needs in digital confidence, public speaking and </w:t>
      </w:r>
      <w:proofErr w:type="spellStart"/>
      <w:r w:rsidRPr="008B72E5">
        <w:rPr>
          <w:rFonts w:ascii="Arial" w:eastAsia="Arial" w:hAnsi="Arial" w:cs="Times New Roman"/>
          <w:color w:val="232323"/>
          <w:sz w:val="22"/>
          <w:lang w:val="en-US"/>
        </w:rPr>
        <w:t>prioritising</w:t>
      </w:r>
      <w:proofErr w:type="spellEnd"/>
      <w:r w:rsidRPr="008B72E5">
        <w:rPr>
          <w:rFonts w:ascii="Arial" w:eastAsia="Arial" w:hAnsi="Arial" w:cs="Times New Roman"/>
          <w:color w:val="232323"/>
          <w:sz w:val="22"/>
          <w:lang w:val="en-US"/>
        </w:rPr>
        <w:t xml:space="preserve"> tasks under pressure. This was important because self-awareness requires honest evaluation, not simply presenting positive qualities. I also learned that every claimed strength should be supported by evidence, such as feedback, completed training or an example of responsible behaviour.</w:t>
      </w:r>
    </w:p>
    <w:p w14:paraId="4400EE7F"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The discussion of autonomy, mastery and purpose helped me understand my motivation. Self-determination theory explains that autonomy and competence support stronger internal motivation (Ryan and Deci, 2000). I have autonomy in choosing a care-focused career, but mastery will require supervised practice, safeguarding knowledge, accurate record keeping and continuous learning. My purpose is to support people respectfully while enabling them to exercise choice. This purpose gives my brand a professional and ethical foundation.</w:t>
      </w:r>
    </w:p>
    <w:p w14:paraId="72CA489D"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The unit also changed how I understand career development. A boundaryless career may involve movement across roles, </w:t>
      </w:r>
      <w:proofErr w:type="spellStart"/>
      <w:r w:rsidRPr="008B72E5">
        <w:rPr>
          <w:rFonts w:ascii="Arial" w:eastAsia="Arial" w:hAnsi="Arial" w:cs="Times New Roman"/>
          <w:color w:val="232323"/>
          <w:sz w:val="22"/>
          <w:lang w:val="en-US"/>
        </w:rPr>
        <w:t>organisations</w:t>
      </w:r>
      <w:proofErr w:type="spellEnd"/>
      <w:r w:rsidRPr="008B72E5">
        <w:rPr>
          <w:rFonts w:ascii="Arial" w:eastAsia="Arial" w:hAnsi="Arial" w:cs="Times New Roman"/>
          <w:color w:val="232323"/>
          <w:sz w:val="22"/>
          <w:lang w:val="en-US"/>
        </w:rPr>
        <w:t xml:space="preserve"> and sectors (Arthur, </w:t>
      </w:r>
      <w:proofErr w:type="spellStart"/>
      <w:r w:rsidRPr="008B72E5">
        <w:rPr>
          <w:rFonts w:ascii="Arial" w:eastAsia="Arial" w:hAnsi="Arial" w:cs="Times New Roman"/>
          <w:color w:val="232323"/>
          <w:sz w:val="22"/>
          <w:lang w:val="en-US"/>
        </w:rPr>
        <w:t>Khapova</w:t>
      </w:r>
      <w:proofErr w:type="spellEnd"/>
      <w:r w:rsidRPr="008B72E5">
        <w:rPr>
          <w:rFonts w:ascii="Arial" w:eastAsia="Arial" w:hAnsi="Arial" w:cs="Times New Roman"/>
          <w:color w:val="232323"/>
          <w:sz w:val="22"/>
          <w:lang w:val="en-US"/>
        </w:rPr>
        <w:t xml:space="preserve"> and </w:t>
      </w:r>
      <w:proofErr w:type="spellStart"/>
      <w:r w:rsidRPr="008B72E5">
        <w:rPr>
          <w:rFonts w:ascii="Arial" w:eastAsia="Arial" w:hAnsi="Arial" w:cs="Times New Roman"/>
          <w:color w:val="232323"/>
          <w:sz w:val="22"/>
          <w:lang w:val="en-US"/>
        </w:rPr>
        <w:t>Wilderom</w:t>
      </w:r>
      <w:proofErr w:type="spellEnd"/>
      <w:r w:rsidRPr="008B72E5">
        <w:rPr>
          <w:rFonts w:ascii="Arial" w:eastAsia="Arial" w:hAnsi="Arial" w:cs="Times New Roman"/>
          <w:color w:val="232323"/>
          <w:sz w:val="22"/>
          <w:lang w:val="en-US"/>
        </w:rPr>
        <w:t xml:space="preserve">, 2005). This flexibility could allow me to progress from support work into senior care or coordination. Nevertheless, flexible or short-term work may offer less stability and continuity, so I would evaluate opportunities against training, supervision and service-user safety. Emotional intelligence is equally relevant because </w:t>
      </w:r>
      <w:proofErr w:type="spellStart"/>
      <w:r w:rsidRPr="008B72E5">
        <w:rPr>
          <w:rFonts w:ascii="Arial" w:eastAsia="Arial" w:hAnsi="Arial" w:cs="Times New Roman"/>
          <w:color w:val="232323"/>
          <w:sz w:val="22"/>
          <w:lang w:val="en-US"/>
        </w:rPr>
        <w:t>recognising</w:t>
      </w:r>
      <w:proofErr w:type="spellEnd"/>
      <w:r w:rsidRPr="008B72E5">
        <w:rPr>
          <w:rFonts w:ascii="Arial" w:eastAsia="Arial" w:hAnsi="Arial" w:cs="Times New Roman"/>
          <w:color w:val="232323"/>
          <w:sz w:val="22"/>
          <w:lang w:val="en-US"/>
        </w:rPr>
        <w:t xml:space="preserve"> and managing emotions can improve communication and relationships (Mayer, Salovey and Caruso, 2004). I must remember that an online emotional-intelligence quiz is only a prompt for reflection, not an objective professional assessment.</w:t>
      </w:r>
    </w:p>
    <w:p w14:paraId="55509E01"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MS Mincho" w:hAnsi="Arial" w:cs="Times New Roman"/>
          <w:color w:val="232323"/>
          <w:sz w:val="22"/>
          <w:lang w:val="en-US"/>
        </w:rPr>
        <w:br w:type="page"/>
      </w:r>
    </w:p>
    <w:p w14:paraId="10CA66A8" w14:textId="77777777" w:rsidR="008B72E5" w:rsidRPr="008B72E5" w:rsidRDefault="008B72E5" w:rsidP="008B72E5">
      <w:pPr>
        <w:keepNext/>
        <w:keepLines/>
        <w:spacing w:before="24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lastRenderedPageBreak/>
        <w:t>Activity Evidence 1: Identifying hard and soft skills</w:t>
      </w:r>
    </w:p>
    <w:p w14:paraId="3FD0E9C9" w14:textId="77777777" w:rsidR="008B72E5" w:rsidRPr="008B72E5" w:rsidRDefault="008B72E5" w:rsidP="008B72E5">
      <w:pPr>
        <w:keepNext/>
        <w:spacing w:after="100" w:line="360" w:lineRule="auto"/>
        <w:jc w:val="center"/>
        <w:rPr>
          <w:rFonts w:ascii="Arial" w:eastAsia="MS Mincho" w:hAnsi="Arial" w:cs="Times New Roman"/>
          <w:color w:val="232323"/>
          <w:sz w:val="22"/>
          <w:lang w:val="en-US"/>
        </w:rPr>
      </w:pPr>
      <w:r w:rsidRPr="008B72E5">
        <w:rPr>
          <w:rFonts w:ascii="Arial" w:eastAsia="MS Mincho" w:hAnsi="Arial" w:cs="Times New Roman"/>
          <w:noProof/>
          <w:color w:val="232323"/>
          <w:sz w:val="22"/>
          <w:lang w:val="en-US"/>
        </w:rPr>
        <w:drawing>
          <wp:inline distT="0" distB="0" distL="0" distR="0" wp14:anchorId="2C260E88" wp14:editId="4B0844E2">
            <wp:extent cx="5166360" cy="6935234"/>
            <wp:effectExtent l="0" t="0" r="0" b="0"/>
            <wp:docPr id="1192998828" name="Picture 1192998828" descr="Screenshot of the National Careers Service online activity about figure 1 helped me distinguish hard skills from transferable soft skills. i learned that care work needs both procedural knowledge and interpersonal qualities such as teamwork, communication and problem solving (national careers service, n.d.).." title="Figure 1: Identifying hard and soft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kills_page_1.png"/>
                    <pic:cNvPicPr/>
                  </pic:nvPicPr>
                  <pic:blipFill>
                    <a:blip r:embed="rId9"/>
                    <a:stretch>
                      <a:fillRect/>
                    </a:stretch>
                  </pic:blipFill>
                  <pic:spPr>
                    <a:xfrm>
                      <a:off x="0" y="0"/>
                      <a:ext cx="5166360" cy="6935234"/>
                    </a:xfrm>
                    <a:prstGeom prst="rect">
                      <a:avLst/>
                    </a:prstGeom>
                  </pic:spPr>
                </pic:pic>
              </a:graphicData>
            </a:graphic>
          </wp:inline>
        </w:drawing>
      </w:r>
    </w:p>
    <w:p w14:paraId="4CA5AB0C" w14:textId="77777777" w:rsidR="008B72E5" w:rsidRPr="008B72E5" w:rsidRDefault="008B72E5" w:rsidP="008B72E5">
      <w:pPr>
        <w:keepNext/>
        <w:spacing w:after="40" w:line="240" w:lineRule="auto"/>
        <w:jc w:val="center"/>
        <w:rPr>
          <w:rFonts w:ascii="Arial" w:eastAsia="MS Mincho" w:hAnsi="Arial" w:cs="Times New Roman"/>
          <w:b/>
          <w:bCs/>
          <w:color w:val="5A5A5A"/>
          <w:sz w:val="18"/>
          <w:szCs w:val="18"/>
          <w:lang w:val="en-US"/>
        </w:rPr>
      </w:pPr>
      <w:r w:rsidRPr="008B72E5">
        <w:rPr>
          <w:rFonts w:ascii="Arial" w:eastAsia="Arial" w:hAnsi="Arial" w:cs="Times New Roman"/>
          <w:b/>
          <w:bCs/>
          <w:color w:val="5A5A5A"/>
          <w:sz w:val="18"/>
          <w:szCs w:val="18"/>
          <w:lang w:val="en-US"/>
        </w:rPr>
        <w:t>Figure 1. National Careers Service activity showing hard and transferable soft skills.</w:t>
      </w:r>
    </w:p>
    <w:p w14:paraId="0A9FBBD6" w14:textId="77777777" w:rsidR="008B72E5" w:rsidRPr="008B72E5" w:rsidRDefault="008B72E5" w:rsidP="008B72E5">
      <w:pPr>
        <w:keepNext/>
        <w:spacing w:after="120" w:line="360" w:lineRule="auto"/>
        <w:jc w:val="center"/>
        <w:rPr>
          <w:rFonts w:ascii="Arial" w:eastAsia="MS Mincho" w:hAnsi="Arial" w:cs="Times New Roman"/>
          <w:color w:val="232323"/>
          <w:sz w:val="22"/>
          <w:lang w:val="en-US"/>
        </w:rPr>
      </w:pPr>
      <w:r w:rsidRPr="008B72E5">
        <w:rPr>
          <w:rFonts w:ascii="Arial" w:eastAsia="Arial" w:hAnsi="Arial" w:cs="Times New Roman"/>
          <w:i/>
          <w:color w:val="5A5A5A"/>
          <w:sz w:val="17"/>
          <w:lang w:val="en-US"/>
        </w:rPr>
        <w:t>Source: National Careers Service (n.d.); screenshot supplied by the student.</w:t>
      </w:r>
    </w:p>
    <w:p w14:paraId="2CF5B75E"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Figure 1 helped me distinguish hard skills from transferable soft skills. I learned that care work needs both procedural knowledge and interpersonal qualities such as teamwork, communication and problem solving (National Careers Service, n.d.).</w:t>
      </w:r>
    </w:p>
    <w:p w14:paraId="69885495"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MS Mincho" w:hAnsi="Arial" w:cs="Times New Roman"/>
          <w:color w:val="232323"/>
          <w:sz w:val="22"/>
          <w:lang w:val="en-US"/>
        </w:rPr>
        <w:br w:type="page"/>
      </w:r>
    </w:p>
    <w:p w14:paraId="2E21C440" w14:textId="77777777" w:rsidR="008B72E5" w:rsidRPr="008B72E5" w:rsidRDefault="008B72E5" w:rsidP="008B72E5">
      <w:pPr>
        <w:keepNext/>
        <w:keepLines/>
        <w:spacing w:before="24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lastRenderedPageBreak/>
        <w:t>Activity Evidence 2: Flexible skills development</w:t>
      </w:r>
    </w:p>
    <w:p w14:paraId="6072A935" w14:textId="77777777" w:rsidR="008B72E5" w:rsidRPr="008B72E5" w:rsidRDefault="008B72E5" w:rsidP="008B72E5">
      <w:pPr>
        <w:keepNext/>
        <w:spacing w:after="100" w:line="360" w:lineRule="auto"/>
        <w:jc w:val="center"/>
        <w:rPr>
          <w:rFonts w:ascii="Arial" w:eastAsia="MS Mincho" w:hAnsi="Arial" w:cs="Times New Roman"/>
          <w:color w:val="232323"/>
          <w:sz w:val="22"/>
          <w:lang w:val="en-US"/>
        </w:rPr>
      </w:pPr>
      <w:r w:rsidRPr="008B72E5">
        <w:rPr>
          <w:rFonts w:ascii="Arial" w:eastAsia="MS Mincho" w:hAnsi="Arial" w:cs="Times New Roman"/>
          <w:noProof/>
          <w:color w:val="232323"/>
          <w:sz w:val="22"/>
          <w:lang w:val="en-US"/>
        </w:rPr>
        <w:drawing>
          <wp:inline distT="0" distB="0" distL="0" distR="0" wp14:anchorId="174764E6" wp14:editId="28F69A62">
            <wp:extent cx="5166360" cy="6302829"/>
            <wp:effectExtent l="0" t="0" r="0" b="0"/>
            <wp:docPr id="2" name="Picture 2" descr="Screenshot of the National Careers Service online activity about figure 2 showed that learning can occur through short courses, volunteering, work experience and independent study. i will use these routes to strengthen my cv and gain practical understanding without waiting until graduation.." title="Figure 2: Flexible skills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kills_page_2.png"/>
                    <pic:cNvPicPr/>
                  </pic:nvPicPr>
                  <pic:blipFill>
                    <a:blip r:embed="rId10"/>
                    <a:stretch>
                      <a:fillRect/>
                    </a:stretch>
                  </pic:blipFill>
                  <pic:spPr>
                    <a:xfrm>
                      <a:off x="0" y="0"/>
                      <a:ext cx="5166360" cy="6302829"/>
                    </a:xfrm>
                    <a:prstGeom prst="rect">
                      <a:avLst/>
                    </a:prstGeom>
                  </pic:spPr>
                </pic:pic>
              </a:graphicData>
            </a:graphic>
          </wp:inline>
        </w:drawing>
      </w:r>
    </w:p>
    <w:p w14:paraId="29D24DEB" w14:textId="77777777" w:rsidR="008B72E5" w:rsidRPr="008B72E5" w:rsidRDefault="008B72E5" w:rsidP="008B72E5">
      <w:pPr>
        <w:keepNext/>
        <w:spacing w:after="40" w:line="240" w:lineRule="auto"/>
        <w:jc w:val="center"/>
        <w:rPr>
          <w:rFonts w:ascii="Arial" w:eastAsia="MS Mincho" w:hAnsi="Arial" w:cs="Times New Roman"/>
          <w:b/>
          <w:bCs/>
          <w:color w:val="5A5A5A"/>
          <w:sz w:val="18"/>
          <w:szCs w:val="18"/>
          <w:lang w:val="en-US"/>
        </w:rPr>
      </w:pPr>
      <w:r w:rsidRPr="008B72E5">
        <w:rPr>
          <w:rFonts w:ascii="Arial" w:eastAsia="Arial" w:hAnsi="Arial" w:cs="Times New Roman"/>
          <w:b/>
          <w:bCs/>
          <w:color w:val="5A5A5A"/>
          <w:sz w:val="18"/>
          <w:szCs w:val="18"/>
          <w:lang w:val="en-US"/>
        </w:rPr>
        <w:t>Figure 2. National Careers Service activity on courses, volunteering, work experience and self-directed learning.</w:t>
      </w:r>
    </w:p>
    <w:p w14:paraId="0403E6EC" w14:textId="77777777" w:rsidR="008B72E5" w:rsidRPr="008B72E5" w:rsidRDefault="008B72E5" w:rsidP="008B72E5">
      <w:pPr>
        <w:keepNext/>
        <w:spacing w:after="120" w:line="360" w:lineRule="auto"/>
        <w:jc w:val="center"/>
        <w:rPr>
          <w:rFonts w:ascii="Arial" w:eastAsia="MS Mincho" w:hAnsi="Arial" w:cs="Times New Roman"/>
          <w:color w:val="232323"/>
          <w:sz w:val="22"/>
          <w:lang w:val="en-US"/>
        </w:rPr>
      </w:pPr>
      <w:r w:rsidRPr="008B72E5">
        <w:rPr>
          <w:rFonts w:ascii="Arial" w:eastAsia="Arial" w:hAnsi="Arial" w:cs="Times New Roman"/>
          <w:i/>
          <w:color w:val="5A5A5A"/>
          <w:sz w:val="17"/>
          <w:lang w:val="en-US"/>
        </w:rPr>
        <w:t>Source: National Careers Service (n.d.); screenshot supplied by the student.</w:t>
      </w:r>
    </w:p>
    <w:p w14:paraId="24BEA834"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Figure 2 showed that learning can occur through short courses, volunteering, work experience and independent study. I will use these routes to strengthen my CV and gain practical understanding without waiting until graduation.</w:t>
      </w:r>
    </w:p>
    <w:p w14:paraId="41479CC5"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MS Mincho" w:hAnsi="Arial" w:cs="Times New Roman"/>
          <w:color w:val="232323"/>
          <w:sz w:val="22"/>
          <w:lang w:val="en-US"/>
        </w:rPr>
        <w:br w:type="page"/>
      </w:r>
    </w:p>
    <w:p w14:paraId="73560F26" w14:textId="77777777" w:rsidR="008B72E5" w:rsidRPr="008B72E5" w:rsidRDefault="008B72E5" w:rsidP="008B72E5">
      <w:pPr>
        <w:keepNext/>
        <w:keepLines/>
        <w:spacing w:before="24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lastRenderedPageBreak/>
        <w:t>Activity Evidence 3: Using SMART goals in career planning</w:t>
      </w:r>
    </w:p>
    <w:p w14:paraId="47901FFD" w14:textId="77777777" w:rsidR="008B72E5" w:rsidRPr="008B72E5" w:rsidRDefault="008B72E5" w:rsidP="008B72E5">
      <w:pPr>
        <w:keepNext/>
        <w:spacing w:after="100" w:line="360" w:lineRule="auto"/>
        <w:jc w:val="center"/>
        <w:rPr>
          <w:rFonts w:ascii="Arial" w:eastAsia="MS Mincho" w:hAnsi="Arial" w:cs="Times New Roman"/>
          <w:color w:val="232323"/>
          <w:sz w:val="22"/>
          <w:lang w:val="en-US"/>
        </w:rPr>
      </w:pPr>
      <w:r w:rsidRPr="008B72E5">
        <w:rPr>
          <w:rFonts w:ascii="Arial" w:eastAsia="MS Mincho" w:hAnsi="Arial" w:cs="Times New Roman"/>
          <w:noProof/>
          <w:color w:val="232323"/>
          <w:sz w:val="22"/>
          <w:lang w:val="en-US"/>
        </w:rPr>
        <w:drawing>
          <wp:inline distT="0" distB="0" distL="0" distR="0" wp14:anchorId="178D5860" wp14:editId="24842C40">
            <wp:extent cx="5166360" cy="6085959"/>
            <wp:effectExtent l="0" t="0" r="0" b="0"/>
            <wp:docPr id="3" name="Picture 3" descr="Screenshot of the National Careers Service online activity about figure 3 introduced smart career planning. applying doran’s (1981) framework, my goal is to complete relevant care and safeguarding training, gain regular care-related volunteering or work experience, and review my progress within twelve months.." title="Figure 3: Using SMART goals in career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kills_page_3.png"/>
                    <pic:cNvPicPr/>
                  </pic:nvPicPr>
                  <pic:blipFill>
                    <a:blip r:embed="rId11"/>
                    <a:stretch>
                      <a:fillRect/>
                    </a:stretch>
                  </pic:blipFill>
                  <pic:spPr>
                    <a:xfrm>
                      <a:off x="0" y="0"/>
                      <a:ext cx="5166360" cy="6085959"/>
                    </a:xfrm>
                    <a:prstGeom prst="rect">
                      <a:avLst/>
                    </a:prstGeom>
                  </pic:spPr>
                </pic:pic>
              </a:graphicData>
            </a:graphic>
          </wp:inline>
        </w:drawing>
      </w:r>
    </w:p>
    <w:p w14:paraId="7F27F80F" w14:textId="77777777" w:rsidR="008B72E5" w:rsidRPr="008B72E5" w:rsidRDefault="008B72E5" w:rsidP="008B72E5">
      <w:pPr>
        <w:keepNext/>
        <w:spacing w:after="40" w:line="240" w:lineRule="auto"/>
        <w:jc w:val="center"/>
        <w:rPr>
          <w:rFonts w:ascii="Arial" w:eastAsia="MS Mincho" w:hAnsi="Arial" w:cs="Times New Roman"/>
          <w:b/>
          <w:bCs/>
          <w:color w:val="5A5A5A"/>
          <w:sz w:val="18"/>
          <w:szCs w:val="18"/>
          <w:lang w:val="en-US"/>
        </w:rPr>
      </w:pPr>
      <w:r w:rsidRPr="008B72E5">
        <w:rPr>
          <w:rFonts w:ascii="Arial" w:eastAsia="Arial" w:hAnsi="Arial" w:cs="Times New Roman"/>
          <w:b/>
          <w:bCs/>
          <w:color w:val="5A5A5A"/>
          <w:sz w:val="18"/>
          <w:szCs w:val="18"/>
          <w:lang w:val="en-US"/>
        </w:rPr>
        <w:t>Figure 3. National Careers Service activity explaining SMART goals and flexible career planning.</w:t>
      </w:r>
    </w:p>
    <w:p w14:paraId="3B645EC5" w14:textId="77777777" w:rsidR="008B72E5" w:rsidRPr="008B72E5" w:rsidRDefault="008B72E5" w:rsidP="008B72E5">
      <w:pPr>
        <w:keepNext/>
        <w:spacing w:after="120" w:line="360" w:lineRule="auto"/>
        <w:jc w:val="center"/>
        <w:rPr>
          <w:rFonts w:ascii="Arial" w:eastAsia="MS Mincho" w:hAnsi="Arial" w:cs="Times New Roman"/>
          <w:color w:val="232323"/>
          <w:sz w:val="22"/>
          <w:lang w:val="en-US"/>
        </w:rPr>
      </w:pPr>
      <w:r w:rsidRPr="008B72E5">
        <w:rPr>
          <w:rFonts w:ascii="Arial" w:eastAsia="Arial" w:hAnsi="Arial" w:cs="Times New Roman"/>
          <w:i/>
          <w:color w:val="5A5A5A"/>
          <w:sz w:val="17"/>
          <w:lang w:val="en-US"/>
        </w:rPr>
        <w:t>Source: National Careers Service (n.d.); screenshot supplied by the student.</w:t>
      </w:r>
    </w:p>
    <w:p w14:paraId="14948735"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Figure 3 introduced SMART career planning. Applying Doran’s (1981) framework, my goal is to complete relevant care and safeguarding training, gain regular care-related volunteering or work experience, and review my progress within twelve months.</w:t>
      </w:r>
    </w:p>
    <w:p w14:paraId="2113B55A"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MS Mincho" w:hAnsi="Arial" w:cs="Times New Roman"/>
          <w:color w:val="232323"/>
          <w:sz w:val="22"/>
          <w:lang w:val="en-US"/>
        </w:rPr>
        <w:br w:type="page"/>
      </w:r>
    </w:p>
    <w:p w14:paraId="0C2100E9" w14:textId="77777777" w:rsidR="008B72E5" w:rsidRPr="008B72E5" w:rsidRDefault="008B72E5" w:rsidP="008B72E5">
      <w:pPr>
        <w:keepNext/>
        <w:keepLines/>
        <w:spacing w:before="320" w:line="276" w:lineRule="auto"/>
        <w:jc w:val="both"/>
        <w:outlineLvl w:val="0"/>
        <w:rPr>
          <w:rFonts w:ascii="Calibri" w:eastAsia="MS Gothic" w:hAnsi="Calibri" w:cs="Times New Roman"/>
          <w:b/>
          <w:bCs/>
          <w:color w:val="BE0069"/>
          <w:sz w:val="32"/>
          <w:szCs w:val="28"/>
          <w:lang w:val="en-US"/>
        </w:rPr>
      </w:pPr>
      <w:r w:rsidRPr="008B72E5">
        <w:rPr>
          <w:rFonts w:ascii="Calibri" w:eastAsia="MS Gothic" w:hAnsi="Calibri" w:cs="Times New Roman"/>
          <w:b/>
          <w:bCs/>
          <w:color w:val="BE0069"/>
          <w:sz w:val="32"/>
          <w:szCs w:val="28"/>
          <w:lang w:val="en-US"/>
        </w:rPr>
        <w:lastRenderedPageBreak/>
        <w:t>Unit 2: It’s a Small World</w:t>
      </w:r>
    </w:p>
    <w:p w14:paraId="692C9B7F"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Unit 2 developed my understanding of networking as a professional responsibility rather than collecting contacts. Effective networks allow information, knowledge and support to move between people and </w:t>
      </w:r>
      <w:proofErr w:type="spellStart"/>
      <w:r w:rsidRPr="008B72E5">
        <w:rPr>
          <w:rFonts w:ascii="Arial" w:eastAsia="Arial" w:hAnsi="Arial" w:cs="Times New Roman"/>
          <w:color w:val="232323"/>
          <w:sz w:val="22"/>
          <w:lang w:val="en-US"/>
        </w:rPr>
        <w:t>organisations</w:t>
      </w:r>
      <w:proofErr w:type="spellEnd"/>
      <w:r w:rsidRPr="008B72E5">
        <w:rPr>
          <w:rFonts w:ascii="Arial" w:eastAsia="Arial" w:hAnsi="Arial" w:cs="Times New Roman"/>
          <w:color w:val="232323"/>
          <w:sz w:val="22"/>
          <w:lang w:val="en-US"/>
        </w:rPr>
        <w:t xml:space="preserve"> (Gibson, Hardy and Buckley, 2014). In health and social care, this can improve referrals, multidisciplinary working and continuity of support. The Health and Care Act 2022 also reinforces collaboration across NHS bodies, local authorities and wider partners. I </w:t>
      </w:r>
      <w:proofErr w:type="spellStart"/>
      <w:r w:rsidRPr="008B72E5">
        <w:rPr>
          <w:rFonts w:ascii="Arial" w:eastAsia="Arial" w:hAnsi="Arial" w:cs="Times New Roman"/>
          <w:color w:val="232323"/>
          <w:sz w:val="22"/>
          <w:lang w:val="en-US"/>
        </w:rPr>
        <w:t>realised</w:t>
      </w:r>
      <w:proofErr w:type="spellEnd"/>
      <w:r w:rsidRPr="008B72E5">
        <w:rPr>
          <w:rFonts w:ascii="Arial" w:eastAsia="Arial" w:hAnsi="Arial" w:cs="Times New Roman"/>
          <w:color w:val="232323"/>
          <w:sz w:val="22"/>
          <w:lang w:val="en-US"/>
        </w:rPr>
        <w:t xml:space="preserve"> that my future network should include colleagues, supervisors, social workers, community </w:t>
      </w:r>
      <w:proofErr w:type="spellStart"/>
      <w:r w:rsidRPr="008B72E5">
        <w:rPr>
          <w:rFonts w:ascii="Arial" w:eastAsia="Arial" w:hAnsi="Arial" w:cs="Times New Roman"/>
          <w:color w:val="232323"/>
          <w:sz w:val="22"/>
          <w:lang w:val="en-US"/>
        </w:rPr>
        <w:t>organisations</w:t>
      </w:r>
      <w:proofErr w:type="spellEnd"/>
      <w:r w:rsidRPr="008B72E5">
        <w:rPr>
          <w:rFonts w:ascii="Arial" w:eastAsia="Arial" w:hAnsi="Arial" w:cs="Times New Roman"/>
          <w:color w:val="232323"/>
          <w:sz w:val="22"/>
          <w:lang w:val="en-US"/>
        </w:rPr>
        <w:t>, education providers and professional groups.</w:t>
      </w:r>
    </w:p>
    <w:p w14:paraId="6F564175"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The activities also showed that network quality is more important than size. Staying only within familiar groups can create narrow thinking, cliques and repeated assumptions. A diverse network can expose me to different cultures, professions and experiences, which is important when supporting people with varied needs. I must approach these differences with curiosity and avoid assuming that one person represents an entire community. I also need confidence to contribute while accepting that another professional or service user may hold knowledge that I do not have. Networking has limits: patient information must not be shared merely to build relationships, and professional boundaries must remain clear.</w:t>
      </w:r>
    </w:p>
    <w:p w14:paraId="5B1A1C0A"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Social prescribing provided a practical example of connection. NHS England (n.d.) describes it as linking people with community activities, groups and services that address practical, social and emotional needs. This taught me that good care does not end with a medical referral. A person experiencing loneliness may benefit from a community group, while someone with financial stress may need welfare advice. However, the value of social prescribing depends on accessible local services and appropriate safeguarding, so referral should be followed by communication and evaluation.</w:t>
      </w:r>
    </w:p>
    <w:p w14:paraId="13B29343" w14:textId="77777777" w:rsidR="008B72E5" w:rsidRPr="008B72E5" w:rsidRDefault="008B72E5" w:rsidP="008B72E5">
      <w:pPr>
        <w:keepNext/>
        <w:keepLines/>
        <w:spacing w:before="240" w:after="10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t>Written Evidence of Forum Activity 1: What Networking Means to Me</w:t>
      </w:r>
    </w:p>
    <w:p w14:paraId="44C82CD5" w14:textId="77777777" w:rsidR="008B72E5" w:rsidRPr="008B72E5" w:rsidRDefault="008B72E5" w:rsidP="008B72E5">
      <w:pPr>
        <w:keepLines/>
        <w:pBdr>
          <w:left w:val="single" w:sz="18" w:space="6" w:color="BE0069"/>
        </w:pBdr>
        <w:shd w:val="clear" w:color="auto" w:fill="F8F2F6"/>
        <w:spacing w:before="40" w:after="200" w:line="360" w:lineRule="auto"/>
        <w:ind w:left="170" w:right="170"/>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Networking means building trustworthy, two-way professional relationships in which people exchange knowledge, guidance and opportunities. In health and social care, I would network to learn from others and coordinate better support, not only when I need a job.</w:t>
      </w:r>
    </w:p>
    <w:p w14:paraId="4E6CC9C2" w14:textId="77777777" w:rsidR="008B72E5" w:rsidRPr="008B72E5" w:rsidRDefault="008B72E5" w:rsidP="008B72E5">
      <w:pPr>
        <w:keepNext/>
        <w:keepLines/>
        <w:spacing w:before="240" w:after="10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t>Written Evidence of Forum Activity 2: Increasing Networking</w:t>
      </w:r>
    </w:p>
    <w:p w14:paraId="3E850446" w14:textId="77777777" w:rsidR="008B72E5" w:rsidRPr="008B72E5" w:rsidRDefault="008B72E5" w:rsidP="008B72E5">
      <w:pPr>
        <w:keepLines/>
        <w:pBdr>
          <w:left w:val="single" w:sz="18" w:space="6" w:color="BE0069"/>
        </w:pBdr>
        <w:shd w:val="clear" w:color="auto" w:fill="F8F2F6"/>
        <w:spacing w:before="40" w:after="200" w:line="360" w:lineRule="auto"/>
        <w:ind w:left="170" w:right="170"/>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I can increase my network by attending careers events, participating in class discussions, joining appropriate professional groups and maintaining a responsible LinkedIn profile. I would also seek connections beyond my immediate background so that different perspectives challenge my assumptions.</w:t>
      </w:r>
    </w:p>
    <w:p w14:paraId="1001C162" w14:textId="77777777" w:rsidR="008B72E5" w:rsidRPr="008B72E5" w:rsidRDefault="008B72E5" w:rsidP="008B72E5">
      <w:pPr>
        <w:keepNext/>
        <w:keepLines/>
        <w:spacing w:before="240" w:after="10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lastRenderedPageBreak/>
        <w:t>Written Evidence of Forum Activity 3: Making Connections in Care</w:t>
      </w:r>
    </w:p>
    <w:p w14:paraId="2E6478D0" w14:textId="77777777" w:rsidR="008B72E5" w:rsidRPr="008B72E5" w:rsidRDefault="008B72E5" w:rsidP="008B72E5">
      <w:pPr>
        <w:keepLines/>
        <w:pBdr>
          <w:left w:val="single" w:sz="18" w:space="6" w:color="BE0069"/>
        </w:pBdr>
        <w:shd w:val="clear" w:color="auto" w:fill="F8F2F6"/>
        <w:spacing w:before="40" w:after="200" w:line="360" w:lineRule="auto"/>
        <w:ind w:left="170" w:right="170"/>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I would connect with service users, carers, colleagues, GPs, social workers, charities and local services. I would listen first, obtain consent where required, share only necessary information and follow up referrals so that the connection produces a meaningful outcome.</w:t>
      </w:r>
    </w:p>
    <w:p w14:paraId="5F7B7D7B" w14:textId="77777777" w:rsidR="008B72E5" w:rsidRPr="008B72E5" w:rsidRDefault="008B72E5" w:rsidP="008B72E5">
      <w:pPr>
        <w:keepNext/>
        <w:keepLines/>
        <w:spacing w:before="320" w:line="276" w:lineRule="auto"/>
        <w:jc w:val="both"/>
        <w:outlineLvl w:val="0"/>
        <w:rPr>
          <w:rFonts w:ascii="Calibri" w:eastAsia="MS Gothic" w:hAnsi="Calibri" w:cs="Times New Roman"/>
          <w:b/>
          <w:bCs/>
          <w:color w:val="BE0069"/>
          <w:sz w:val="32"/>
          <w:szCs w:val="28"/>
          <w:lang w:val="en-US"/>
        </w:rPr>
      </w:pPr>
      <w:r w:rsidRPr="008B72E5">
        <w:rPr>
          <w:rFonts w:ascii="Calibri" w:eastAsia="MS Gothic" w:hAnsi="Calibri" w:cs="Times New Roman"/>
          <w:b/>
          <w:bCs/>
          <w:color w:val="BE0069"/>
          <w:sz w:val="32"/>
          <w:szCs w:val="28"/>
          <w:lang w:val="en-US"/>
        </w:rPr>
        <w:t>Unit 3: Opportunity Knocks</w:t>
      </w:r>
    </w:p>
    <w:p w14:paraId="1F89C12F"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Unit 3 challenged the idea that career success is produced by luck alone. </w:t>
      </w:r>
      <w:proofErr w:type="spellStart"/>
      <w:r w:rsidRPr="008B72E5">
        <w:rPr>
          <w:rFonts w:ascii="Arial" w:eastAsia="Arial" w:hAnsi="Arial" w:cs="Times New Roman"/>
          <w:color w:val="232323"/>
          <w:sz w:val="22"/>
          <w:lang w:val="en-US"/>
        </w:rPr>
        <w:t>Krumboltz’s</w:t>
      </w:r>
      <w:proofErr w:type="spellEnd"/>
      <w:r w:rsidRPr="008B72E5">
        <w:rPr>
          <w:rFonts w:ascii="Arial" w:eastAsia="Arial" w:hAnsi="Arial" w:cs="Times New Roman"/>
          <w:color w:val="232323"/>
          <w:sz w:val="22"/>
          <w:lang w:val="en-US"/>
        </w:rPr>
        <w:t xml:space="preserve"> (2009) happenstance learning theory suggests that exploratory action can create beneficial unplanned events. I learned that I can increase opportunities by being curious, volunteering, speaking with professionals, completing training and applying even when a route was not part of my original plan. This is different from passively waiting for luck because preparation makes an opportunity easier to </w:t>
      </w:r>
      <w:proofErr w:type="spellStart"/>
      <w:r w:rsidRPr="008B72E5">
        <w:rPr>
          <w:rFonts w:ascii="Arial" w:eastAsia="Arial" w:hAnsi="Arial" w:cs="Times New Roman"/>
          <w:color w:val="232323"/>
          <w:sz w:val="22"/>
          <w:lang w:val="en-US"/>
        </w:rPr>
        <w:t>recognise</w:t>
      </w:r>
      <w:proofErr w:type="spellEnd"/>
      <w:r w:rsidRPr="008B72E5">
        <w:rPr>
          <w:rFonts w:ascii="Arial" w:eastAsia="Arial" w:hAnsi="Arial" w:cs="Times New Roman"/>
          <w:color w:val="232323"/>
          <w:sz w:val="22"/>
          <w:lang w:val="en-US"/>
        </w:rPr>
        <w:t xml:space="preserve"> and use.</w:t>
      </w:r>
    </w:p>
    <w:p w14:paraId="02C4F854"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The unit also addressed stretch goals and SMART goals. A stretch goal can encourage ambition, but an unrealistic goal may create pressure or reduce motivation. I will therefore divide my long-term aim of progressing into care coordination into achievable steps. My first steps are to research role requirements, improve my CV, complete relevant short courses and obtain practical experience. I will review progress every three months and change the route if evidence shows that a different role better matches my strengths. This makes the plan flexible without making it vague, because each review will consider evidence of progress and any barriers requiring action.</w:t>
      </w:r>
    </w:p>
    <w:p w14:paraId="5977503B"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Professional visibility was another important lesson. Digital recruitment means that employers may encounter my online identity before an interview. I want my professional presence to communicate respect, reliability and interest in person-</w:t>
      </w:r>
      <w:proofErr w:type="spellStart"/>
      <w:r w:rsidRPr="008B72E5">
        <w:rPr>
          <w:rFonts w:ascii="Arial" w:eastAsia="Arial" w:hAnsi="Arial" w:cs="Times New Roman"/>
          <w:color w:val="232323"/>
          <w:sz w:val="22"/>
          <w:lang w:val="en-US"/>
        </w:rPr>
        <w:t>centred</w:t>
      </w:r>
      <w:proofErr w:type="spellEnd"/>
      <w:r w:rsidRPr="008B72E5">
        <w:rPr>
          <w:rFonts w:ascii="Arial" w:eastAsia="Arial" w:hAnsi="Arial" w:cs="Times New Roman"/>
          <w:color w:val="232323"/>
          <w:sz w:val="22"/>
          <w:lang w:val="en-US"/>
        </w:rPr>
        <w:t xml:space="preserve"> care. Blogging can help people articulate ideas and maintain communities (Nardi et al., 2004), but health content also creates risks. I must avoid discussing identifiable service users, presenting unsupported advice or confusing personal opinion with professional guidance. Therefore, my online brand should be useful and consistent while remaining within confidentiality and competence.</w:t>
      </w:r>
    </w:p>
    <w:p w14:paraId="514DDD99" w14:textId="77777777" w:rsidR="008B72E5" w:rsidRPr="008B72E5" w:rsidRDefault="008B72E5" w:rsidP="008B72E5">
      <w:pPr>
        <w:keepNext/>
        <w:keepLines/>
        <w:spacing w:before="240" w:after="10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t>Written Evidence of Forum Activity 1: Serendipity Mindset</w:t>
      </w:r>
    </w:p>
    <w:p w14:paraId="333B1238" w14:textId="77777777" w:rsidR="008B72E5" w:rsidRPr="008B72E5" w:rsidRDefault="008B72E5" w:rsidP="008B72E5">
      <w:pPr>
        <w:keepLines/>
        <w:pBdr>
          <w:left w:val="single" w:sz="18" w:space="6" w:color="BE0069"/>
        </w:pBdr>
        <w:shd w:val="clear" w:color="auto" w:fill="F8F2F6"/>
        <w:spacing w:before="40" w:after="200" w:line="360" w:lineRule="auto"/>
        <w:ind w:left="170" w:right="170"/>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A serendipity mindset means remaining open to unexpected learning or career possibilities and taking action when they appear. For example, volunteering at a community wellbeing event could introduce me to a role I had not previously considered.</w:t>
      </w:r>
    </w:p>
    <w:p w14:paraId="7C36CDCD" w14:textId="77777777" w:rsidR="008B72E5" w:rsidRPr="008B72E5" w:rsidRDefault="008B72E5" w:rsidP="008B72E5">
      <w:pPr>
        <w:keepNext/>
        <w:keepLines/>
        <w:spacing w:before="240" w:after="10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lastRenderedPageBreak/>
        <w:t>Written Evidence of Forum Activity 2: Opening Doors</w:t>
      </w:r>
    </w:p>
    <w:p w14:paraId="5D821B0C" w14:textId="77777777" w:rsidR="008B72E5" w:rsidRPr="008B72E5" w:rsidRDefault="008B72E5" w:rsidP="008B72E5">
      <w:pPr>
        <w:keepLines/>
        <w:pBdr>
          <w:left w:val="single" w:sz="18" w:space="6" w:color="BE0069"/>
        </w:pBdr>
        <w:shd w:val="clear" w:color="auto" w:fill="F8F2F6"/>
        <w:spacing w:before="40" w:after="200" w:line="360" w:lineRule="auto"/>
        <w:ind w:left="170" w:right="170"/>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I can open doors by tailoring my CV to each role, gaining care-related experience, using job profiles to identify skill gaps, attending networking events and asking for constructive feedback. These actions turn a general ambition into visible employability evidence.</w:t>
      </w:r>
    </w:p>
    <w:p w14:paraId="635472A6" w14:textId="77777777" w:rsidR="008B72E5" w:rsidRPr="008B72E5" w:rsidRDefault="008B72E5" w:rsidP="008B72E5">
      <w:pPr>
        <w:keepNext/>
        <w:keepLines/>
        <w:spacing w:before="240" w:after="10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t>Written Evidence of Forum Activity 3: Short Professional Blog Post</w:t>
      </w:r>
    </w:p>
    <w:p w14:paraId="39BF3B99" w14:textId="77777777" w:rsidR="008B72E5" w:rsidRPr="008B72E5" w:rsidRDefault="008B72E5" w:rsidP="008B72E5">
      <w:pPr>
        <w:keepLines/>
        <w:pBdr>
          <w:left w:val="single" w:sz="18" w:space="6" w:color="BE0069"/>
        </w:pBdr>
        <w:shd w:val="clear" w:color="auto" w:fill="F8F2F6"/>
        <w:spacing w:before="40" w:after="200" w:line="360" w:lineRule="auto"/>
        <w:ind w:left="170" w:right="170"/>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Person-</w:t>
      </w:r>
      <w:proofErr w:type="spellStart"/>
      <w:r w:rsidRPr="008B72E5">
        <w:rPr>
          <w:rFonts w:ascii="Arial" w:eastAsia="Arial" w:hAnsi="Arial" w:cs="Times New Roman"/>
          <w:color w:val="232323"/>
          <w:sz w:val="22"/>
          <w:lang w:val="en-US"/>
        </w:rPr>
        <w:t>centred</w:t>
      </w:r>
      <w:proofErr w:type="spellEnd"/>
      <w:r w:rsidRPr="008B72E5">
        <w:rPr>
          <w:rFonts w:ascii="Arial" w:eastAsia="Arial" w:hAnsi="Arial" w:cs="Times New Roman"/>
          <w:color w:val="232323"/>
          <w:sz w:val="22"/>
          <w:lang w:val="en-US"/>
        </w:rPr>
        <w:t xml:space="preserve"> care begins with listening. A care plan may describe needs, but the individual explains what matters in daily life. Professionals should ask clear questions, respect choices and communicate agreed information responsibly. Small acts of listening can strengthen trust, dignity and participation.</w:t>
      </w:r>
    </w:p>
    <w:p w14:paraId="785E28A2" w14:textId="77777777" w:rsidR="008B72E5" w:rsidRPr="008B72E5" w:rsidRDefault="008B72E5" w:rsidP="008B72E5">
      <w:pPr>
        <w:keepNext/>
        <w:keepLines/>
        <w:spacing w:before="320" w:line="276" w:lineRule="auto"/>
        <w:jc w:val="both"/>
        <w:outlineLvl w:val="0"/>
        <w:rPr>
          <w:rFonts w:ascii="Calibri" w:eastAsia="MS Gothic" w:hAnsi="Calibri" w:cs="Times New Roman"/>
          <w:b/>
          <w:bCs/>
          <w:color w:val="BE0069"/>
          <w:sz w:val="32"/>
          <w:szCs w:val="28"/>
          <w:lang w:val="en-US"/>
        </w:rPr>
      </w:pPr>
      <w:r w:rsidRPr="008B72E5">
        <w:rPr>
          <w:rFonts w:ascii="Calibri" w:eastAsia="MS Gothic" w:hAnsi="Calibri" w:cs="Times New Roman"/>
          <w:b/>
          <w:bCs/>
          <w:color w:val="BE0069"/>
          <w:sz w:val="32"/>
          <w:szCs w:val="28"/>
          <w:lang w:val="en-US"/>
        </w:rPr>
        <w:t>Unit 4: The Pursuit of Happiness</w:t>
      </w:r>
    </w:p>
    <w:p w14:paraId="4F49B6B4"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Unit 4 helped me connect career sustainability with resilience, learning and support. I identified a limiting belief that a strong professional should already know every answer. In practice, this belief could prevent me from asking for guidance and place service users at risk. I now view appropriate questions, supervision and reflection as signs of responsibility. This change supports a growth-oriented identity in which mistakes and feedback become sources of learning.</w:t>
      </w:r>
    </w:p>
    <w:p w14:paraId="59F2E7F0"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The concept of grit describes perseverance and passion for long-term goals (Duckworth et al., 2007). It encouraged me to continue developing even when applications, study or unfamiliar tasks are difficult. However, grit should not mean tolerating unsafe workloads or ignoring wellbeing. Sustainable practice also requires rest, emotional regulation, realistic priorities and support from others. This balance is especially important in care work, where unmanaged stress can affect judgement and relationships.</w:t>
      </w:r>
    </w:p>
    <w:p w14:paraId="56B8C624"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Technological change created another area for reflection. Digital records, remote communication and decision-support tools can improve access and learning, but weak infrastructure, poor interoperability and digital exclusion can limit their value (Sheikh et al., 2021). I will therefore develop digital skills while retaining human communication and checking whether a service user can use the technology comfortably. Adaptability should improve care rather than make people fit a system that excludes them.</w:t>
      </w:r>
    </w:p>
    <w:p w14:paraId="099638C2"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Finally, I learned that mentoring can support both competence and confidence. Klinge (2015) presents mentoring as a collaborative relationship that develops professional learning through experience and reflection. I would seek a mentor with relevant care experience, ethical judgement and willingness to give honest feedback. I would still evaluate advice critically because a mentor’s experience is valuable but not automatically suitable for every situation.</w:t>
      </w:r>
    </w:p>
    <w:p w14:paraId="630C309C" w14:textId="77777777" w:rsidR="008B72E5" w:rsidRPr="008B72E5" w:rsidRDefault="008B72E5" w:rsidP="008B72E5">
      <w:pPr>
        <w:keepNext/>
        <w:keepLines/>
        <w:spacing w:before="240" w:after="10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lastRenderedPageBreak/>
        <w:t>Written Evidence of Forum Activity 1: Limiting Beliefs</w:t>
      </w:r>
    </w:p>
    <w:p w14:paraId="65B1AB1C" w14:textId="77777777" w:rsidR="008B72E5" w:rsidRPr="008B72E5" w:rsidRDefault="008B72E5" w:rsidP="008B72E5">
      <w:pPr>
        <w:keepLines/>
        <w:pBdr>
          <w:left w:val="single" w:sz="18" w:space="6" w:color="BE0069"/>
        </w:pBdr>
        <w:shd w:val="clear" w:color="auto" w:fill="F8F2F6"/>
        <w:spacing w:before="40" w:after="200" w:line="360" w:lineRule="auto"/>
        <w:ind w:left="170" w:right="170"/>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Limiting beliefs are assumptions that reduce action, such as believing that I cannot speak confidently or adapt to technology. I can challenge them by identifying evidence, </w:t>
      </w:r>
      <w:proofErr w:type="spellStart"/>
      <w:r w:rsidRPr="008B72E5">
        <w:rPr>
          <w:rFonts w:ascii="Arial" w:eastAsia="Arial" w:hAnsi="Arial" w:cs="Times New Roman"/>
          <w:color w:val="232323"/>
          <w:sz w:val="22"/>
          <w:lang w:val="en-US"/>
        </w:rPr>
        <w:t>practising</w:t>
      </w:r>
      <w:proofErr w:type="spellEnd"/>
      <w:r w:rsidRPr="008B72E5">
        <w:rPr>
          <w:rFonts w:ascii="Arial" w:eastAsia="Arial" w:hAnsi="Arial" w:cs="Times New Roman"/>
          <w:color w:val="232323"/>
          <w:sz w:val="22"/>
          <w:lang w:val="en-US"/>
        </w:rPr>
        <w:t xml:space="preserve"> gradually, requesting feedback and measuring improvement rather than accepting fear as fact.</w:t>
      </w:r>
    </w:p>
    <w:p w14:paraId="6BFE343A" w14:textId="77777777" w:rsidR="008B72E5" w:rsidRPr="008B72E5" w:rsidRDefault="008B72E5" w:rsidP="008B72E5">
      <w:pPr>
        <w:keepNext/>
        <w:keepLines/>
        <w:spacing w:before="240" w:after="10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t>Written Evidence of Forum Activity 2: Technological Change</w:t>
      </w:r>
    </w:p>
    <w:p w14:paraId="122673DC" w14:textId="77777777" w:rsidR="008B72E5" w:rsidRPr="008B72E5" w:rsidRDefault="008B72E5" w:rsidP="008B72E5">
      <w:pPr>
        <w:keepLines/>
        <w:pBdr>
          <w:left w:val="single" w:sz="18" w:space="6" w:color="BE0069"/>
        </w:pBdr>
        <w:shd w:val="clear" w:color="auto" w:fill="F8F2F6"/>
        <w:spacing w:before="40" w:after="200" w:line="360" w:lineRule="auto"/>
        <w:ind w:left="170" w:right="170"/>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Technology can improve records, communication and access, but it may also exclude people with limited devices, confidence or connectivity. Health and social care workers need training and must offer safe alternatives instead of assuming that digital access is equal.</w:t>
      </w:r>
    </w:p>
    <w:p w14:paraId="683769DB" w14:textId="77777777" w:rsidR="008B72E5" w:rsidRPr="008B72E5" w:rsidRDefault="008B72E5" w:rsidP="008B72E5">
      <w:pPr>
        <w:keepNext/>
        <w:keepLines/>
        <w:spacing w:before="240" w:after="100" w:line="276" w:lineRule="auto"/>
        <w:jc w:val="both"/>
        <w:outlineLvl w:val="1"/>
        <w:rPr>
          <w:rFonts w:ascii="Calibri" w:eastAsia="MS Gothic" w:hAnsi="Calibri" w:cs="Times New Roman"/>
          <w:b/>
          <w:bCs/>
          <w:color w:val="BE0069"/>
          <w:szCs w:val="26"/>
          <w:lang w:val="en-US"/>
        </w:rPr>
      </w:pPr>
      <w:r w:rsidRPr="008B72E5">
        <w:rPr>
          <w:rFonts w:ascii="Calibri" w:eastAsia="MS Gothic" w:hAnsi="Calibri" w:cs="Times New Roman"/>
          <w:b/>
          <w:bCs/>
          <w:color w:val="BE0069"/>
          <w:szCs w:val="26"/>
          <w:lang w:val="en-US"/>
        </w:rPr>
        <w:t>Written Evidence of Forum Activity 3: Value of a Mentor</w:t>
      </w:r>
    </w:p>
    <w:p w14:paraId="30E4D379" w14:textId="77777777" w:rsidR="008B72E5" w:rsidRPr="008B72E5" w:rsidRDefault="008B72E5" w:rsidP="008B72E5">
      <w:pPr>
        <w:keepLines/>
        <w:pBdr>
          <w:left w:val="single" w:sz="18" w:space="6" w:color="BE0069"/>
        </w:pBdr>
        <w:shd w:val="clear" w:color="auto" w:fill="F8F2F6"/>
        <w:spacing w:before="40" w:after="200" w:line="360" w:lineRule="auto"/>
        <w:ind w:left="170" w:right="170"/>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A mentor could help me interpret workplace expectations, review my development plan and learn from difficult situations. Regular discussions would keep my goals focused, but I would remain responsible for checking advice against policy, evidence and professional standards.</w:t>
      </w:r>
    </w:p>
    <w:p w14:paraId="5591856C" w14:textId="77777777" w:rsidR="008B72E5" w:rsidRPr="008B72E5" w:rsidRDefault="008B72E5" w:rsidP="008B72E5">
      <w:pPr>
        <w:keepNext/>
        <w:keepLines/>
        <w:spacing w:before="320" w:line="276" w:lineRule="auto"/>
        <w:jc w:val="both"/>
        <w:outlineLvl w:val="0"/>
        <w:rPr>
          <w:rFonts w:ascii="Calibri" w:eastAsia="MS Gothic" w:hAnsi="Calibri" w:cs="Times New Roman"/>
          <w:b/>
          <w:bCs/>
          <w:color w:val="BE0069"/>
          <w:sz w:val="32"/>
          <w:szCs w:val="28"/>
          <w:lang w:val="en-US"/>
        </w:rPr>
      </w:pPr>
      <w:r w:rsidRPr="008B72E5">
        <w:rPr>
          <w:rFonts w:ascii="Calibri" w:eastAsia="MS Gothic" w:hAnsi="Calibri" w:cs="Times New Roman"/>
          <w:b/>
          <w:bCs/>
          <w:color w:val="BE0069"/>
          <w:sz w:val="32"/>
          <w:szCs w:val="28"/>
          <w:lang w:val="en-US"/>
        </w:rPr>
        <w:t>Conclusion</w:t>
      </w:r>
    </w:p>
    <w:p w14:paraId="4AB8707A" w14:textId="60D3997A"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Arial" w:hAnsi="Arial" w:cs="Times New Roman"/>
          <w:color w:val="232323"/>
          <w:sz w:val="22"/>
          <w:lang w:val="en-US"/>
        </w:rPr>
        <w:t>The four units have changed my understanding of sustainable employability. I now see my personal brand as the repeated evidence of how I communicate, learn and treat people, rather than a slogan. Unit 1 helped me identify strengths, development needs and a purposeful career direction. Unit 2 showed that diverse, ethical networks support coordinated and person-</w:t>
      </w:r>
      <w:proofErr w:type="spellStart"/>
      <w:r w:rsidRPr="008B72E5">
        <w:rPr>
          <w:rFonts w:ascii="Arial" w:eastAsia="Arial" w:hAnsi="Arial" w:cs="Times New Roman"/>
          <w:color w:val="232323"/>
          <w:sz w:val="22"/>
          <w:lang w:val="en-US"/>
        </w:rPr>
        <w:t>centred</w:t>
      </w:r>
      <w:proofErr w:type="spellEnd"/>
      <w:r w:rsidRPr="008B72E5">
        <w:rPr>
          <w:rFonts w:ascii="Arial" w:eastAsia="Arial" w:hAnsi="Arial" w:cs="Times New Roman"/>
          <w:color w:val="232323"/>
          <w:sz w:val="22"/>
          <w:lang w:val="en-US"/>
        </w:rPr>
        <w:t xml:space="preserve"> care. Unit 3 taught me to create opportunities through curiosity, preparation and responsible professional visibility. Unit 4 demonstrated that long-term progress depends on resilience, digital adaptability, wellbeing and guidance from others. My next actions are to complete relevant short training, seek care-related volunteering or work experience, develop a professional CV and online profile, and review a SMART development plan every three months. I will also use feedback from tutors, supervisors and service users to check whether the professional identity I intend to communicate is reflected in my actual behaviour. These steps will help me move towards a care or support role while building the competence and judgement needed for future senior responsibilities.</w:t>
      </w:r>
    </w:p>
    <w:p w14:paraId="20BFD5E8" w14:textId="77777777" w:rsidR="008B72E5" w:rsidRPr="008B72E5" w:rsidRDefault="008B72E5" w:rsidP="008B72E5">
      <w:pPr>
        <w:spacing w:after="120" w:line="360" w:lineRule="auto"/>
        <w:jc w:val="both"/>
        <w:rPr>
          <w:rFonts w:ascii="Arial" w:eastAsia="MS Mincho" w:hAnsi="Arial" w:cs="Times New Roman"/>
          <w:color w:val="232323"/>
          <w:sz w:val="22"/>
          <w:lang w:val="en-US"/>
        </w:rPr>
      </w:pPr>
      <w:r w:rsidRPr="008B72E5">
        <w:rPr>
          <w:rFonts w:ascii="Arial" w:eastAsia="MS Mincho" w:hAnsi="Arial" w:cs="Times New Roman"/>
          <w:color w:val="232323"/>
          <w:sz w:val="22"/>
          <w:lang w:val="en-US"/>
        </w:rPr>
        <w:br w:type="page"/>
      </w:r>
    </w:p>
    <w:p w14:paraId="118493E7" w14:textId="3FBF987D" w:rsidR="00400901" w:rsidRDefault="007D1F75" w:rsidP="00AA6833">
      <w:pPr>
        <w:keepNext/>
        <w:keepLines/>
        <w:spacing w:before="320" w:line="276" w:lineRule="auto"/>
        <w:jc w:val="both"/>
        <w:outlineLvl w:val="0"/>
        <w:rPr>
          <w:rFonts w:ascii="Calibri" w:eastAsia="MS Gothic" w:hAnsi="Calibri" w:cs="Times New Roman"/>
          <w:b/>
          <w:bCs/>
          <w:color w:val="BE0069"/>
          <w:sz w:val="32"/>
          <w:szCs w:val="28"/>
          <w:lang w:val="en-US"/>
        </w:rPr>
      </w:pPr>
      <w:proofErr w:type="spellStart"/>
      <w:r>
        <w:rPr>
          <w:rFonts w:ascii="Calibri" w:eastAsia="MS Gothic" w:hAnsi="Calibri" w:cs="Times New Roman"/>
          <w:b/>
          <w:bCs/>
          <w:color w:val="BE0069"/>
          <w:sz w:val="32"/>
          <w:szCs w:val="28"/>
          <w:lang w:val="en-US"/>
        </w:rPr>
        <w:lastRenderedPageBreak/>
        <w:t>Four</w:t>
      </w:r>
      <w:r w:rsidR="00FD3CCF">
        <w:rPr>
          <w:rFonts w:ascii="Calibri" w:eastAsia="MS Gothic" w:hAnsi="Calibri" w:cs="Times New Roman"/>
          <w:b/>
          <w:bCs/>
          <w:color w:val="BE0069"/>
          <w:sz w:val="32"/>
          <w:szCs w:val="28"/>
          <w:lang w:val="en-US"/>
        </w:rPr>
        <w:t>m</w:t>
      </w:r>
      <w:proofErr w:type="spellEnd"/>
      <w:r w:rsidR="00FD3CCF">
        <w:rPr>
          <w:rFonts w:ascii="Calibri" w:eastAsia="MS Gothic" w:hAnsi="Calibri" w:cs="Times New Roman"/>
          <w:b/>
          <w:bCs/>
          <w:color w:val="BE0069"/>
          <w:sz w:val="32"/>
          <w:szCs w:val="28"/>
          <w:lang w:val="en-US"/>
        </w:rPr>
        <w:t xml:space="preserve"> details</w:t>
      </w:r>
      <w:r w:rsidR="00400901">
        <w:rPr>
          <w:noProof/>
          <w:lang w:val="en-US"/>
        </w:rPr>
        <w:drawing>
          <wp:inline distT="0" distB="0" distL="0" distR="0" wp14:anchorId="3449C05D" wp14:editId="65C50B9C">
            <wp:extent cx="4753595" cy="7342496"/>
            <wp:effectExtent l="0" t="0" r="9525" b="0"/>
            <wp:docPr id="3344915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1874" cy="7355284"/>
                    </a:xfrm>
                    <a:prstGeom prst="rect">
                      <a:avLst/>
                    </a:prstGeom>
                    <a:noFill/>
                  </pic:spPr>
                </pic:pic>
              </a:graphicData>
            </a:graphic>
          </wp:inline>
        </w:drawing>
      </w:r>
    </w:p>
    <w:p w14:paraId="667E4A62" w14:textId="77777777" w:rsidR="00D74645" w:rsidRDefault="00FD3CCF" w:rsidP="00400901">
      <w:pPr>
        <w:rPr>
          <w:lang w:val="en-US"/>
        </w:rPr>
      </w:pPr>
      <w:r>
        <w:rPr>
          <w:lang w:val="en-US"/>
        </w:rPr>
        <w:lastRenderedPageBreak/>
        <w:t xml:space="preserve"> </w:t>
      </w:r>
      <w:r w:rsidR="00AA6833">
        <w:rPr>
          <w:noProof/>
          <w:lang w:val="en-US"/>
        </w:rPr>
        <w:drawing>
          <wp:inline distT="0" distB="0" distL="0" distR="0" wp14:anchorId="2F014886" wp14:editId="6349A135">
            <wp:extent cx="5545455" cy="8366078"/>
            <wp:effectExtent l="0" t="0" r="0" b="0"/>
            <wp:docPr id="16280655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57895" cy="8384845"/>
                    </a:xfrm>
                    <a:prstGeom prst="rect">
                      <a:avLst/>
                    </a:prstGeom>
                    <a:noFill/>
                  </pic:spPr>
                </pic:pic>
              </a:graphicData>
            </a:graphic>
          </wp:inline>
        </w:drawing>
      </w:r>
      <w:r w:rsidR="00B43329" w:rsidRPr="00B43329">
        <w:t xml:space="preserve"> </w:t>
      </w:r>
      <w:r w:rsidR="00B43329">
        <w:rPr>
          <w:noProof/>
        </w:rPr>
        <w:lastRenderedPageBreak/>
        <w:drawing>
          <wp:inline distT="0" distB="0" distL="0" distR="0" wp14:anchorId="734AC804" wp14:editId="438ABE72">
            <wp:extent cx="4093845" cy="8863330"/>
            <wp:effectExtent l="0" t="0" r="1905" b="0"/>
            <wp:docPr id="12395539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93845" cy="8863330"/>
                    </a:xfrm>
                    <a:prstGeom prst="rect">
                      <a:avLst/>
                    </a:prstGeom>
                    <a:noFill/>
                    <a:ln>
                      <a:noFill/>
                    </a:ln>
                  </pic:spPr>
                </pic:pic>
              </a:graphicData>
            </a:graphic>
          </wp:inline>
        </w:drawing>
      </w:r>
      <w:r w:rsidR="00B43329">
        <w:rPr>
          <w:lang w:val="en-US"/>
        </w:rPr>
        <w:t xml:space="preserve"> </w:t>
      </w:r>
      <w:r w:rsidR="00913985">
        <w:rPr>
          <w:noProof/>
          <w:lang w:val="en-US"/>
        </w:rPr>
        <w:lastRenderedPageBreak/>
        <w:drawing>
          <wp:inline distT="0" distB="0" distL="0" distR="0" wp14:anchorId="53DAC35A" wp14:editId="0A7C8322">
            <wp:extent cx="4164042" cy="9024295"/>
            <wp:effectExtent l="0" t="0" r="8255" b="5715"/>
            <wp:docPr id="2026584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76218" cy="9050683"/>
                    </a:xfrm>
                    <a:prstGeom prst="rect">
                      <a:avLst/>
                    </a:prstGeom>
                    <a:noFill/>
                  </pic:spPr>
                </pic:pic>
              </a:graphicData>
            </a:graphic>
          </wp:inline>
        </w:drawing>
      </w:r>
      <w:r w:rsidR="00B0629F">
        <w:rPr>
          <w:noProof/>
          <w:lang w:val="en-US"/>
        </w:rPr>
        <w:lastRenderedPageBreak/>
        <w:drawing>
          <wp:inline distT="0" distB="0" distL="0" distR="0" wp14:anchorId="72C30039" wp14:editId="749BE0E5">
            <wp:extent cx="3975192" cy="8615018"/>
            <wp:effectExtent l="0" t="0" r="6350" b="0"/>
            <wp:docPr id="38482503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92089" cy="8651638"/>
                    </a:xfrm>
                    <a:prstGeom prst="rect">
                      <a:avLst/>
                    </a:prstGeom>
                    <a:noFill/>
                  </pic:spPr>
                </pic:pic>
              </a:graphicData>
            </a:graphic>
          </wp:inline>
        </w:drawing>
      </w:r>
      <w:r w:rsidR="00B0629F">
        <w:rPr>
          <w:noProof/>
          <w:lang w:val="en-US"/>
        </w:rPr>
        <w:lastRenderedPageBreak/>
        <w:drawing>
          <wp:inline distT="0" distB="0" distL="0" distR="0" wp14:anchorId="59BA3218" wp14:editId="0E8BB6DD">
            <wp:extent cx="4170997" cy="9039367"/>
            <wp:effectExtent l="0" t="0" r="1270" b="0"/>
            <wp:docPr id="183178814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76058" cy="9050336"/>
                    </a:xfrm>
                    <a:prstGeom prst="rect">
                      <a:avLst/>
                    </a:prstGeom>
                    <a:noFill/>
                  </pic:spPr>
                </pic:pic>
              </a:graphicData>
            </a:graphic>
          </wp:inline>
        </w:drawing>
      </w:r>
      <w:r w:rsidR="00D74645">
        <w:rPr>
          <w:noProof/>
          <w:lang w:val="en-US"/>
        </w:rPr>
        <w:lastRenderedPageBreak/>
        <w:drawing>
          <wp:inline distT="0" distB="0" distL="0" distR="0" wp14:anchorId="0D6C4FA6" wp14:editId="545F9C46">
            <wp:extent cx="4321974" cy="9366565"/>
            <wp:effectExtent l="0" t="0" r="2540" b="6350"/>
            <wp:docPr id="11279860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36078" cy="9397130"/>
                    </a:xfrm>
                    <a:prstGeom prst="rect">
                      <a:avLst/>
                    </a:prstGeom>
                    <a:noFill/>
                  </pic:spPr>
                </pic:pic>
              </a:graphicData>
            </a:graphic>
          </wp:inline>
        </w:drawing>
      </w:r>
    </w:p>
    <w:p w14:paraId="6F245FDE" w14:textId="44717AA2" w:rsidR="00FD3CCF" w:rsidRDefault="00D74645" w:rsidP="00400901">
      <w:pPr>
        <w:rPr>
          <w:lang w:val="en-US"/>
        </w:rPr>
      </w:pPr>
      <w:r>
        <w:rPr>
          <w:noProof/>
          <w:lang w:val="en-US"/>
        </w:rPr>
        <w:lastRenderedPageBreak/>
        <w:drawing>
          <wp:inline distT="0" distB="0" distL="0" distR="0" wp14:anchorId="7B5FC1CF" wp14:editId="5657EC30">
            <wp:extent cx="3881315" cy="8411570"/>
            <wp:effectExtent l="0" t="0" r="5080" b="8890"/>
            <wp:docPr id="44884721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91372" cy="8433364"/>
                    </a:xfrm>
                    <a:prstGeom prst="rect">
                      <a:avLst/>
                    </a:prstGeom>
                    <a:noFill/>
                  </pic:spPr>
                </pic:pic>
              </a:graphicData>
            </a:graphic>
          </wp:inline>
        </w:drawing>
      </w:r>
      <w:r w:rsidR="00FD3CCF">
        <w:rPr>
          <w:lang w:val="en-US"/>
        </w:rPr>
        <w:br w:type="page"/>
      </w:r>
    </w:p>
    <w:p w14:paraId="7A7DFA19" w14:textId="1BA1786A" w:rsidR="008B72E5" w:rsidRPr="008B72E5" w:rsidRDefault="008B72E5" w:rsidP="008B72E5">
      <w:pPr>
        <w:keepNext/>
        <w:keepLines/>
        <w:spacing w:before="320" w:line="276" w:lineRule="auto"/>
        <w:jc w:val="both"/>
        <w:outlineLvl w:val="0"/>
        <w:rPr>
          <w:rFonts w:ascii="Calibri" w:eastAsia="MS Gothic" w:hAnsi="Calibri" w:cs="Times New Roman"/>
          <w:b/>
          <w:bCs/>
          <w:color w:val="BE0069"/>
          <w:sz w:val="32"/>
          <w:szCs w:val="28"/>
          <w:lang w:val="en-US"/>
        </w:rPr>
      </w:pPr>
      <w:r w:rsidRPr="008B72E5">
        <w:rPr>
          <w:rFonts w:ascii="Calibri" w:eastAsia="MS Gothic" w:hAnsi="Calibri" w:cs="Times New Roman"/>
          <w:b/>
          <w:bCs/>
          <w:color w:val="BE0069"/>
          <w:sz w:val="32"/>
          <w:szCs w:val="28"/>
          <w:lang w:val="en-US"/>
        </w:rPr>
        <w:lastRenderedPageBreak/>
        <w:t>References</w:t>
      </w:r>
    </w:p>
    <w:p w14:paraId="4DF08299"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Arthur, M.B., Khapova, S.N. and </w:t>
      </w:r>
      <w:proofErr w:type="spellStart"/>
      <w:r w:rsidRPr="008B72E5">
        <w:rPr>
          <w:rFonts w:ascii="Arial" w:eastAsia="Arial" w:hAnsi="Arial" w:cs="Times New Roman"/>
          <w:color w:val="232323"/>
          <w:sz w:val="22"/>
          <w:lang w:val="en-US"/>
        </w:rPr>
        <w:t>Wilderom</w:t>
      </w:r>
      <w:proofErr w:type="spellEnd"/>
      <w:r w:rsidRPr="008B72E5">
        <w:rPr>
          <w:rFonts w:ascii="Arial" w:eastAsia="Arial" w:hAnsi="Arial" w:cs="Times New Roman"/>
          <w:color w:val="232323"/>
          <w:sz w:val="22"/>
          <w:lang w:val="en-US"/>
        </w:rPr>
        <w:t xml:space="preserve">, C.P.M. (2005) ‘Career success in a boundaryless career world’, Journal of Organizational Behavior, 26(2), pp. 177–202. </w:t>
      </w:r>
      <w:proofErr w:type="spellStart"/>
      <w:r w:rsidRPr="008B72E5">
        <w:rPr>
          <w:rFonts w:ascii="Arial" w:eastAsia="Arial" w:hAnsi="Arial" w:cs="Times New Roman"/>
          <w:color w:val="232323"/>
          <w:sz w:val="22"/>
          <w:lang w:val="en-US"/>
        </w:rPr>
        <w:t>doi</w:t>
      </w:r>
      <w:proofErr w:type="spellEnd"/>
      <w:r w:rsidRPr="008B72E5">
        <w:rPr>
          <w:rFonts w:ascii="Arial" w:eastAsia="Arial" w:hAnsi="Arial" w:cs="Times New Roman"/>
          <w:color w:val="232323"/>
          <w:sz w:val="22"/>
          <w:lang w:val="en-US"/>
        </w:rPr>
        <w:t>: 10.1002/job.290.</w:t>
      </w:r>
    </w:p>
    <w:p w14:paraId="1ECF089E"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Doran, G.T. (1981) ‘There’s a S.M.A.R.T. way to write management’s goals and objectives’, Management Review, 70(11), pp. 35–36.</w:t>
      </w:r>
    </w:p>
    <w:p w14:paraId="078A517F"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Duckworth, A.L., Peterson, C., Matthews, M.D. and Kelly, D.R. (2007) ‘Grit: perseverance and passion for long-term goals’, Journal of Personality and Social Psychology, 92(6), pp. 1087–1101. </w:t>
      </w:r>
      <w:proofErr w:type="spellStart"/>
      <w:r w:rsidRPr="008B72E5">
        <w:rPr>
          <w:rFonts w:ascii="Arial" w:eastAsia="Arial" w:hAnsi="Arial" w:cs="Times New Roman"/>
          <w:color w:val="232323"/>
          <w:sz w:val="22"/>
          <w:lang w:val="en-US"/>
        </w:rPr>
        <w:t>doi</w:t>
      </w:r>
      <w:proofErr w:type="spellEnd"/>
      <w:r w:rsidRPr="008B72E5">
        <w:rPr>
          <w:rFonts w:ascii="Arial" w:eastAsia="Arial" w:hAnsi="Arial" w:cs="Times New Roman"/>
          <w:color w:val="232323"/>
          <w:sz w:val="22"/>
          <w:lang w:val="en-US"/>
        </w:rPr>
        <w:t>: 10.1037/0022-3514.92.6.1087.</w:t>
      </w:r>
    </w:p>
    <w:p w14:paraId="60651C2C"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Gibson, C., Hardy, J.H. III and Buckley, M.R. (2014) ‘Understanding the role of networking in organizations’, Career Development International, 19(2), pp. 146–161. </w:t>
      </w:r>
      <w:proofErr w:type="spellStart"/>
      <w:r w:rsidRPr="008B72E5">
        <w:rPr>
          <w:rFonts w:ascii="Arial" w:eastAsia="Arial" w:hAnsi="Arial" w:cs="Times New Roman"/>
          <w:color w:val="232323"/>
          <w:sz w:val="22"/>
          <w:lang w:val="en-US"/>
        </w:rPr>
        <w:t>doi</w:t>
      </w:r>
      <w:proofErr w:type="spellEnd"/>
      <w:r w:rsidRPr="008B72E5">
        <w:rPr>
          <w:rFonts w:ascii="Arial" w:eastAsia="Arial" w:hAnsi="Arial" w:cs="Times New Roman"/>
          <w:color w:val="232323"/>
          <w:sz w:val="22"/>
          <w:lang w:val="en-US"/>
        </w:rPr>
        <w:t>: 10.1108/CDI-09-2013-0111.</w:t>
      </w:r>
    </w:p>
    <w:p w14:paraId="21F6B62D"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Great Britain (2022) Health and Care Act 2022, c. 31. London: The Stationery Office. Available at: https://www.legislation.gov.uk/ukpga/2022/31 (Accessed: 29 July 2026).</w:t>
      </w:r>
    </w:p>
    <w:p w14:paraId="10B7AF4C"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Klinge, C.M. (2015) ‘A conceptual framework for mentoring in a learning organization’, Adult Learning, 26(4), pp. 160–166. </w:t>
      </w:r>
      <w:proofErr w:type="spellStart"/>
      <w:r w:rsidRPr="008B72E5">
        <w:rPr>
          <w:rFonts w:ascii="Arial" w:eastAsia="Arial" w:hAnsi="Arial" w:cs="Times New Roman"/>
          <w:color w:val="232323"/>
          <w:sz w:val="22"/>
          <w:lang w:val="en-US"/>
        </w:rPr>
        <w:t>doi</w:t>
      </w:r>
      <w:proofErr w:type="spellEnd"/>
      <w:r w:rsidRPr="008B72E5">
        <w:rPr>
          <w:rFonts w:ascii="Arial" w:eastAsia="Arial" w:hAnsi="Arial" w:cs="Times New Roman"/>
          <w:color w:val="232323"/>
          <w:sz w:val="22"/>
          <w:lang w:val="en-US"/>
        </w:rPr>
        <w:t>: 10.1177/1045159515594154.</w:t>
      </w:r>
    </w:p>
    <w:p w14:paraId="71CCAD01"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Krumboltz, J.D. (2009) ‘The happenstance learning theory’, Journal of Career Assessment, 17(2), pp. 135–154. </w:t>
      </w:r>
      <w:proofErr w:type="spellStart"/>
      <w:r w:rsidRPr="008B72E5">
        <w:rPr>
          <w:rFonts w:ascii="Arial" w:eastAsia="Arial" w:hAnsi="Arial" w:cs="Times New Roman"/>
          <w:color w:val="232323"/>
          <w:sz w:val="22"/>
          <w:lang w:val="en-US"/>
        </w:rPr>
        <w:t>doi</w:t>
      </w:r>
      <w:proofErr w:type="spellEnd"/>
      <w:r w:rsidRPr="008B72E5">
        <w:rPr>
          <w:rFonts w:ascii="Arial" w:eastAsia="Arial" w:hAnsi="Arial" w:cs="Times New Roman"/>
          <w:color w:val="232323"/>
          <w:sz w:val="22"/>
          <w:lang w:val="en-US"/>
        </w:rPr>
        <w:t>: 10.1177/1069072708328861.</w:t>
      </w:r>
    </w:p>
    <w:p w14:paraId="5415FA9F"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Mayer, J.D., Salovey, P. and Caruso, D.R. (2004) ‘Emotional intelligence: theory, findings, and implications’, Psychological Inquiry, 15(3), pp. 197–215. </w:t>
      </w:r>
      <w:proofErr w:type="spellStart"/>
      <w:r w:rsidRPr="008B72E5">
        <w:rPr>
          <w:rFonts w:ascii="Arial" w:eastAsia="Arial" w:hAnsi="Arial" w:cs="Times New Roman"/>
          <w:color w:val="232323"/>
          <w:sz w:val="22"/>
          <w:lang w:val="en-US"/>
        </w:rPr>
        <w:t>doi</w:t>
      </w:r>
      <w:proofErr w:type="spellEnd"/>
      <w:r w:rsidRPr="008B72E5">
        <w:rPr>
          <w:rFonts w:ascii="Arial" w:eastAsia="Arial" w:hAnsi="Arial" w:cs="Times New Roman"/>
          <w:color w:val="232323"/>
          <w:sz w:val="22"/>
          <w:lang w:val="en-US"/>
        </w:rPr>
        <w:t>: 10.1207/S15327965PLI1503_02.</w:t>
      </w:r>
    </w:p>
    <w:p w14:paraId="6A3C77F5"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Nardi, B.A., Schiano, D.J., Gumbrecht, M. and Swartz, L. (2004) ‘Why we blog’, Communications of the ACM, 47(12), pp. 41–46. </w:t>
      </w:r>
      <w:proofErr w:type="spellStart"/>
      <w:r w:rsidRPr="008B72E5">
        <w:rPr>
          <w:rFonts w:ascii="Arial" w:eastAsia="Arial" w:hAnsi="Arial" w:cs="Times New Roman"/>
          <w:color w:val="232323"/>
          <w:sz w:val="22"/>
          <w:lang w:val="en-US"/>
        </w:rPr>
        <w:t>doi</w:t>
      </w:r>
      <w:proofErr w:type="spellEnd"/>
      <w:r w:rsidRPr="008B72E5">
        <w:rPr>
          <w:rFonts w:ascii="Arial" w:eastAsia="Arial" w:hAnsi="Arial" w:cs="Times New Roman"/>
          <w:color w:val="232323"/>
          <w:sz w:val="22"/>
          <w:lang w:val="en-US"/>
        </w:rPr>
        <w:t>: 10.1145/1035134.1035163.</w:t>
      </w:r>
    </w:p>
    <w:p w14:paraId="2CD2D5CF"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National Careers Service (n.d.) Understand and develop your skills. Available at: https://nationalcareers.service.gov.uk/careers-advice/identifying-skills-and-upskilling/ (Accessed: 29 July 2026).</w:t>
      </w:r>
    </w:p>
    <w:p w14:paraId="2F613DF1"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NHS England (n.d.) Social prescribing. Available at: https://www.england.nhs.uk/personalisedcare/social-prescribing/ (Accessed: 29 July 2026).</w:t>
      </w:r>
    </w:p>
    <w:p w14:paraId="409214ED"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Rampersad, H.K. (2008) ‘A new blueprint for powerful and authentic personal branding’, Performance Improvement, 47(6), pp. 34–37. </w:t>
      </w:r>
      <w:proofErr w:type="spellStart"/>
      <w:r w:rsidRPr="008B72E5">
        <w:rPr>
          <w:rFonts w:ascii="Arial" w:eastAsia="Arial" w:hAnsi="Arial" w:cs="Times New Roman"/>
          <w:color w:val="232323"/>
          <w:sz w:val="22"/>
          <w:lang w:val="en-US"/>
        </w:rPr>
        <w:t>doi</w:t>
      </w:r>
      <w:proofErr w:type="spellEnd"/>
      <w:r w:rsidRPr="008B72E5">
        <w:rPr>
          <w:rFonts w:ascii="Arial" w:eastAsia="Arial" w:hAnsi="Arial" w:cs="Times New Roman"/>
          <w:color w:val="232323"/>
          <w:sz w:val="22"/>
          <w:lang w:val="en-US"/>
        </w:rPr>
        <w:t>: 10.1002/pfi.20007.</w:t>
      </w:r>
    </w:p>
    <w:p w14:paraId="3F39A1CA"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lastRenderedPageBreak/>
        <w:t xml:space="preserve">Ryan, R.M. and Deci, E.L. (2000) ‘Self-determination theory and the facilitation of intrinsic motivation, social development, and well-being’, American Psychologist, 55(1), pp. 68–78. </w:t>
      </w:r>
      <w:proofErr w:type="spellStart"/>
      <w:r w:rsidRPr="008B72E5">
        <w:rPr>
          <w:rFonts w:ascii="Arial" w:eastAsia="Arial" w:hAnsi="Arial" w:cs="Times New Roman"/>
          <w:color w:val="232323"/>
          <w:sz w:val="22"/>
          <w:lang w:val="en-US"/>
        </w:rPr>
        <w:t>doi</w:t>
      </w:r>
      <w:proofErr w:type="spellEnd"/>
      <w:r w:rsidRPr="008B72E5">
        <w:rPr>
          <w:rFonts w:ascii="Arial" w:eastAsia="Arial" w:hAnsi="Arial" w:cs="Times New Roman"/>
          <w:color w:val="232323"/>
          <w:sz w:val="22"/>
          <w:lang w:val="en-US"/>
        </w:rPr>
        <w:t>: 10.1037/0003-066X.55.1.68.</w:t>
      </w:r>
    </w:p>
    <w:p w14:paraId="2100861F" w14:textId="77777777" w:rsidR="008B72E5" w:rsidRPr="008B72E5" w:rsidRDefault="008B72E5" w:rsidP="008B72E5">
      <w:pPr>
        <w:keepLines/>
        <w:spacing w:line="360" w:lineRule="auto"/>
        <w:ind w:left="720" w:hanging="720"/>
        <w:rPr>
          <w:rFonts w:ascii="Arial" w:eastAsia="MS Mincho" w:hAnsi="Arial" w:cs="Times New Roman"/>
          <w:color w:val="232323"/>
          <w:sz w:val="22"/>
          <w:lang w:val="en-US"/>
        </w:rPr>
      </w:pPr>
      <w:r w:rsidRPr="008B72E5">
        <w:rPr>
          <w:rFonts w:ascii="Arial" w:eastAsia="Arial" w:hAnsi="Arial" w:cs="Times New Roman"/>
          <w:color w:val="232323"/>
          <w:sz w:val="22"/>
          <w:lang w:val="en-US"/>
        </w:rPr>
        <w:t xml:space="preserve">Sheikh, A., Anderson, M., Albala, S., Casadei, B., Franklin, B.D., Richards, M., Taylor, D., Tibble, H. and </w:t>
      </w:r>
      <w:proofErr w:type="spellStart"/>
      <w:r w:rsidRPr="008B72E5">
        <w:rPr>
          <w:rFonts w:ascii="Arial" w:eastAsia="Arial" w:hAnsi="Arial" w:cs="Times New Roman"/>
          <w:color w:val="232323"/>
          <w:sz w:val="22"/>
          <w:lang w:val="en-US"/>
        </w:rPr>
        <w:t>Mossialos</w:t>
      </w:r>
      <w:proofErr w:type="spellEnd"/>
      <w:r w:rsidRPr="008B72E5">
        <w:rPr>
          <w:rFonts w:ascii="Arial" w:eastAsia="Arial" w:hAnsi="Arial" w:cs="Times New Roman"/>
          <w:color w:val="232323"/>
          <w:sz w:val="22"/>
          <w:lang w:val="en-US"/>
        </w:rPr>
        <w:t xml:space="preserve">, E. (2021) ‘Health information technology and digital innovation for national learning health and care systems’, The Lancet Digital Health, 3(6), pp. e383–e396. </w:t>
      </w:r>
      <w:proofErr w:type="spellStart"/>
      <w:r w:rsidRPr="008B72E5">
        <w:rPr>
          <w:rFonts w:ascii="Arial" w:eastAsia="Arial" w:hAnsi="Arial" w:cs="Times New Roman"/>
          <w:color w:val="232323"/>
          <w:sz w:val="22"/>
          <w:lang w:val="en-US"/>
        </w:rPr>
        <w:t>doi</w:t>
      </w:r>
      <w:proofErr w:type="spellEnd"/>
      <w:r w:rsidRPr="008B72E5">
        <w:rPr>
          <w:rFonts w:ascii="Arial" w:eastAsia="Arial" w:hAnsi="Arial" w:cs="Times New Roman"/>
          <w:color w:val="232323"/>
          <w:sz w:val="22"/>
          <w:lang w:val="en-US"/>
        </w:rPr>
        <w:t>: 10.1016/S2589-7500(21)00005-4.</w:t>
      </w:r>
    </w:p>
    <w:p w14:paraId="0B3FF152"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02DD7A6"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05360B7"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FF5B597" w14:textId="4A3AE5BE" w:rsidR="006F04E3" w:rsidRPr="005910C2" w:rsidRDefault="006F04E3" w:rsidP="005910C2">
      <w:pPr>
        <w:spacing w:line="360" w:lineRule="auto"/>
        <w:jc w:val="both"/>
        <w:rPr>
          <w:rFonts w:ascii="Arial" w:hAnsi="Arial" w:cs="Arial"/>
          <w:color w:val="000000" w:themeColor="text1"/>
        </w:rPr>
      </w:pPr>
    </w:p>
    <w:sectPr w:rsidR="006F04E3" w:rsidRPr="005910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B366F2" w14:textId="77777777" w:rsidR="00A70F8B" w:rsidRDefault="00A70F8B" w:rsidP="00B21FE6">
      <w:pPr>
        <w:spacing w:after="0" w:line="240" w:lineRule="auto"/>
      </w:pPr>
      <w:r>
        <w:separator/>
      </w:r>
    </w:p>
  </w:endnote>
  <w:endnote w:type="continuationSeparator" w:id="0">
    <w:p w14:paraId="67F908EC" w14:textId="77777777" w:rsidR="00A70F8B" w:rsidRDefault="00A70F8B"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9B6E0C" w14:textId="77777777" w:rsidR="00A70F8B" w:rsidRDefault="00A70F8B" w:rsidP="00B21FE6">
      <w:pPr>
        <w:spacing w:after="0" w:line="240" w:lineRule="auto"/>
      </w:pPr>
      <w:r>
        <w:separator/>
      </w:r>
    </w:p>
  </w:footnote>
  <w:footnote w:type="continuationSeparator" w:id="0">
    <w:p w14:paraId="1468E74E" w14:textId="77777777" w:rsidR="00A70F8B" w:rsidRDefault="00A70F8B"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1"/>
  </w:num>
  <w:num w:numId="3" w16cid:durableId="490028398">
    <w:abstractNumId w:val="0"/>
  </w:num>
  <w:num w:numId="4" w16cid:durableId="350911784">
    <w:abstractNumId w:val="2"/>
  </w:num>
  <w:num w:numId="5" w16cid:durableId="1021708163">
    <w:abstractNumId w:val="8"/>
  </w:num>
  <w:num w:numId="6" w16cid:durableId="302197862">
    <w:abstractNumId w:val="3"/>
  </w:num>
  <w:num w:numId="7" w16cid:durableId="941111500">
    <w:abstractNumId w:val="5"/>
  </w:num>
  <w:num w:numId="8" w16cid:durableId="103231191">
    <w:abstractNumId w:val="6"/>
  </w:num>
  <w:num w:numId="9" w16cid:durableId="1691249834">
    <w:abstractNumId w:val="4"/>
  </w:num>
  <w:num w:numId="10" w16cid:durableId="896088536">
    <w:abstractNumId w:val="10"/>
  </w:num>
  <w:num w:numId="11" w16cid:durableId="7431412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73BC"/>
    <w:rsid w:val="00041AA9"/>
    <w:rsid w:val="00047A57"/>
    <w:rsid w:val="000A0AEE"/>
    <w:rsid w:val="001333C2"/>
    <w:rsid w:val="001D345E"/>
    <w:rsid w:val="0020701E"/>
    <w:rsid w:val="00216C9D"/>
    <w:rsid w:val="00220640"/>
    <w:rsid w:val="002A2710"/>
    <w:rsid w:val="002D39BD"/>
    <w:rsid w:val="002E4A72"/>
    <w:rsid w:val="00307912"/>
    <w:rsid w:val="00317E3D"/>
    <w:rsid w:val="00350430"/>
    <w:rsid w:val="00355EA9"/>
    <w:rsid w:val="003E4EF8"/>
    <w:rsid w:val="00400901"/>
    <w:rsid w:val="004A0214"/>
    <w:rsid w:val="004F6AC3"/>
    <w:rsid w:val="0052652B"/>
    <w:rsid w:val="00530399"/>
    <w:rsid w:val="00531EB3"/>
    <w:rsid w:val="0058218C"/>
    <w:rsid w:val="005910C2"/>
    <w:rsid w:val="00594FAC"/>
    <w:rsid w:val="0064794A"/>
    <w:rsid w:val="006524ED"/>
    <w:rsid w:val="006D2F2D"/>
    <w:rsid w:val="006E1FF9"/>
    <w:rsid w:val="006E5DBD"/>
    <w:rsid w:val="006F04E3"/>
    <w:rsid w:val="00754A46"/>
    <w:rsid w:val="00785886"/>
    <w:rsid w:val="007D1F75"/>
    <w:rsid w:val="007F3A6A"/>
    <w:rsid w:val="00806006"/>
    <w:rsid w:val="00821FD2"/>
    <w:rsid w:val="00823383"/>
    <w:rsid w:val="00823BE5"/>
    <w:rsid w:val="008B72E5"/>
    <w:rsid w:val="008C7D17"/>
    <w:rsid w:val="008F6D4B"/>
    <w:rsid w:val="00913985"/>
    <w:rsid w:val="00971B12"/>
    <w:rsid w:val="00994D2E"/>
    <w:rsid w:val="009A3B21"/>
    <w:rsid w:val="009A509B"/>
    <w:rsid w:val="009B6819"/>
    <w:rsid w:val="009D026B"/>
    <w:rsid w:val="009D7F37"/>
    <w:rsid w:val="00A5293D"/>
    <w:rsid w:val="00A70F8B"/>
    <w:rsid w:val="00AA6833"/>
    <w:rsid w:val="00AF3981"/>
    <w:rsid w:val="00B00FFC"/>
    <w:rsid w:val="00B0629F"/>
    <w:rsid w:val="00B21FE6"/>
    <w:rsid w:val="00B43329"/>
    <w:rsid w:val="00B45502"/>
    <w:rsid w:val="00BC79FE"/>
    <w:rsid w:val="00C558B0"/>
    <w:rsid w:val="00C62606"/>
    <w:rsid w:val="00C96593"/>
    <w:rsid w:val="00CF2E66"/>
    <w:rsid w:val="00D231D2"/>
    <w:rsid w:val="00D545BA"/>
    <w:rsid w:val="00D6052E"/>
    <w:rsid w:val="00D74645"/>
    <w:rsid w:val="00DB253E"/>
    <w:rsid w:val="00E81204"/>
    <w:rsid w:val="00EE4FDB"/>
    <w:rsid w:val="00F751D8"/>
    <w:rsid w:val="00F81510"/>
    <w:rsid w:val="00F9316D"/>
    <w:rsid w:val="00FA6248"/>
    <w:rsid w:val="00FD3C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20</Pages>
  <Words>2650</Words>
  <Characters>15107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chike osuala</cp:lastModifiedBy>
  <cp:revision>11</cp:revision>
  <dcterms:created xsi:type="dcterms:W3CDTF">2025-10-06T08:22:00Z</dcterms:created>
  <dcterms:modified xsi:type="dcterms:W3CDTF">2026-07-29T21:56:00Z</dcterms:modified>
</cp:coreProperties>
</file>