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EA62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of Contents</w:t>
      </w:r>
    </w:p>
    <w:p w14:paraId="367925B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 Introduction</w:t>
      </w:r>
    </w:p>
    <w:p w14:paraId="60A7FD5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 Project Concept and Business Case</w:t>
      </w:r>
    </w:p>
    <w:p w14:paraId="27AF177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2.1 Project Objectives</w:t>
      </w:r>
    </w:p>
    <w:p w14:paraId="032361A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 Evaluation of Project Management Approaches</w:t>
      </w:r>
    </w:p>
    <w:p w14:paraId="7F6548E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3.1 Waterfall</w:t>
      </w:r>
    </w:p>
    <w:p w14:paraId="6BABE4C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3.2 Agile</w:t>
      </w:r>
    </w:p>
    <w:p w14:paraId="3C754D2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3.3 PRINCE2 and PMBOK</w:t>
      </w:r>
    </w:p>
    <w:p w14:paraId="7B1D084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3.4 Recommended Approach</w:t>
      </w:r>
    </w:p>
    <w:p w14:paraId="23D2D64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4. Project Lifecycle and Initiation</w:t>
      </w:r>
    </w:p>
    <w:p w14:paraId="6A73E11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5. Stakeholder and Environmental Analysis</w:t>
      </w:r>
    </w:p>
    <w:p w14:paraId="7A8E69F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6. Project Planning</w:t>
      </w:r>
    </w:p>
    <w:p w14:paraId="448447A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6.1 Scope and Work Breakdown Structure</w:t>
      </w:r>
    </w:p>
    <w:p w14:paraId="21BDB58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6.2 Scheduling and Critical Path</w:t>
      </w:r>
    </w:p>
    <w:p w14:paraId="05EA9A9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6.3 Resources and Budget</w:t>
      </w:r>
    </w:p>
    <w:p w14:paraId="14389D4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7. Communication and Responsibility</w:t>
      </w:r>
    </w:p>
    <w:p w14:paraId="5AF7204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8. Risk, Data Protection and Health and Safety</w:t>
      </w:r>
    </w:p>
    <w:p w14:paraId="559F5D4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9. Execution, Monitoring and Control</w:t>
      </w:r>
    </w:p>
    <w:p w14:paraId="5DCA39D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 Project Closure and Benefits Realisation</w:t>
      </w:r>
    </w:p>
    <w:p w14:paraId="3218FCA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11. Project Manager Attributes</w:t>
      </w:r>
    </w:p>
    <w:p w14:paraId="03A0E0C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12. Self-Audit and Personal Development Plan</w:t>
      </w:r>
    </w:p>
    <w:p w14:paraId="4DDB9A1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13. Conclusion</w:t>
      </w:r>
    </w:p>
    <w:p w14:paraId="7CB34AD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References</w:t>
      </w:r>
    </w:p>
    <w:p w14:paraId="054B9FFC" w14:textId="77777777" w:rsidR="00833C5C" w:rsidRPr="00833C5C" w:rsidRDefault="00833C5C" w:rsidP="00833C5C">
      <w:pPr>
        <w:spacing w:line="276" w:lineRule="auto"/>
        <w:rPr>
          <w:rFonts w:ascii="Aptos" w:eastAsia="Aptos" w:hAnsi="Aptos" w:cs="Times New Roman"/>
        </w:rPr>
      </w:pPr>
    </w:p>
    <w:p w14:paraId="414533BB" w14:textId="77777777" w:rsidR="00833C5C" w:rsidRPr="00833C5C" w:rsidRDefault="00833C5C" w:rsidP="00833C5C">
      <w:pPr>
        <w:spacing w:line="276" w:lineRule="auto"/>
        <w:rPr>
          <w:rFonts w:ascii="Aptos" w:eastAsia="Aptos" w:hAnsi="Aptos" w:cs="Times New Roman"/>
        </w:rPr>
      </w:pPr>
    </w:p>
    <w:p w14:paraId="16DE54B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1. Introduction</w:t>
      </w:r>
    </w:p>
    <w:p w14:paraId="6A64CAC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Maples Hair &amp; Beauty Salon is an independent UK business employing approximately ten staff members. The salon has developed a loyal client base through personalised service, technical expertise and strong customer relationships. However, continued </w:t>
      </w:r>
      <w:r w:rsidRPr="00833C5C">
        <w:rPr>
          <w:rFonts w:ascii="Aptos" w:eastAsia="Aptos" w:hAnsi="Aptos" w:cs="Times New Roman"/>
        </w:rPr>
        <w:lastRenderedPageBreak/>
        <w:t>growth has exposed weaknesses in the way appointments and customer information are managed. Treatments sometimes exceed their allocated time, delaying later clients and increasing pressure on employees. Consultation information is not always recorded consistently, while customer records are divided between paper notes and digital systems.</w:t>
      </w:r>
    </w:p>
    <w:p w14:paraId="37C3BCB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These problems affect efficiency, customer experience and safety. An incomplete allergy or treatment record could put a client at risk, while repeated waiting may weaken trust even when the technical result is satisfactory. Employees may also waste time searching for colour formulas, previous treatment details and customer preferences.</w:t>
      </w:r>
    </w:p>
    <w:p w14:paraId="6B2A6C9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This report proposes a six-month project to implement an integrated appointment-scheduling and customer relationship management (CRM) improvement. </w:t>
      </w:r>
      <w:proofErr w:type="spellStart"/>
      <w:r w:rsidRPr="00833C5C">
        <w:rPr>
          <w:rFonts w:ascii="Aptos" w:eastAsia="Aptos" w:hAnsi="Aptos" w:cs="Times New Roman"/>
        </w:rPr>
        <w:t>Booksy</w:t>
      </w:r>
      <w:proofErr w:type="spellEnd"/>
      <w:r w:rsidRPr="00833C5C">
        <w:rPr>
          <w:rFonts w:ascii="Aptos" w:eastAsia="Aptos" w:hAnsi="Aptos" w:cs="Times New Roman"/>
        </w:rPr>
        <w:t xml:space="preserve"> and supporting digital processes would be configured so that appointment durations, consultation records, reminders, follow-ups and management information operate as a coordinated system. Technology would support, rather than replace, the personal service that distinguishes Maples.</w:t>
      </w:r>
    </w:p>
    <w:p w14:paraId="5595206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report evaluates Waterfall, Agile, PRINCE2 and the Project Management Body of Knowledge (PMBOK) before recommending a tailored hybrid approach. It then examines initiation, stakeholder engagement, planning, scheduling, communication, risk, monitoring and closure. A final self-audit evaluates the skills required to manage the project successfully.</w:t>
      </w:r>
    </w:p>
    <w:p w14:paraId="5509860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2. Project Concept and Business Case</w:t>
      </w:r>
    </w:p>
    <w:p w14:paraId="6966CC1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project is a temporary endeavour undertaken to create a unique product, service or result (Project Management Institute [PMI], 2021). The proposed CRM improvement meets this definition because it has a specific purpose, agreed scope, six-month duration and measurable deliverables. Following acceptance, responsibility for the system would transfer into routine salon operations.</w:t>
      </w:r>
    </w:p>
    <w:p w14:paraId="27B0BEF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business case is based primarily on appointment overruns and fragmented customer information. Hair and beauty appointments can vary based on hair length, colour correction, consultation complexity, and unexpected client requirements. The existing booking process does not always translate these differences into realistic durations. One delay can affect the rest of the day, creating customer wait times and employee stress.</w:t>
      </w:r>
    </w:p>
    <w:p w14:paraId="429AC21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Fragmented records create a connected problem. Employees may need to repeat questions or search different systems for allergies, previous colours and treatment preferences. This reduces efficiency and may affect consistency and safety. The proposed solution is therefore more than purchasing software. It combines technology, data, staff training and redesigned working practices.</w:t>
      </w:r>
    </w:p>
    <w:p w14:paraId="4614438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The principal project deliverables are:</w:t>
      </w:r>
    </w:p>
    <w:p w14:paraId="126F1F6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configured appointment-scheduling and CRM platform</w:t>
      </w:r>
    </w:p>
    <w:p w14:paraId="4C13B2D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Cleansed and centralised customer records</w:t>
      </w:r>
    </w:p>
    <w:p w14:paraId="2ABFC8F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Standardised digital consultation forms</w:t>
      </w:r>
    </w:p>
    <w:p w14:paraId="1A8D07F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Realistic appointment durations</w:t>
      </w:r>
    </w:p>
    <w:p w14:paraId="2F785C7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Automated reminders and follow-ups</w:t>
      </w:r>
    </w:p>
    <w:p w14:paraId="377FF5C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Management reporting and performance measures</w:t>
      </w:r>
    </w:p>
    <w:p w14:paraId="4303D39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Staff training and competency assessment</w:t>
      </w:r>
    </w:p>
    <w:p w14:paraId="04DA1A7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Pilot testing, go-live and post-implementation review</w:t>
      </w:r>
    </w:p>
    <w:p w14:paraId="3E35CDF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Salon refurbishment, premises expansion and staff recruitment are excluded. Defining these boundaries reduces scope creep and keeps resources focused on the agreed problem (Kerzner, 2022).</w:t>
      </w:r>
    </w:p>
    <w:p w14:paraId="312BB0A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2.1 Project Objectives</w:t>
      </w:r>
    </w:p>
    <w:p w14:paraId="7424154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project is intended to generate direct and indirect value. Direct benefits include fewer missed appointments, more repeat bookings and reduced administrative time. Indirect benefits include stronger confidence in records, lower employee pressure and a more consistent customer experience. Continued business justification should therefore be reviewed throughout delivery rather than considered only at approval (AXELOS, 2023).</w:t>
      </w:r>
    </w:p>
    <w:p w14:paraId="2750801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1</w:t>
      </w:r>
    </w:p>
    <w:p w14:paraId="564E904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SMART objectives for the Maples CRM improvement project</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509"/>
        <w:gridCol w:w="4507"/>
      </w:tblGrid>
      <w:tr w:rsidR="00833C5C" w:rsidRPr="00833C5C" w14:paraId="6BF9A65C"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1F00D34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Objective</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7DB6E19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Target</w:t>
            </w:r>
          </w:p>
        </w:tc>
      </w:tr>
      <w:tr w:rsidR="00833C5C" w:rsidRPr="00833C5C" w14:paraId="6C91FD6E"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63701A5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Reduce appointment overruns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5EAEA23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30% reduction within three months of go-live</w:t>
            </w:r>
          </w:p>
        </w:tc>
      </w:tr>
      <w:tr w:rsidR="00833C5C" w:rsidRPr="00833C5C" w14:paraId="21407401"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37B462E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Reduce customer waiting</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1E4391E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25% reduction within three months</w:t>
            </w:r>
          </w:p>
        </w:tc>
      </w:tr>
      <w:tr w:rsidR="00833C5C" w:rsidRPr="00833C5C" w14:paraId="60D97510"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40AF093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Standardise customer records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1601DF1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100% digital consultation completion for relevant treatments</w:t>
            </w:r>
          </w:p>
        </w:tc>
      </w:tr>
      <w:tr w:rsidR="00833C5C" w:rsidRPr="00833C5C" w14:paraId="5DA092D3"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116CC79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Develop staff competence</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1532EC5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100% trained and assessed before full launch</w:t>
            </w:r>
          </w:p>
        </w:tc>
      </w:tr>
      <w:tr w:rsidR="00833C5C" w:rsidRPr="00833C5C" w14:paraId="022D41EA"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742D99B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Strengthen customer retention</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146F055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15% increase in repeat bookings within six months</w:t>
            </w:r>
          </w:p>
        </w:tc>
      </w:tr>
      <w:tr w:rsidR="00833C5C" w:rsidRPr="00833C5C" w14:paraId="32CB67A7"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1D4656E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Protect customer satisfaction</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2E8155F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Maintain a minimum average rating of 4.8 out of 5</w:t>
            </w:r>
          </w:p>
        </w:tc>
      </w:tr>
    </w:tbl>
    <w:p w14:paraId="40544EBB" w14:textId="77777777" w:rsidR="00833C5C" w:rsidRPr="00833C5C" w:rsidRDefault="00833C5C" w:rsidP="00833C5C">
      <w:pPr>
        <w:spacing w:line="276" w:lineRule="auto"/>
        <w:rPr>
          <w:rFonts w:ascii="Aptos" w:eastAsia="Aptos" w:hAnsi="Aptos" w:cs="Times New Roman"/>
        </w:rPr>
      </w:pPr>
    </w:p>
    <w:p w14:paraId="7D5D265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3. Evaluation of Project Management Approaches</w:t>
      </w:r>
    </w:p>
    <w:p w14:paraId="7994993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The project methodology should fit the organisation rather than become an administrative burden. Maples </w:t>
      </w:r>
      <w:proofErr w:type="gramStart"/>
      <w:r w:rsidRPr="00833C5C">
        <w:rPr>
          <w:rFonts w:ascii="Aptos" w:eastAsia="Aptos" w:hAnsi="Aptos" w:cs="Times New Roman"/>
        </w:rPr>
        <w:t>requires</w:t>
      </w:r>
      <w:proofErr w:type="gramEnd"/>
      <w:r w:rsidRPr="00833C5C">
        <w:rPr>
          <w:rFonts w:ascii="Aptos" w:eastAsia="Aptos" w:hAnsi="Aptos" w:cs="Times New Roman"/>
        </w:rPr>
        <w:t xml:space="preserve"> sufficient structure to protect customer data and control costs, but excessive documentation would be unsuitable for a ten-person salon. The selected approach must also recognise that staff will learn more about their needs during testing.</w:t>
      </w:r>
    </w:p>
    <w:p w14:paraId="54C7BDD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3.1 Waterfall</w:t>
      </w:r>
    </w:p>
    <w:p w14:paraId="0DCB6EC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Waterfall follows a sequential process in which requirements are established before configuration, testing, training and implementation. Royce (1970) demonstrated the logic of staged development but also recognised the risk of relying on a simple one-directional process.</w:t>
      </w:r>
    </w:p>
    <w:p w14:paraId="5065713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Waterfall is relevant because many CRM activities have clear dependencies. The system must be configured before final testing, migrated records must be checked before go-live, and employees should be trained on a stable version. Its defined stages support budget control, accountability and quality reviews.</w:t>
      </w:r>
    </w:p>
    <w:p w14:paraId="5EB4B87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Its limitation is inflexibility. Requirements agreed at initiation may prove impractical in daily salon use. For example, a consultation form could appear suitable during planning but take too long to complete between appointments. Applying Waterfall without opportunities for feedback could therefore produce a technically complete system that employees find difficult to use.</w:t>
      </w:r>
    </w:p>
    <w:p w14:paraId="5615D8F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3.2 Agile</w:t>
      </w:r>
    </w:p>
    <w:p w14:paraId="1F3161D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Agile prioritises customer collaboration, working solutions and responsiveness to change (Beck et al., 2001). Short iterations would allow Maples employees to test consultation questions, appointment durations and reminder wording before providing feedback. Scrum similarly promotes regular inspection and adaptation (Schwaber &amp; Sutherland, 2020).</w:t>
      </w:r>
    </w:p>
    <w:p w14:paraId="4483FE8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This flexibility is useful because salon employees have practical knowledge that a software supplier may not. An experienced stylist may identify that balayage requires different timing according to hair length, while a beauty therapist may recognise that some treatments need more detailed consultation records.</w:t>
      </w:r>
    </w:p>
    <w:p w14:paraId="16C75C9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However, a completely Agile approach could make costs and completion dates less predictable. Frequent meetings may also be difficult during busy trading periods. Data migration, privacy controls and final acceptance require structured approval rather than </w:t>
      </w:r>
      <w:r w:rsidRPr="00833C5C">
        <w:rPr>
          <w:rFonts w:ascii="Aptos" w:eastAsia="Aptos" w:hAnsi="Aptos" w:cs="Times New Roman"/>
        </w:rPr>
        <w:lastRenderedPageBreak/>
        <w:t>continuous informal change. Agile is therefore useful for testing and refinement but would not provide sufficient governance on its own.</w:t>
      </w:r>
    </w:p>
    <w:p w14:paraId="793758B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3.3 PRINCE2 and PMBOK</w:t>
      </w:r>
    </w:p>
    <w:p w14:paraId="5B52E16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PRINCE2 provides principles and processes that support continued business justification, defined responsibilities, and management by stages (AXELOS, 2023). Its governance and approval arrangements are valuable, but applying the entire method would create disproportionate paperwork. It must therefore be tailored.</w:t>
      </w:r>
    </w:p>
    <w:p w14:paraId="159E41E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PMBOK is a body of knowledge rather than a single delivery methodology. It provides adaptable guidance on stakeholder engagement, planning, delivery, uncertainty and measurement (PMI, 2021). Its breadth is valuable, although the project manager must select practices appropriate to the project.</w:t>
      </w:r>
    </w:p>
    <w:p w14:paraId="7352FCB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2</w:t>
      </w:r>
    </w:p>
    <w:p w14:paraId="51B571A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Comparison of project management approaches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217"/>
        <w:gridCol w:w="2264"/>
        <w:gridCol w:w="2278"/>
        <w:gridCol w:w="2257"/>
      </w:tblGrid>
      <w:tr w:rsidR="00833C5C" w:rsidRPr="00833C5C" w14:paraId="02339522"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38D64C5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Approach</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03C822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Main Value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C5AAB8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Limitation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D730FD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Proposed Use</w:t>
            </w:r>
          </w:p>
        </w:tc>
      </w:tr>
      <w:tr w:rsidR="00833C5C" w:rsidRPr="00833C5C" w14:paraId="5FE5314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0FECEDA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Waterfall</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F65F14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Clear stages and dependencies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4E5A72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Difficult to accommodate late changes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949664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Overall project sequence</w:t>
            </w:r>
          </w:p>
        </w:tc>
      </w:tr>
      <w:tr w:rsidR="00833C5C" w:rsidRPr="00833C5C" w14:paraId="1E0F4A9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769FF37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Agile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14CF0E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Rapid feedback and learning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FC3B14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Lower predictability if used alone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175C4E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Configuration and pilot testing</w:t>
            </w:r>
          </w:p>
        </w:tc>
      </w:tr>
      <w:tr w:rsidR="00833C5C" w:rsidRPr="00833C5C" w14:paraId="68E25821"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4BACCAE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PRINCE2</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EF0318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Governance and business justification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FA80B8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Potentially excessive documentation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CCE7EC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Roles, approval gates and closure</w:t>
            </w:r>
          </w:p>
        </w:tc>
      </w:tr>
      <w:tr w:rsidR="00833C5C" w:rsidRPr="00833C5C" w14:paraId="554FE5F2"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4E5BE0E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PMBOK</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5CFBB8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Adaptable management practices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D594FE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Does not prescribe one process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65B3D6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Stakeholder, risk and control tools</w:t>
            </w:r>
          </w:p>
        </w:tc>
      </w:tr>
    </w:tbl>
    <w:p w14:paraId="753557F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3.4 Recommended Approach</w:t>
      </w:r>
    </w:p>
    <w:p w14:paraId="1A7CA3E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tailored hybrid approach is recommended. Waterfall would provide the overall six-month structure; PRINCE2 would support accountability and continued justification; PMBOK would provide planning, stakeholder, risk and monitoring practices; and Agile feedback would be used during configuration and pilot testing.</w:t>
      </w:r>
    </w:p>
    <w:p w14:paraId="3AA7C00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This approach combines control with flexibility. However, it should remain proportionate. A concise project charter, practical registers and short weekly meetings would be more beneficial than extensive documentation created only to demonstrate compliance.</w:t>
      </w:r>
    </w:p>
    <w:p w14:paraId="507EF62E" w14:textId="77777777" w:rsidR="00833C5C" w:rsidRPr="00833C5C" w:rsidRDefault="00833C5C" w:rsidP="00833C5C">
      <w:pPr>
        <w:spacing w:line="276" w:lineRule="auto"/>
        <w:rPr>
          <w:rFonts w:ascii="Aptos" w:eastAsia="Aptos" w:hAnsi="Aptos" w:cs="Times New Roman"/>
        </w:rPr>
      </w:pPr>
    </w:p>
    <w:tbl>
      <w:tblPr>
        <w:tblW w:w="23256" w:type="dxa"/>
        <w:tblInd w:w="-1445"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256"/>
      </w:tblGrid>
      <w:tr w:rsidR="00833C5C" w:rsidRPr="00833C5C" w14:paraId="5A280F60" w14:textId="77777777">
        <w:tc>
          <w:tcPr>
            <w:tcW w:w="23256" w:type="dxa"/>
            <w:tcBorders>
              <w:top w:val="single" w:sz="4" w:space="0" w:color="000000"/>
              <w:left w:val="single" w:sz="4" w:space="0" w:color="000000"/>
              <w:bottom w:val="single" w:sz="4" w:space="0" w:color="000000"/>
              <w:right w:val="single" w:sz="4" w:space="0" w:color="000000"/>
            </w:tcBorders>
            <w:vAlign w:val="center"/>
            <w:hideMark/>
          </w:tcPr>
          <w:p w14:paraId="31B7258B" w14:textId="63FA3474"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63848467" wp14:editId="22607ABD">
                  <wp:extent cx="5731510" cy="2914015"/>
                  <wp:effectExtent l="0" t="0" r="2540" b="635"/>
                  <wp:docPr id="16560512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tc>
      </w:tr>
    </w:tbl>
    <w:p w14:paraId="4DE2B376" w14:textId="77777777" w:rsidR="00833C5C" w:rsidRPr="00833C5C" w:rsidRDefault="00833C5C" w:rsidP="00833C5C">
      <w:pPr>
        <w:spacing w:line="276" w:lineRule="auto"/>
        <w:rPr>
          <w:rFonts w:ascii="Aptos" w:eastAsia="Aptos" w:hAnsi="Aptos" w:cs="Times New Roman"/>
          <w:i/>
          <w:iCs/>
        </w:rPr>
      </w:pPr>
      <w:r w:rsidRPr="00833C5C">
        <w:rPr>
          <w:rFonts w:ascii="Aptos" w:eastAsia="Aptos" w:hAnsi="Aptos" w:cs="Times New Roman"/>
          <w:i/>
          <w:iCs/>
        </w:rPr>
        <w:t>Note. Created by the author and adapted from AXELOS (2023), PMI (2021), and Schwaber and Sutherland (2020)</w:t>
      </w:r>
    </w:p>
    <w:p w14:paraId="0D0B8AB0" w14:textId="77777777" w:rsidR="00833C5C" w:rsidRPr="00833C5C" w:rsidRDefault="00833C5C" w:rsidP="00833C5C">
      <w:pPr>
        <w:spacing w:line="276" w:lineRule="auto"/>
        <w:rPr>
          <w:rFonts w:ascii="Aptos" w:eastAsia="Aptos" w:hAnsi="Aptos" w:cs="Times New Roman"/>
          <w:i/>
          <w:iCs/>
        </w:rPr>
      </w:pPr>
      <w:r w:rsidRPr="00833C5C">
        <w:rPr>
          <w:rFonts w:ascii="Aptos" w:eastAsia="Aptos" w:hAnsi="Aptos" w:cs="Times New Roman"/>
          <w:i/>
          <w:iCs/>
        </w:rPr>
        <w:t>.</w:t>
      </w:r>
    </w:p>
    <w:p w14:paraId="0ED44D18" w14:textId="77777777" w:rsidR="00833C5C" w:rsidRPr="00833C5C" w:rsidRDefault="00833C5C" w:rsidP="00833C5C">
      <w:pPr>
        <w:spacing w:line="276" w:lineRule="auto"/>
        <w:rPr>
          <w:rFonts w:ascii="Aptos" w:eastAsia="Aptos" w:hAnsi="Aptos" w:cs="Times New Roman"/>
        </w:rPr>
      </w:pPr>
    </w:p>
    <w:p w14:paraId="019E4C5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4. Project Lifecycle and Initiation</w:t>
      </w:r>
    </w:p>
    <w:p w14:paraId="30E2748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project lifecycle provides a structured route from a recognised business need to an accepted operational improvement. Initiation confirms the business case, objectives, stakeholders and authority. Planning establishes scope, schedule, budget and responsibilities. Execution includes configuration, migration, training and pilot testing. Monitoring and control compare actual performance with the approved plan, while closure confirms acceptance and operational handover (Westland, 2021).</w:t>
      </w:r>
    </w:p>
    <w:p w14:paraId="7A9E16B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Although the lifecycle is often displayed sequentially, monitoring and control occur throughout planning and execution, not only near the end.</w:t>
      </w:r>
    </w:p>
    <w:p w14:paraId="1DDB7458" w14:textId="77777777" w:rsidR="00833C5C" w:rsidRPr="00833C5C" w:rsidRDefault="00833C5C" w:rsidP="00833C5C">
      <w:pPr>
        <w:spacing w:line="276" w:lineRule="auto"/>
        <w:rPr>
          <w:rFonts w:ascii="Aptos" w:eastAsia="Aptos" w:hAnsi="Aptos" w:cs="Times New Roman"/>
        </w:rPr>
      </w:pPr>
    </w:p>
    <w:tbl>
      <w:tblPr>
        <w:tblpPr w:leftFromText="180" w:rightFromText="180" w:bottomFromText="160" w:vertAnchor="page" w:horzAnchor="page" w:tblpX="2895" w:tblpY="1257"/>
        <w:tblW w:w="9016"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16"/>
      </w:tblGrid>
      <w:tr w:rsidR="00833C5C" w:rsidRPr="00833C5C" w14:paraId="4EDE5E6E" w14:textId="77777777">
        <w:tc>
          <w:tcPr>
            <w:tcW w:w="9016" w:type="dxa"/>
            <w:tcBorders>
              <w:top w:val="single" w:sz="4" w:space="0" w:color="000000"/>
              <w:left w:val="single" w:sz="4" w:space="0" w:color="000000"/>
              <w:bottom w:val="single" w:sz="4" w:space="0" w:color="000000"/>
              <w:right w:val="single" w:sz="4" w:space="0" w:color="000000"/>
            </w:tcBorders>
            <w:vAlign w:val="center"/>
            <w:hideMark/>
          </w:tcPr>
          <w:p w14:paraId="070B12D6" w14:textId="0FEA1ECB"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lastRenderedPageBreak/>
              <w:t xml:space="preserve">Note. </w:t>
            </w:r>
            <w:r w:rsidRPr="00833C5C">
              <w:rPr>
                <w:rFonts w:ascii="Aptos" w:eastAsia="Aptos" w:hAnsi="Aptos" w:cs="Times New Roman"/>
              </w:rPr>
              <w:drawing>
                <wp:inline distT="0" distB="0" distL="0" distR="0" wp14:anchorId="6DD85229" wp14:editId="3092EF11">
                  <wp:extent cx="4724400" cy="5911850"/>
                  <wp:effectExtent l="0" t="0" r="0" b="0"/>
                  <wp:docPr id="185129189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4400" cy="5911850"/>
                          </a:xfrm>
                          <a:prstGeom prst="rect">
                            <a:avLst/>
                          </a:prstGeom>
                          <a:noFill/>
                          <a:ln>
                            <a:noFill/>
                          </a:ln>
                        </pic:spPr>
                      </pic:pic>
                    </a:graphicData>
                  </a:graphic>
                </wp:inline>
              </w:drawing>
            </w:r>
          </w:p>
        </w:tc>
      </w:tr>
    </w:tbl>
    <w:p w14:paraId="43D96EC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Created by the author and adapted from PMI (2021) and Westland (2021).</w:t>
      </w:r>
    </w:p>
    <w:p w14:paraId="077B0FA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During initiation, the salon owner acts as project sponsor and approves the project charter. The charter should define the problem, scope, project manager’s authority, expected duration, budget tolerance and success criteria.</w:t>
      </w:r>
    </w:p>
    <w:p w14:paraId="171420D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Approval should depend on baseline information concerning appointment overruns, waiting times, consultation completion and repeat bookings. Without baseline data, Maples would be unable to demonstrate whether performance had improved.</w:t>
      </w:r>
    </w:p>
    <w:p w14:paraId="7A3D4B5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5. Stakeholder and Environmental Analysis</w:t>
      </w:r>
    </w:p>
    <w:p w14:paraId="1C7F79D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Stakeholder theory recognises that sustainable value depends on considering all groups affected by organisational decisions (Freeman, 1984). The salon owner has high power and interest because she approves expenditure and accepts the completed system. Employees have less formal power but considerable practical influence. If they find the system disruptive or time-consuming, adoption will fail.</w:t>
      </w:r>
    </w:p>
    <w:p w14:paraId="6172A42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Clients have limited direct authority but collectively affect reputation and retention. The software supplier has technical influence, while regulatory organisations shape data-protection expectations.</w:t>
      </w:r>
    </w:p>
    <w:p w14:paraId="060FF44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Staff should be involved in requirements discussions, form design, testing and lessons learned. Clients should receive clear communication if booking or privacy arrangements change. The supplier should receive documented requirements and acceptance criteria. Staff resistance should not automatically be viewed negatively because it may reveal legitimate concerns. Kotter (1996) similarly emphasises explaining the need for change and enabling participation.</w:t>
      </w:r>
    </w:p>
    <w:p w14:paraId="2D1A797F" w14:textId="77777777" w:rsidR="00833C5C" w:rsidRPr="00833C5C" w:rsidRDefault="00833C5C" w:rsidP="00833C5C">
      <w:pPr>
        <w:spacing w:line="276" w:lineRule="auto"/>
        <w:rPr>
          <w:rFonts w:ascii="Aptos" w:eastAsia="Aptos" w:hAnsi="Aptos" w:cs="Times New Roman"/>
        </w:rPr>
      </w:pPr>
    </w:p>
    <w:tbl>
      <w:tblPr>
        <w:tblW w:w="23256" w:type="dxa"/>
        <w:tblInd w:w="-1445"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256"/>
      </w:tblGrid>
      <w:tr w:rsidR="00833C5C" w:rsidRPr="00833C5C" w14:paraId="689C5C6B" w14:textId="77777777">
        <w:tc>
          <w:tcPr>
            <w:tcW w:w="23256" w:type="dxa"/>
            <w:tcBorders>
              <w:top w:val="single" w:sz="4" w:space="0" w:color="000000"/>
              <w:left w:val="single" w:sz="4" w:space="0" w:color="000000"/>
              <w:bottom w:val="single" w:sz="4" w:space="0" w:color="000000"/>
              <w:right w:val="single" w:sz="4" w:space="0" w:color="000000"/>
            </w:tcBorders>
            <w:vAlign w:val="center"/>
            <w:hideMark/>
          </w:tcPr>
          <w:p w14:paraId="6BB3B7BA" w14:textId="3D00DE54"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1ED4DA92" wp14:editId="27DBF98A">
                  <wp:extent cx="5731510" cy="3820795"/>
                  <wp:effectExtent l="0" t="0" r="2540" b="8255"/>
                  <wp:docPr id="17378913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tc>
      </w:tr>
    </w:tbl>
    <w:p w14:paraId="51926CD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Freeman (1984) and PMI (2021).</w:t>
      </w:r>
    </w:p>
    <w:p w14:paraId="7965F9C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PESTLE analysis provides additional context. Legally, Maples must comply with data protection and health and safety requirements. Economically, Maples must control subscription and training costs. Socially, clients expect convenience without losing personal contact. Technologically, cloud systems increase access but create dependence on connectivity and supplier security. Digital records may reduce paper use but still create energy and equipment impacts.</w:t>
      </w:r>
    </w:p>
    <w:p w14:paraId="582CFFD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SWOT analysis can become a superficial list if factors are not connected to actions (Hill &amp; Westbrook, 1997). Every identified issue should therefore influence a project decision, risk or control.</w:t>
      </w:r>
    </w:p>
    <w:p w14:paraId="515EE6BE" w14:textId="77777777" w:rsidR="00833C5C" w:rsidRPr="00833C5C" w:rsidRDefault="00833C5C" w:rsidP="00833C5C">
      <w:pPr>
        <w:spacing w:line="276" w:lineRule="auto"/>
        <w:rPr>
          <w:rFonts w:ascii="Aptos" w:eastAsia="Aptos" w:hAnsi="Aptos" w:cs="Times New Roman"/>
        </w:rPr>
      </w:pPr>
    </w:p>
    <w:tbl>
      <w:tblPr>
        <w:tblW w:w="23256" w:type="dxa"/>
        <w:tblInd w:w="-1445"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256"/>
      </w:tblGrid>
      <w:tr w:rsidR="00833C5C" w:rsidRPr="00833C5C" w14:paraId="282BF5C7" w14:textId="77777777">
        <w:tc>
          <w:tcPr>
            <w:tcW w:w="23256" w:type="dxa"/>
            <w:tcBorders>
              <w:top w:val="single" w:sz="4" w:space="0" w:color="000000"/>
              <w:left w:val="single" w:sz="4" w:space="0" w:color="000000"/>
              <w:bottom w:val="single" w:sz="4" w:space="0" w:color="000000"/>
              <w:right w:val="single" w:sz="4" w:space="0" w:color="000000"/>
            </w:tcBorders>
            <w:vAlign w:val="center"/>
            <w:hideMark/>
          </w:tcPr>
          <w:p w14:paraId="40C6DD7E" w14:textId="472B25BF"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66D1C743" wp14:editId="36070A83">
                  <wp:extent cx="5731510" cy="3820795"/>
                  <wp:effectExtent l="0" t="0" r="2540" b="8255"/>
                  <wp:docPr id="1178574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tc>
      </w:tr>
    </w:tbl>
    <w:p w14:paraId="3980A650" w14:textId="77777777" w:rsidR="00833C5C" w:rsidRPr="00833C5C" w:rsidRDefault="00833C5C" w:rsidP="00833C5C">
      <w:pPr>
        <w:spacing w:line="276" w:lineRule="auto"/>
        <w:rPr>
          <w:rFonts w:ascii="Aptos" w:eastAsia="Aptos" w:hAnsi="Aptos" w:cs="Times New Roman"/>
          <w:i/>
          <w:iCs/>
        </w:rPr>
      </w:pPr>
      <w:r w:rsidRPr="00833C5C">
        <w:rPr>
          <w:rFonts w:ascii="Aptos" w:eastAsia="Aptos" w:hAnsi="Aptos" w:cs="Times New Roman"/>
          <w:i/>
          <w:iCs/>
        </w:rPr>
        <w:t>Note. Created by the author and adapted from Hill and Westbrook (1997) and Johnson et al. (2020).</w:t>
      </w:r>
    </w:p>
    <w:p w14:paraId="17792ECB" w14:textId="77777777" w:rsidR="00833C5C" w:rsidRPr="00833C5C" w:rsidRDefault="00833C5C" w:rsidP="00833C5C">
      <w:pPr>
        <w:spacing w:line="276" w:lineRule="auto"/>
        <w:rPr>
          <w:rFonts w:ascii="Aptos" w:eastAsia="Aptos" w:hAnsi="Aptos" w:cs="Times New Roman"/>
          <w:i/>
          <w:iCs/>
        </w:rPr>
      </w:pPr>
    </w:p>
    <w:p w14:paraId="1F04F285" w14:textId="77777777" w:rsidR="00833C5C" w:rsidRPr="00833C5C" w:rsidRDefault="00833C5C" w:rsidP="00833C5C">
      <w:pPr>
        <w:spacing w:line="276" w:lineRule="auto"/>
        <w:rPr>
          <w:rFonts w:ascii="Aptos" w:eastAsia="Aptos" w:hAnsi="Aptos" w:cs="Times New Roman"/>
          <w:i/>
          <w:iCs/>
        </w:rPr>
      </w:pPr>
    </w:p>
    <w:p w14:paraId="1BD8AAD1" w14:textId="77777777" w:rsidR="00833C5C" w:rsidRPr="00833C5C" w:rsidRDefault="00833C5C" w:rsidP="00833C5C">
      <w:pPr>
        <w:spacing w:line="276" w:lineRule="auto"/>
        <w:rPr>
          <w:rFonts w:ascii="Aptos" w:eastAsia="Aptos" w:hAnsi="Aptos" w:cs="Times New Roman"/>
          <w:i/>
          <w:iCs/>
        </w:rPr>
      </w:pPr>
    </w:p>
    <w:p w14:paraId="621DC6E0" w14:textId="77777777" w:rsidR="00833C5C" w:rsidRPr="00833C5C" w:rsidRDefault="00833C5C" w:rsidP="00833C5C">
      <w:pPr>
        <w:spacing w:line="276" w:lineRule="auto"/>
        <w:rPr>
          <w:rFonts w:ascii="Aptos" w:eastAsia="Aptos" w:hAnsi="Aptos" w:cs="Times New Roman"/>
          <w:i/>
          <w:iCs/>
        </w:rPr>
      </w:pPr>
    </w:p>
    <w:p w14:paraId="2B636CFF" w14:textId="77777777" w:rsidR="00833C5C" w:rsidRPr="00833C5C" w:rsidRDefault="00833C5C" w:rsidP="00833C5C">
      <w:pPr>
        <w:spacing w:line="276" w:lineRule="auto"/>
        <w:rPr>
          <w:rFonts w:ascii="Aptos" w:eastAsia="Aptos" w:hAnsi="Aptos" w:cs="Times New Roman"/>
        </w:rPr>
      </w:pPr>
    </w:p>
    <w:p w14:paraId="20594283" w14:textId="77777777" w:rsidR="00833C5C" w:rsidRPr="00833C5C" w:rsidRDefault="00833C5C" w:rsidP="00833C5C">
      <w:pPr>
        <w:spacing w:line="276" w:lineRule="auto"/>
        <w:rPr>
          <w:rFonts w:ascii="Aptos" w:eastAsia="Aptos" w:hAnsi="Aptos" w:cs="Times New Roman"/>
        </w:rPr>
      </w:pPr>
    </w:p>
    <w:p w14:paraId="1B59673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6. Project Planning</w:t>
      </w:r>
    </w:p>
    <w:p w14:paraId="4FD8A73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Planning converts the approved idea into controlled activities. It reduces uncertainty but does not eliminate it, meaning plans should be reviewed when evidence changes (Maylor, 2019). Maples must also protect normal salon operations by staggering training and avoiding high-risk changes during peak periods.</w:t>
      </w:r>
    </w:p>
    <w:p w14:paraId="45935F04" w14:textId="77777777" w:rsidR="00833C5C" w:rsidRPr="00833C5C" w:rsidRDefault="00833C5C" w:rsidP="00833C5C">
      <w:pPr>
        <w:spacing w:line="276" w:lineRule="auto"/>
        <w:rPr>
          <w:rFonts w:ascii="Aptos" w:eastAsia="Aptos" w:hAnsi="Aptos" w:cs="Times New Roman"/>
        </w:rPr>
      </w:pPr>
    </w:p>
    <w:p w14:paraId="41B0F03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6.1 Scope and Work Breakdown Structure</w:t>
      </w:r>
    </w:p>
    <w:p w14:paraId="3BFC976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The project scope includes platform configuration, data cleansing, migration, consultation forms, appointment-duration rules, reminders, reporting, training, testing, pilot implementation and evaluation. Recruitment, refurbishment and unrelated marketing are excluded.</w:t>
      </w:r>
    </w:p>
    <w:p w14:paraId="6448CB9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Work Breakdown Structure (WBS) divides the deliverables into manageable work packages, supporting estimation, ownership and monitoring (Meredith et al., 2022). It should be based on deliverables rather than functioning as an informal task list.</w:t>
      </w:r>
    </w:p>
    <w:p w14:paraId="57B842A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Although the WBS improves clarity by decomposing the CRM project into manageable deliverables, its usefulness depends on the accuracy of the original scope. For Maples, an overly detailed WBS could create unnecessary administration, whereas insufficient detail could hide dependencies. Its value therefore lies in proportionate application rather than complexity.</w:t>
      </w:r>
    </w:p>
    <w:p w14:paraId="52E16A0A" w14:textId="77777777" w:rsidR="00833C5C" w:rsidRPr="00833C5C" w:rsidRDefault="00833C5C" w:rsidP="00833C5C">
      <w:pPr>
        <w:spacing w:line="276" w:lineRule="auto"/>
        <w:rPr>
          <w:rFonts w:ascii="Aptos" w:eastAsia="Aptos" w:hAnsi="Aptos" w:cs="Times New Roman"/>
        </w:rPr>
      </w:pPr>
    </w:p>
    <w:p w14:paraId="2CADE105" w14:textId="77777777" w:rsidR="00833C5C" w:rsidRPr="00833C5C" w:rsidRDefault="00833C5C" w:rsidP="00833C5C">
      <w:pPr>
        <w:spacing w:line="276" w:lineRule="auto"/>
        <w:rPr>
          <w:rFonts w:ascii="Aptos" w:eastAsia="Aptos" w:hAnsi="Aptos" w:cs="Times New Roman"/>
        </w:rPr>
      </w:pPr>
    </w:p>
    <w:p w14:paraId="259E3910" w14:textId="77777777" w:rsidR="00833C5C" w:rsidRPr="00833C5C" w:rsidRDefault="00833C5C" w:rsidP="00833C5C">
      <w:pPr>
        <w:spacing w:line="276" w:lineRule="auto"/>
        <w:rPr>
          <w:rFonts w:ascii="Aptos" w:eastAsia="Aptos" w:hAnsi="Aptos" w:cs="Times New Roman"/>
        </w:rPr>
      </w:pPr>
    </w:p>
    <w:p w14:paraId="41FFCFC9" w14:textId="77777777" w:rsidR="00833C5C" w:rsidRPr="00833C5C" w:rsidRDefault="00833C5C" w:rsidP="00833C5C">
      <w:pPr>
        <w:spacing w:line="276" w:lineRule="auto"/>
        <w:rPr>
          <w:rFonts w:ascii="Aptos" w:eastAsia="Aptos" w:hAnsi="Aptos" w:cs="Times New Roman"/>
        </w:rPr>
      </w:pPr>
    </w:p>
    <w:p w14:paraId="0DD33BF9" w14:textId="77777777" w:rsidR="00833C5C" w:rsidRPr="00833C5C" w:rsidRDefault="00833C5C" w:rsidP="00833C5C">
      <w:pPr>
        <w:spacing w:line="276" w:lineRule="auto"/>
        <w:rPr>
          <w:rFonts w:ascii="Aptos" w:eastAsia="Aptos" w:hAnsi="Aptos" w:cs="Times New Roman"/>
        </w:rPr>
      </w:pPr>
    </w:p>
    <w:p w14:paraId="7BB06CC9" w14:textId="77777777" w:rsidR="00833C5C" w:rsidRPr="00833C5C" w:rsidRDefault="00833C5C" w:rsidP="00833C5C">
      <w:pPr>
        <w:spacing w:line="276" w:lineRule="auto"/>
        <w:rPr>
          <w:rFonts w:ascii="Aptos" w:eastAsia="Aptos" w:hAnsi="Aptos" w:cs="Times New Roman"/>
        </w:rPr>
      </w:pPr>
    </w:p>
    <w:p w14:paraId="3A4A571A" w14:textId="77777777" w:rsidR="00833C5C" w:rsidRPr="00833C5C" w:rsidRDefault="00833C5C" w:rsidP="00833C5C">
      <w:pPr>
        <w:spacing w:line="276" w:lineRule="auto"/>
        <w:rPr>
          <w:rFonts w:ascii="Aptos" w:eastAsia="Aptos" w:hAnsi="Aptos" w:cs="Times New Roman"/>
        </w:rPr>
      </w:pPr>
    </w:p>
    <w:p w14:paraId="50FC527E" w14:textId="77777777" w:rsidR="00833C5C" w:rsidRPr="00833C5C" w:rsidRDefault="00833C5C" w:rsidP="00833C5C">
      <w:pPr>
        <w:spacing w:line="276" w:lineRule="auto"/>
        <w:rPr>
          <w:rFonts w:ascii="Aptos" w:eastAsia="Aptos" w:hAnsi="Aptos" w:cs="Times New Roman"/>
        </w:rPr>
      </w:pPr>
    </w:p>
    <w:p w14:paraId="7AF581A3" w14:textId="77777777" w:rsidR="00833C5C" w:rsidRPr="00833C5C" w:rsidRDefault="00833C5C" w:rsidP="00833C5C">
      <w:pPr>
        <w:spacing w:line="276" w:lineRule="auto"/>
        <w:rPr>
          <w:rFonts w:ascii="Aptos" w:eastAsia="Aptos" w:hAnsi="Aptos" w:cs="Times New Roman"/>
          <w:b/>
          <w:bCs/>
        </w:rPr>
      </w:pPr>
    </w:p>
    <w:p w14:paraId="377B5090" w14:textId="2CA8ADC1"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drawing>
          <wp:inline distT="0" distB="0" distL="0" distR="0" wp14:anchorId="18D64656" wp14:editId="3E610FD2">
            <wp:extent cx="5731510" cy="6156960"/>
            <wp:effectExtent l="0" t="0" r="2540" b="0"/>
            <wp:docPr id="6466534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156960"/>
                    </a:xfrm>
                    <a:prstGeom prst="rect">
                      <a:avLst/>
                    </a:prstGeom>
                    <a:noFill/>
                    <a:ln>
                      <a:noFill/>
                    </a:ln>
                  </pic:spPr>
                </pic:pic>
              </a:graphicData>
            </a:graphic>
          </wp:inline>
        </w:drawing>
      </w:r>
    </w:p>
    <w:p w14:paraId="10CE720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Work Breakdown Structure for the Maples CRM Project</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16"/>
      </w:tblGrid>
      <w:tr w:rsidR="00833C5C" w:rsidRPr="00833C5C" w14:paraId="14A26236" w14:textId="77777777">
        <w:tc>
          <w:tcPr>
            <w:tcW w:w="9360" w:type="dxa"/>
            <w:tcBorders>
              <w:top w:val="single" w:sz="4" w:space="0" w:color="000000"/>
              <w:left w:val="single" w:sz="4" w:space="0" w:color="000000"/>
              <w:bottom w:val="single" w:sz="4" w:space="0" w:color="000000"/>
              <w:right w:val="single" w:sz="4" w:space="0" w:color="000000"/>
            </w:tcBorders>
            <w:vAlign w:val="center"/>
            <w:hideMark/>
          </w:tcPr>
          <w:p w14:paraId="5AF8C4CA" w14:textId="77777777" w:rsidR="00833C5C" w:rsidRPr="00833C5C" w:rsidRDefault="00833C5C" w:rsidP="00833C5C">
            <w:pPr>
              <w:spacing w:line="276" w:lineRule="auto"/>
              <w:rPr>
                <w:rFonts w:ascii="Aptos" w:eastAsia="Aptos" w:hAnsi="Aptos" w:cs="Times New Roman"/>
              </w:rPr>
            </w:pPr>
          </w:p>
        </w:tc>
      </w:tr>
    </w:tbl>
    <w:p w14:paraId="349E698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Meredith et al. (2022) and PMI (2021).</w:t>
      </w:r>
    </w:p>
    <w:p w14:paraId="3C42B3C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6.2 Scheduling and Critical Path</w:t>
      </w:r>
    </w:p>
    <w:p w14:paraId="65F70C4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proposed duration is six months:</w:t>
      </w:r>
    </w:p>
    <w:p w14:paraId="519E710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 1: Approval, requirements and supplier confirmation</w:t>
      </w:r>
    </w:p>
    <w:p w14:paraId="4663221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Months 2–3: Configuration, data preparation and form development</w:t>
      </w:r>
    </w:p>
    <w:p w14:paraId="641E97B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 4: System testing and staff training</w:t>
      </w:r>
    </w:p>
    <w:p w14:paraId="04AEB0B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 5: Pilot implementation</w:t>
      </w:r>
    </w:p>
    <w:p w14:paraId="3CBDBAD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Month 6: Full deployment, evaluation and closure</w:t>
      </w:r>
    </w:p>
    <w:p w14:paraId="55B58E9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Dependencies must be explicit. Employees should train on a stable configuration, customer records must be verified before go-live, and full deployment depends on pilot acceptance.</w:t>
      </w:r>
    </w:p>
    <w:p w14:paraId="312C117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The Gantt chart provides Maples with a clear visual representation of activities, dependencies and deadlines, making it particularly useful for coordinating training with normal salon operations. However, it may imply greater scheduling certainty than </w:t>
      </w:r>
      <w:proofErr w:type="gramStart"/>
      <w:r w:rsidRPr="00833C5C">
        <w:rPr>
          <w:rFonts w:ascii="Aptos" w:eastAsia="Aptos" w:hAnsi="Aptos" w:cs="Times New Roman"/>
        </w:rPr>
        <w:t>actually exists</w:t>
      </w:r>
      <w:proofErr w:type="gramEnd"/>
      <w:r w:rsidRPr="00833C5C">
        <w:rPr>
          <w:rFonts w:ascii="Aptos" w:eastAsia="Aptos" w:hAnsi="Aptos" w:cs="Times New Roman"/>
        </w:rPr>
        <w:t>. Supplier delays, staff absence, or changing salon demand mean the schedule must be reviewed regularly rather than treated as fixed.</w:t>
      </w:r>
    </w:p>
    <w:p w14:paraId="02A60D0C" w14:textId="77777777" w:rsidR="00833C5C" w:rsidRPr="00833C5C" w:rsidRDefault="00833C5C" w:rsidP="00833C5C">
      <w:pPr>
        <w:spacing w:line="276" w:lineRule="auto"/>
        <w:rPr>
          <w:rFonts w:ascii="Aptos" w:eastAsia="Aptos" w:hAnsi="Aptos" w:cs="Times New Roman"/>
        </w:rPr>
      </w:pPr>
    </w:p>
    <w:tbl>
      <w:tblPr>
        <w:tblpPr w:leftFromText="180" w:rightFromText="180" w:bottomFromText="160" w:horzAnchor="margin" w:tblpY="-1440"/>
        <w:tblW w:w="9046"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46"/>
      </w:tblGrid>
      <w:tr w:rsidR="00833C5C" w:rsidRPr="00833C5C" w14:paraId="74C5C11B" w14:textId="77777777">
        <w:trPr>
          <w:trHeight w:val="18642"/>
        </w:trPr>
        <w:tc>
          <w:tcPr>
            <w:tcW w:w="9046" w:type="dxa"/>
            <w:tcBorders>
              <w:top w:val="single" w:sz="4" w:space="0" w:color="000000"/>
              <w:left w:val="single" w:sz="4" w:space="0" w:color="000000"/>
              <w:bottom w:val="single" w:sz="4" w:space="0" w:color="000000"/>
              <w:right w:val="single" w:sz="4" w:space="0" w:color="000000"/>
            </w:tcBorders>
            <w:vAlign w:val="center"/>
            <w:hideMark/>
          </w:tcPr>
          <w:p w14:paraId="374F358A" w14:textId="5828734B"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drawing>
                <wp:inline distT="0" distB="0" distL="0" distR="0" wp14:anchorId="6F55016B" wp14:editId="19D69540">
                  <wp:extent cx="5302250" cy="5880100"/>
                  <wp:effectExtent l="0" t="0" r="0" b="6350"/>
                  <wp:docPr id="12985918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2250" cy="5880100"/>
                          </a:xfrm>
                          <a:prstGeom prst="rect">
                            <a:avLst/>
                          </a:prstGeom>
                          <a:noFill/>
                          <a:ln>
                            <a:noFill/>
                          </a:ln>
                        </pic:spPr>
                      </pic:pic>
                    </a:graphicData>
                  </a:graphic>
                </wp:inline>
              </w:drawing>
            </w:r>
          </w:p>
        </w:tc>
      </w:tr>
    </w:tbl>
    <w:p w14:paraId="618E0EB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Gantt (1919) and Lock (2020).</w:t>
      </w:r>
    </w:p>
    <w:p w14:paraId="21D7372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Critical Path Analysis identifies the longest sequence of dependent activities and therefore the earliest possible completion date (Lock, 2020). The likely critical </w:t>
      </w:r>
      <w:r w:rsidRPr="00833C5C">
        <w:rPr>
          <w:rFonts w:ascii="Aptos" w:eastAsia="Aptos" w:hAnsi="Aptos" w:cs="Times New Roman"/>
        </w:rPr>
        <w:lastRenderedPageBreak/>
        <w:t>sequence is approval, requirements, configuration, migration, testing, pilot acceptance and go-live. A delay to any of these activities would threaten completion unless time could be recovered elsewhere.</w:t>
      </w:r>
    </w:p>
    <w:p w14:paraId="586BC79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Critical Path Analysis strengthens scheduling by identifying activities where delay would directly affect completion. However, its accuracy depends on reliable duration estimates. This is a limitation for Maples because staff availability and operational pressures can vary. CPA should therefore support managerial judgement rather than replace it.</w:t>
      </w:r>
    </w:p>
    <w:p w14:paraId="39D5697D" w14:textId="77777777" w:rsidR="00833C5C" w:rsidRPr="00833C5C" w:rsidRDefault="00833C5C" w:rsidP="00833C5C">
      <w:pPr>
        <w:spacing w:line="276" w:lineRule="auto"/>
        <w:rPr>
          <w:rFonts w:ascii="Aptos" w:eastAsia="Aptos" w:hAnsi="Aptos" w:cs="Times New Roman"/>
        </w:rPr>
      </w:pPr>
    </w:p>
    <w:tbl>
      <w:tblPr>
        <w:tblW w:w="23256" w:type="dxa"/>
        <w:tblInd w:w="-1445"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256"/>
      </w:tblGrid>
      <w:tr w:rsidR="00833C5C" w:rsidRPr="00833C5C" w14:paraId="72EA649E" w14:textId="77777777">
        <w:tc>
          <w:tcPr>
            <w:tcW w:w="23256" w:type="dxa"/>
            <w:tcBorders>
              <w:top w:val="single" w:sz="4" w:space="0" w:color="000000"/>
              <w:left w:val="single" w:sz="4" w:space="0" w:color="000000"/>
              <w:bottom w:val="single" w:sz="4" w:space="0" w:color="000000"/>
              <w:right w:val="single" w:sz="4" w:space="0" w:color="000000"/>
            </w:tcBorders>
            <w:vAlign w:val="center"/>
            <w:hideMark/>
          </w:tcPr>
          <w:p w14:paraId="4B3CB4A1" w14:textId="1176A72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2B245E35" wp14:editId="520E80F9">
                  <wp:extent cx="5731510" cy="5674360"/>
                  <wp:effectExtent l="0" t="0" r="2540" b="2540"/>
                  <wp:docPr id="28217758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674360"/>
                          </a:xfrm>
                          <a:prstGeom prst="rect">
                            <a:avLst/>
                          </a:prstGeom>
                          <a:noFill/>
                          <a:ln>
                            <a:noFill/>
                          </a:ln>
                        </pic:spPr>
                      </pic:pic>
                    </a:graphicData>
                  </a:graphic>
                </wp:inline>
              </w:drawing>
            </w:r>
          </w:p>
        </w:tc>
      </w:tr>
    </w:tbl>
    <w:p w14:paraId="2523035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Lock (2020) and PMI (2021).</w:t>
      </w:r>
    </w:p>
    <w:p w14:paraId="4B435FC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6.3 Resources and Budget</w:t>
      </w:r>
    </w:p>
    <w:p w14:paraId="72BEC40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Human resources include the sponsor, project manager, salon employees and software supplier. Financial costs include licences, configuration, training time, hardware, temporary productivity reductions and contingency.</w:t>
      </w:r>
    </w:p>
    <w:p w14:paraId="1B729C0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10% contingency may be appropriate, but it cannot replace accurate cost estimation. Expected benefits include reduced administration, fewer missed appointments, improved use of capacity and stronger retention. Benefits must not be counted twice; increased repeat booking and increased revenue may reflect the same underlying improvement.</w:t>
      </w:r>
    </w:p>
    <w:p w14:paraId="16D98D6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3</w:t>
      </w:r>
    </w:p>
    <w:p w14:paraId="33121A0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Indicative Project Costs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3010"/>
        <w:gridCol w:w="2998"/>
        <w:gridCol w:w="3008"/>
      </w:tblGrid>
      <w:tr w:rsidR="00833C5C" w:rsidRPr="00833C5C" w14:paraId="5A26FA4E"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587D838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Cost Category</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622C2EC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Estimation Basis</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540B8CD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Control</w:t>
            </w:r>
          </w:p>
        </w:tc>
      </w:tr>
      <w:tr w:rsidR="00833C5C" w:rsidRPr="00833C5C" w14:paraId="10C3BF28"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245D794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Software licences</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310149D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Supplier quotation and user numbers</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197AA2C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Sponsor approval</w:t>
            </w:r>
          </w:p>
        </w:tc>
      </w:tr>
      <w:tr w:rsidR="00833C5C" w:rsidRPr="00833C5C" w14:paraId="344CB643"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4089159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Configuration and migration</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660EBE5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Fixed quotation or agreed hours</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5EA9D49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Acceptance criteria</w:t>
            </w:r>
          </w:p>
        </w:tc>
      </w:tr>
      <w:tr w:rsidR="00833C5C" w:rsidRPr="00833C5C" w14:paraId="1E2DABB3"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7DF8FE4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Staff training</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543FF71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Training hours and employee cost</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34F7B6D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Staggered attendance</w:t>
            </w:r>
          </w:p>
        </w:tc>
      </w:tr>
      <w:tr w:rsidR="00833C5C" w:rsidRPr="00833C5C" w14:paraId="4DA6F2FE"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5920ACD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Hardware and connectivity</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5593CAD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Gap assessment</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21DA457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Essential purchases only</w:t>
            </w:r>
          </w:p>
        </w:tc>
      </w:tr>
      <w:tr w:rsidR="00833C5C" w:rsidRPr="00833C5C" w14:paraId="6230C273"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18C4C62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Contingency</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FF3864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 of approved baseline</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C7290F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Sponsor authorisation</w:t>
            </w:r>
          </w:p>
        </w:tc>
      </w:tr>
    </w:tbl>
    <w:p w14:paraId="03A0AAB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7. Communication and Responsibility</w:t>
      </w:r>
    </w:p>
    <w:p w14:paraId="45C3034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Communication should enable dialogue rather than simply distribute information. Stakeholders require different information and levels of detail (PMI, 2021). The salon owner needs concise information on progress, costs, risks and decisions. Employees need practical guidance and opportunities to raise concerns. Clients require relevant information where booking or privacy arrangements change.</w:t>
      </w:r>
    </w:p>
    <w:p w14:paraId="6560B25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4</w:t>
      </w:r>
    </w:p>
    <w:p w14:paraId="49A6E31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Communication Plan</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214"/>
        <w:gridCol w:w="2264"/>
        <w:gridCol w:w="2286"/>
        <w:gridCol w:w="2252"/>
      </w:tblGrid>
      <w:tr w:rsidR="00833C5C" w:rsidRPr="00833C5C" w14:paraId="327D599B"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2262AC4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Audience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E778E6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Information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B9F269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Method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3983D8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Frequency</w:t>
            </w:r>
          </w:p>
        </w:tc>
      </w:tr>
      <w:tr w:rsidR="00833C5C" w:rsidRPr="00833C5C" w14:paraId="30C9C222"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0DE3690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Sponsor</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83FE8B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Progress, expenditure and risks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6D055E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Review meeting and dashboard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17D58F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w:t>
            </w:r>
          </w:p>
        </w:tc>
      </w:tr>
      <w:tr w:rsidR="00833C5C" w:rsidRPr="00833C5C" w14:paraId="1CCE2918"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47296F1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Salon staff</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B98806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Changes, training and feedback</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4483CE1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Team briefing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F85D87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Fortnightly</w:t>
            </w:r>
          </w:p>
        </w:tc>
      </w:tr>
      <w:tr w:rsidR="00833C5C" w:rsidRPr="00833C5C" w14:paraId="2FEC6725"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2C0B4BB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Supplier</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4864AF0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Requirements and defects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99C846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Implementation meeting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491295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 during configuration</w:t>
            </w:r>
          </w:p>
        </w:tc>
      </w:tr>
      <w:tr w:rsidR="00833C5C" w:rsidRPr="00833C5C" w14:paraId="0F61CA63"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1B3DBD2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Clients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A8F2CC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Booking changes and benefits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1B6C34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Email, SMS or social media</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B6EA94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Before pilot and go-live</w:t>
            </w:r>
          </w:p>
        </w:tc>
      </w:tr>
      <w:tr w:rsidR="00833C5C" w:rsidRPr="00833C5C" w14:paraId="281F1A9B"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359E028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Project team</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9D377E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Actions and dependencies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0AB3BE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Short project meeting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4269B4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w:t>
            </w:r>
          </w:p>
        </w:tc>
      </w:tr>
    </w:tbl>
    <w:p w14:paraId="4C4C67C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RACI matrix will define who is Responsible, Accountable, Consulted and Informed. Each major activity should have one accountable owner. Assigning responsibility without sufficient time or authority would create only apparent accountability.</w:t>
      </w:r>
    </w:p>
    <w:p w14:paraId="2A3705D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RACI provides useful role clarity, particularly where the salon owner, employees and supplier share responsibility. Its limitation is that formal allocation does not guarantee engagement or competence. At Maples, responsibility must therefore be supported by communication, adequate time and appropriate authority.</w:t>
      </w:r>
    </w:p>
    <w:p w14:paraId="1BE868FE" w14:textId="77777777" w:rsidR="00833C5C" w:rsidRPr="00833C5C" w:rsidRDefault="00833C5C" w:rsidP="00833C5C">
      <w:pPr>
        <w:spacing w:line="276" w:lineRule="auto"/>
        <w:rPr>
          <w:rFonts w:ascii="Aptos" w:eastAsia="Aptos" w:hAnsi="Aptos" w:cs="Times New Roman"/>
        </w:rPr>
      </w:pPr>
    </w:p>
    <w:tbl>
      <w:tblPr>
        <w:tblW w:w="23256" w:type="dxa"/>
        <w:tblInd w:w="-1445"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256"/>
      </w:tblGrid>
      <w:tr w:rsidR="00833C5C" w:rsidRPr="00833C5C" w14:paraId="20126548" w14:textId="77777777">
        <w:tc>
          <w:tcPr>
            <w:tcW w:w="23256" w:type="dxa"/>
            <w:tcBorders>
              <w:top w:val="single" w:sz="4" w:space="0" w:color="000000"/>
              <w:left w:val="single" w:sz="4" w:space="0" w:color="000000"/>
              <w:bottom w:val="single" w:sz="4" w:space="0" w:color="000000"/>
              <w:right w:val="single" w:sz="4" w:space="0" w:color="000000"/>
            </w:tcBorders>
            <w:vAlign w:val="center"/>
            <w:hideMark/>
          </w:tcPr>
          <w:p w14:paraId="3E10A839" w14:textId="67263292"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2D3EE64E" wp14:editId="33A8A09B">
                  <wp:extent cx="5731510" cy="3820795"/>
                  <wp:effectExtent l="0" t="0" r="2540" b="8255"/>
                  <wp:docPr id="20223507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tc>
      </w:tr>
    </w:tbl>
    <w:p w14:paraId="7CC43513" w14:textId="77777777" w:rsidR="00833C5C" w:rsidRPr="00833C5C" w:rsidRDefault="00833C5C" w:rsidP="00833C5C">
      <w:pPr>
        <w:spacing w:line="276" w:lineRule="auto"/>
        <w:rPr>
          <w:rFonts w:ascii="Aptos" w:eastAsia="Aptos" w:hAnsi="Aptos" w:cs="Times New Roman"/>
          <w:i/>
          <w:iCs/>
        </w:rPr>
      </w:pPr>
      <w:r w:rsidRPr="00833C5C">
        <w:rPr>
          <w:rFonts w:ascii="Aptos" w:eastAsia="Aptos" w:hAnsi="Aptos" w:cs="Times New Roman"/>
          <w:i/>
          <w:iCs/>
        </w:rPr>
        <w:t>Note. Created by the author and adapted from PMI (2021).</w:t>
      </w:r>
    </w:p>
    <w:p w14:paraId="0E350368" w14:textId="77777777" w:rsidR="00833C5C" w:rsidRPr="00833C5C" w:rsidRDefault="00833C5C" w:rsidP="00833C5C">
      <w:pPr>
        <w:spacing w:line="276" w:lineRule="auto"/>
        <w:rPr>
          <w:rFonts w:ascii="Aptos" w:eastAsia="Aptos" w:hAnsi="Aptos" w:cs="Times New Roman"/>
        </w:rPr>
      </w:pPr>
    </w:p>
    <w:p w14:paraId="22D056A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8. Risk, Data Protection and Health and Safety</w:t>
      </w:r>
    </w:p>
    <w:p w14:paraId="2D99A63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Risk is uncertainty that may affect objectives positively or negatively (International Organisation for Standardisation [ISO], 2018; PMI, 2021). Risks should have named owners, consistent scores and regular review. Significant threats include data-migration errors, resistance, disruption, cybersecurity incidents, supplier delays and cost escalation. Opportunities should also be recognised, including improved customer segmentation and more realistic service durations.</w:t>
      </w:r>
    </w:p>
    <w:p w14:paraId="7A89E8B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Customer records may contain contact information, colour formulas, allergies, contraindications and treatment histories. Under the UK GDPR, this information must be processed lawfully, fairly, transparently and securely (Data Protection Act 2018; Information Commissioner’s Office, 2024).</w:t>
      </w:r>
    </w:p>
    <w:p w14:paraId="17B092F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Maples should:</w:t>
      </w:r>
    </w:p>
    <w:p w14:paraId="6C01C35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Identify and document its lawful basis</w:t>
      </w:r>
    </w:p>
    <w:p w14:paraId="1AB0161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Provide an updated privacy notice</w:t>
      </w:r>
    </w:p>
    <w:p w14:paraId="704BFB1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Restrict access according to job roles</w:t>
      </w:r>
    </w:p>
    <w:p w14:paraId="2DEBBA6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Use secure passwords and multi-factor authentication</w:t>
      </w:r>
    </w:p>
    <w:p w14:paraId="475AEBB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Maintain backups</w:t>
      </w:r>
    </w:p>
    <w:p w14:paraId="0612A83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Test migrated records</w:t>
      </w:r>
    </w:p>
    <w:p w14:paraId="14CB6DA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Review supplier data-processing terms</w:t>
      </w:r>
    </w:p>
    <w:p w14:paraId="5B3A007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Using a software supplier does not transfer accountability away from Maples.</w:t>
      </w:r>
    </w:p>
    <w:p w14:paraId="5B31F2C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Health and safety also require attention. Training should consider screen position, seating, breaks and accessibility. Equipment must be installed safely, cables must not create hazards, and manual handling must be appropriate. These controls support the Health and Safety at Work etc. Act 1974 and display-screen guidance (Health &amp; Safety Executive, 2024). Accurate allergy and contraindication records also contribute directly to client safety.</w:t>
      </w:r>
    </w:p>
    <w:p w14:paraId="263AE88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5</w:t>
      </w:r>
    </w:p>
    <w:p w14:paraId="3CF733A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Priority Risk Register</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269"/>
        <w:gridCol w:w="2248"/>
        <w:gridCol w:w="2215"/>
        <w:gridCol w:w="2284"/>
      </w:tblGrid>
      <w:tr w:rsidR="00833C5C" w:rsidRPr="00833C5C" w14:paraId="5CC1959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728622E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Risk</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EF5D47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Likelihood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7E44C9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Impact</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C5A3C2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Response</w:t>
            </w:r>
          </w:p>
        </w:tc>
      </w:tr>
      <w:tr w:rsidR="00833C5C" w:rsidRPr="00833C5C" w14:paraId="78D23471"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099435A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Staff resistance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5DABD7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3A3D68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4</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F6AA1E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Co-design, training and pilot feedback</w:t>
            </w:r>
          </w:p>
        </w:tc>
      </w:tr>
      <w:tr w:rsidR="00833C5C" w:rsidRPr="00833C5C" w14:paraId="68E02B1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3332DA3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Inaccurate migration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40EA8A4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0C6DFB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5</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88246B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Backup, staged transfer and testing</w:t>
            </w:r>
          </w:p>
        </w:tc>
      </w:tr>
      <w:tr w:rsidR="00833C5C" w:rsidRPr="00833C5C" w14:paraId="44297D20"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7AE19DF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Data breach</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C75142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293ABE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5</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637C26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Multi-factor authentication and controlled access</w:t>
            </w:r>
          </w:p>
        </w:tc>
      </w:tr>
      <w:tr w:rsidR="00833C5C" w:rsidRPr="00833C5C" w14:paraId="666190AD"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06B205B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Appointment disruption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6916C0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43EA5E1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4</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128D43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Staggered training during quieter periods</w:t>
            </w:r>
          </w:p>
        </w:tc>
      </w:tr>
      <w:tr w:rsidR="00833C5C" w:rsidRPr="00833C5C" w14:paraId="3F8E9929"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47F8291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Supplier delay</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64E4FC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5580E2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4</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E243EE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Milestones and contingency dates</w:t>
            </w:r>
          </w:p>
        </w:tc>
      </w:tr>
      <w:tr w:rsidR="00833C5C" w:rsidRPr="00833C5C" w14:paraId="428065A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5C9680E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Cost overrun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14DCE56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95A84E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4</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0AA5B6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Change control and sponsor approval</w:t>
            </w:r>
          </w:p>
        </w:tc>
      </w:tr>
    </w:tbl>
    <w:p w14:paraId="52C81068" w14:textId="77777777" w:rsidR="00833C5C" w:rsidRPr="00833C5C" w:rsidRDefault="00833C5C" w:rsidP="00833C5C">
      <w:pPr>
        <w:spacing w:line="276" w:lineRule="auto"/>
        <w:rPr>
          <w:rFonts w:ascii="Aptos" w:eastAsia="Aptos" w:hAnsi="Aptos" w:cs="Times New Roman"/>
          <w:b/>
          <w:bCs/>
        </w:rPr>
      </w:pPr>
    </w:p>
    <w:p w14:paraId="602A38BA" w14:textId="77777777" w:rsidR="00833C5C" w:rsidRPr="00833C5C" w:rsidRDefault="00833C5C" w:rsidP="00833C5C">
      <w:pPr>
        <w:spacing w:line="276" w:lineRule="auto"/>
        <w:rPr>
          <w:rFonts w:ascii="Aptos" w:eastAsia="Aptos" w:hAnsi="Aptos" w:cs="Times New Roman"/>
        </w:rPr>
      </w:pPr>
    </w:p>
    <w:p w14:paraId="4ECF145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risk matrix enables Maples to prioritise threats using a simple and accessible scoring system. However, likelihood and impact scores remain partly subjective and may create false precision. Regular review and discussion are therefore more important than the numerical score alone.</w:t>
      </w:r>
    </w:p>
    <w:tbl>
      <w:tblPr>
        <w:tblpPr w:leftFromText="180" w:rightFromText="180" w:bottomFromText="160" w:vertAnchor="page" w:horzAnchor="page" w:tblpX="581" w:tblpY="1257"/>
        <w:tblW w:w="9016"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16"/>
      </w:tblGrid>
      <w:tr w:rsidR="00833C5C" w:rsidRPr="00833C5C" w14:paraId="6D54DF0C" w14:textId="77777777">
        <w:tc>
          <w:tcPr>
            <w:tcW w:w="9016" w:type="dxa"/>
            <w:tcBorders>
              <w:top w:val="single" w:sz="4" w:space="0" w:color="000000"/>
              <w:left w:val="single" w:sz="4" w:space="0" w:color="000000"/>
              <w:bottom w:val="single" w:sz="4" w:space="0" w:color="000000"/>
              <w:right w:val="single" w:sz="4" w:space="0" w:color="000000"/>
            </w:tcBorders>
            <w:vAlign w:val="center"/>
            <w:hideMark/>
          </w:tcPr>
          <w:p w14:paraId="794BD5C5" w14:textId="01B680A0"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drawing>
                <wp:inline distT="0" distB="0" distL="0" distR="0" wp14:anchorId="61160A03" wp14:editId="2A14F98E">
                  <wp:extent cx="5731510" cy="6931025"/>
                  <wp:effectExtent l="0" t="0" r="2540" b="3175"/>
                  <wp:docPr id="16797618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931025"/>
                          </a:xfrm>
                          <a:prstGeom prst="rect">
                            <a:avLst/>
                          </a:prstGeom>
                          <a:noFill/>
                          <a:ln>
                            <a:noFill/>
                          </a:ln>
                        </pic:spPr>
                      </pic:pic>
                    </a:graphicData>
                  </a:graphic>
                </wp:inline>
              </w:drawing>
            </w:r>
          </w:p>
        </w:tc>
      </w:tr>
    </w:tbl>
    <w:p w14:paraId="6BFDD28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ISO (2018) and PMI (2021).</w:t>
      </w:r>
    </w:p>
    <w:p w14:paraId="038393E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9. Execution, Monitoring and Control</w:t>
      </w:r>
    </w:p>
    <w:p w14:paraId="69CD408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Execution includes system configuration, data cleansing, form development, testing and training. A small group of employees should test representative hair and beauty services before the pilot.</w:t>
      </w:r>
    </w:p>
    <w:p w14:paraId="02309B4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User Acceptance Testing should confirm that:</w:t>
      </w:r>
    </w:p>
    <w:p w14:paraId="1DC2141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Customer records are accurate</w:t>
      </w:r>
    </w:p>
    <w:p w14:paraId="398A792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Appointment durations reflect practice</w:t>
      </w:r>
    </w:p>
    <w:p w14:paraId="105684C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User permissions are appropriate</w:t>
      </w:r>
    </w:p>
    <w:p w14:paraId="6230248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Safety information is visible</w:t>
      </w:r>
    </w:p>
    <w:p w14:paraId="6BF51F6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process does not undermine the client conversation</w:t>
      </w:r>
    </w:p>
    <w:p w14:paraId="35C2E1F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Monitoring compares actual performance with the approved baseline. Schedule performance, expenditure, open defects, training completion and migration accuracy measure delivery. Appointment overruns, waiting time, consultation completion, customer satisfaction and repeat booking measure benefits. Delivering the system on time would not constitute success if the original problems continued.</w:t>
      </w:r>
    </w:p>
    <w:p w14:paraId="1063FDC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6</w:t>
      </w:r>
    </w:p>
    <w:p w14:paraId="670B797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Monitoring and Benefits Dashboard</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3010"/>
        <w:gridCol w:w="3011"/>
        <w:gridCol w:w="2995"/>
      </w:tblGrid>
      <w:tr w:rsidR="00833C5C" w:rsidRPr="00833C5C" w14:paraId="41334E4C"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3E405AB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Measure</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5E61CE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Target</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27F01A7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Frequency</w:t>
            </w:r>
          </w:p>
        </w:tc>
      </w:tr>
      <w:tr w:rsidR="00833C5C" w:rsidRPr="00833C5C" w14:paraId="5B130368"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684F8D0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Milestones completed on time</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EE13F9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At least 90%</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3250A69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w:t>
            </w:r>
          </w:p>
        </w:tc>
      </w:tr>
      <w:tr w:rsidR="00833C5C" w:rsidRPr="00833C5C" w14:paraId="6433AB87"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03769AD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Migration accuracy</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781F708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At least 99% verified</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692C513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Each migration test</w:t>
            </w:r>
          </w:p>
        </w:tc>
      </w:tr>
      <w:tr w:rsidR="00833C5C" w:rsidRPr="00833C5C" w14:paraId="2DDD820F"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2D48350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Staff training</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62654D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100% before go-live</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79157A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w:t>
            </w:r>
          </w:p>
        </w:tc>
      </w:tr>
      <w:tr w:rsidR="00833C5C" w:rsidRPr="00833C5C" w14:paraId="61CA4ECA"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25D336B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Appointment overruns</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32E7E0D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30% reduction</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04A8FBA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Monthly</w:t>
            </w:r>
          </w:p>
        </w:tc>
      </w:tr>
      <w:tr w:rsidR="00833C5C" w:rsidRPr="00833C5C" w14:paraId="73A57CC5"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293D8C8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Waiting time</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3944D52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25% reduction</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20B24FA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Monthly</w:t>
            </w:r>
          </w:p>
        </w:tc>
      </w:tr>
      <w:tr w:rsidR="00833C5C" w:rsidRPr="00833C5C" w14:paraId="7D3F48F2"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2EB094F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Consultation completion</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7509ED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100% where required</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7AE9FA9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Weekly, then monthly</w:t>
            </w:r>
          </w:p>
        </w:tc>
      </w:tr>
      <w:tr w:rsidR="00833C5C" w:rsidRPr="00833C5C" w14:paraId="1E491389"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7FDE60E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Repeat booking</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1137600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15% improvement</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146C6AC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Monthly</w:t>
            </w:r>
          </w:p>
        </w:tc>
      </w:tr>
      <w:tr w:rsidR="00833C5C" w:rsidRPr="00833C5C" w14:paraId="1FDDBE35" w14:textId="77777777">
        <w:tc>
          <w:tcPr>
            <w:tcW w:w="3120" w:type="dxa"/>
            <w:tcBorders>
              <w:top w:val="single" w:sz="4" w:space="0" w:color="000000"/>
              <w:left w:val="single" w:sz="4" w:space="0" w:color="000000"/>
              <w:bottom w:val="single" w:sz="4" w:space="0" w:color="000000"/>
              <w:right w:val="single" w:sz="4" w:space="0" w:color="000000"/>
            </w:tcBorders>
            <w:vAlign w:val="center"/>
            <w:hideMark/>
          </w:tcPr>
          <w:p w14:paraId="747F2DE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Customer rating</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4E12086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At least 4.8 out of 5</w:t>
            </w:r>
          </w:p>
        </w:tc>
        <w:tc>
          <w:tcPr>
            <w:tcW w:w="3120" w:type="dxa"/>
            <w:tcBorders>
              <w:top w:val="single" w:sz="4" w:space="0" w:color="000000"/>
              <w:left w:val="single" w:sz="4" w:space="0" w:color="000000"/>
              <w:bottom w:val="single" w:sz="4" w:space="0" w:color="000000"/>
              <w:right w:val="single" w:sz="4" w:space="0" w:color="000000"/>
            </w:tcBorders>
            <w:vAlign w:val="center"/>
            <w:hideMark/>
          </w:tcPr>
          <w:p w14:paraId="24D87A6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Monthly</w:t>
            </w:r>
          </w:p>
        </w:tc>
      </w:tr>
    </w:tbl>
    <w:p w14:paraId="18D6AE7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project manager could approve minor configuration changes within scope. Changes affecting cost, completion date, compliance or major deliverables require sponsor approval.</w:t>
      </w:r>
    </w:p>
    <w:p w14:paraId="7EF0532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Quality can be managed through Plan-Do-Check-Act: plan the improvement, test it, evaluate evidence and then standardise or revise it (Deming, 1986). Juran (1988) similarly distinguishes between quality planning, control and improvement.</w:t>
      </w:r>
    </w:p>
    <w:p w14:paraId="64B2573B" w14:textId="77777777" w:rsidR="00833C5C" w:rsidRPr="00833C5C" w:rsidRDefault="00833C5C" w:rsidP="00833C5C">
      <w:pPr>
        <w:spacing w:line="276" w:lineRule="auto"/>
        <w:rPr>
          <w:rFonts w:ascii="Aptos" w:eastAsia="Aptos" w:hAnsi="Aptos" w:cs="Times New Roman"/>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16"/>
      </w:tblGrid>
      <w:tr w:rsidR="00833C5C" w:rsidRPr="00833C5C" w14:paraId="4E93DEB0" w14:textId="77777777">
        <w:tc>
          <w:tcPr>
            <w:tcW w:w="9360" w:type="dxa"/>
            <w:tcBorders>
              <w:top w:val="single" w:sz="4" w:space="0" w:color="000000"/>
              <w:left w:val="single" w:sz="4" w:space="0" w:color="000000"/>
              <w:bottom w:val="single" w:sz="4" w:space="0" w:color="000000"/>
              <w:right w:val="single" w:sz="4" w:space="0" w:color="000000"/>
            </w:tcBorders>
            <w:vAlign w:val="center"/>
            <w:hideMark/>
          </w:tcPr>
          <w:p w14:paraId="28C95378" w14:textId="7BF76D3D"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drawing>
                <wp:inline distT="0" distB="0" distL="0" distR="0" wp14:anchorId="258B0077" wp14:editId="0FC10C09">
                  <wp:extent cx="5441950" cy="5791200"/>
                  <wp:effectExtent l="0" t="0" r="6350" b="0"/>
                  <wp:docPr id="8408177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1950" cy="5791200"/>
                          </a:xfrm>
                          <a:prstGeom prst="rect">
                            <a:avLst/>
                          </a:prstGeom>
                          <a:noFill/>
                          <a:ln>
                            <a:noFill/>
                          </a:ln>
                        </pic:spPr>
                      </pic:pic>
                    </a:graphicData>
                  </a:graphic>
                </wp:inline>
              </w:drawing>
            </w:r>
          </w:p>
        </w:tc>
      </w:tr>
    </w:tbl>
    <w:p w14:paraId="19D2D35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Deming (1986).</w:t>
      </w:r>
    </w:p>
    <w:p w14:paraId="48027C6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10. Project Closure and Benefits Realisation</w:t>
      </w:r>
    </w:p>
    <w:p w14:paraId="226C814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Closure should occur only when deliverables satisfy the acceptance criteria and the operational team is ready to assume responsibility. Activities include final acceptance, financial reconciliation, documentation, access review, lessons learned, stakeholder feedback and handover.</w:t>
      </w:r>
    </w:p>
    <w:p w14:paraId="37A810D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Closing too early may leave unresolved defects, while leaving the project open indefinitely weakens accountability. The sponsor should approve a closure report recording delivered outcomes, approved exceptions and outstanding actions.</w:t>
      </w:r>
    </w:p>
    <w:p w14:paraId="459A69E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Benefits may emerge after the project team has disbanded. The salon owner should therefore review performance after one, three and six months. If waiting time improves </w:t>
      </w:r>
      <w:r w:rsidRPr="00833C5C">
        <w:rPr>
          <w:rFonts w:ascii="Aptos" w:eastAsia="Aptos" w:hAnsi="Aptos" w:cs="Times New Roman"/>
        </w:rPr>
        <w:lastRenderedPageBreak/>
        <w:t>but satisfaction does not, Maples should investigate consultation and communication rather than automatically blaming the system. If repeat bookings increase but workloads become unsustainable, capacity and appointment durations should be reconsidered.</w:t>
      </w:r>
    </w:p>
    <w:p w14:paraId="4FDDE1C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Lessons learned should record both positive and uncomfortable evidence so future projects benefit from experience (Turner, 2022).</w:t>
      </w:r>
    </w:p>
    <w:p w14:paraId="0E2AF90B" w14:textId="77777777" w:rsidR="00833C5C" w:rsidRPr="00833C5C" w:rsidRDefault="00833C5C" w:rsidP="00833C5C">
      <w:pPr>
        <w:spacing w:line="276" w:lineRule="auto"/>
        <w:rPr>
          <w:rFonts w:ascii="Aptos" w:eastAsia="Aptos" w:hAnsi="Aptos" w:cs="Times New Roman"/>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9016"/>
      </w:tblGrid>
      <w:tr w:rsidR="00833C5C" w:rsidRPr="00833C5C" w14:paraId="316B6623" w14:textId="77777777">
        <w:tc>
          <w:tcPr>
            <w:tcW w:w="9360" w:type="dxa"/>
            <w:tcBorders>
              <w:top w:val="single" w:sz="4" w:space="0" w:color="000000"/>
              <w:left w:val="single" w:sz="4" w:space="0" w:color="000000"/>
              <w:bottom w:val="single" w:sz="4" w:space="0" w:color="000000"/>
              <w:right w:val="single" w:sz="4" w:space="0" w:color="000000"/>
            </w:tcBorders>
            <w:vAlign w:val="center"/>
            <w:hideMark/>
          </w:tcPr>
          <w:p w14:paraId="21A0D07F" w14:textId="1FB3389F"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drawing>
                <wp:inline distT="0" distB="0" distL="0" distR="0" wp14:anchorId="609D93DE" wp14:editId="0366F435">
                  <wp:extent cx="5731510" cy="3820795"/>
                  <wp:effectExtent l="0" t="0" r="2540" b="8255"/>
                  <wp:docPr id="21008773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tc>
      </w:tr>
    </w:tbl>
    <w:p w14:paraId="003A29E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Note. Created by the author and adapted from PMI (2021) and Turner (2022).</w:t>
      </w:r>
    </w:p>
    <w:p w14:paraId="5267417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11. Project Manager Attributes</w:t>
      </w:r>
    </w:p>
    <w:p w14:paraId="5E46457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project manager requires technical knowledge and interpersonal capability. Emotional intelligence supports empathy, self-awareness and constructive responses to resistance (Goleman, 1998). Clear communication is necessary when translating between technical suppliers and salon employees. Ethical judgement is also required because customer and employee information must be handled appropriately.</w:t>
      </w:r>
    </w:p>
    <w:p w14:paraId="48E313E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Planning, decision-making and problem-solving help the manager distinguish between urgent defects and desirable improvements, protect the critical path and escalate decisions when tolerances are threatened.</w:t>
      </w:r>
    </w:p>
    <w:p w14:paraId="4A7EAD6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Belbin (2010) highlights the value of complementary team contributions. Detail-focused employees may assist with data testing, confident communicators may support </w:t>
      </w:r>
      <w:r w:rsidRPr="00833C5C">
        <w:rPr>
          <w:rFonts w:ascii="Aptos" w:eastAsia="Aptos" w:hAnsi="Aptos" w:cs="Times New Roman"/>
        </w:rPr>
        <w:lastRenderedPageBreak/>
        <w:t>training, and experienced stylists may define realistic service durations. Tuckman (1965) also suggests that early disagreement is not necessarily a sign of project failure; if managed properly, it can improve decisions.</w:t>
      </w:r>
    </w:p>
    <w:p w14:paraId="78CF1C4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For Maples, credibility will depend on combining project discipline with salon knowledge. A plan that ignores peak demand or colour-processing requirements will lose staff confidence. However, relying only on experience may leave risks and decisions undocumented.</w:t>
      </w:r>
    </w:p>
    <w:p w14:paraId="3C7C19F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12. Self-Audit and Personal Development Plan</w:t>
      </w:r>
    </w:p>
    <w:p w14:paraId="7FFE159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My salon experience gives me a strong understanding of customer expectations, appointment pressures, and personalised service. I am organised, attentive to detail and confident communicating with clients and colleagues. These strengths would help me identify practical issues a technical supplier might overlook.</w:t>
      </w:r>
    </w:p>
    <w:p w14:paraId="518F266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However, familiarity may also create assumptions. I must test my judgement against evidence and actively seek staff perspectives. My principal development areas are formal scheduling, financial forecasting, digital risk and delegation. Although I understand project principles, I require more experience with network diagrams, variance analysis and technical supplier discussions.</w:t>
      </w:r>
    </w:p>
    <w:p w14:paraId="7BC15AF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 can become personally involved when quality is important, which may cause me to retain tasks that should be delegated. Reflective practice should therefore produce observable behavioural change rather than a general intention to improve (Schön, 1983).</w:t>
      </w:r>
    </w:p>
    <w:p w14:paraId="43CC9BB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Overall, my operational knowledge of the salon would be an advantage because I understand customer expectations, treatment timings and staff pressures. However, this familiarity could also create overconfidence and confirmation bias, particularly if I assume employees share my interpretation of a problem. Effective project management would therefore require me to separate my roles as salon practitioner and project manager, use evidence when making decisions and actively invite challenge from other stakeholders.</w:t>
      </w:r>
    </w:p>
    <w:p w14:paraId="1B7F770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Table 7</w:t>
      </w:r>
    </w:p>
    <w:p w14:paraId="040536E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i/>
          <w:iCs/>
        </w:rPr>
        <w:t>Personal Development Plan</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238"/>
        <w:gridCol w:w="2265"/>
        <w:gridCol w:w="2276"/>
        <w:gridCol w:w="2237"/>
      </w:tblGrid>
      <w:tr w:rsidR="00833C5C" w:rsidRPr="00833C5C" w14:paraId="4043EE5A"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571932E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Objective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CC3D8E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Action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066281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Measure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A1B9C3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Timescale</w:t>
            </w:r>
          </w:p>
        </w:tc>
      </w:tr>
      <w:tr w:rsidR="00833C5C" w:rsidRPr="00833C5C" w14:paraId="062264D2"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091BBFC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Strengthen project knowledge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899CB6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Complete recognised project-management training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F1DF80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Qualification or certificate completed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BC0FFC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Six months</w:t>
            </w:r>
          </w:p>
        </w:tc>
      </w:tr>
      <w:tr w:rsidR="00833C5C" w:rsidRPr="00833C5C" w14:paraId="72162CA3"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70827DB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Improve scheduling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91EB75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Produce two practice Gantt and CPA schedules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A6D66C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Dependencies and critical path verified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220D44D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Three months</w:t>
            </w:r>
          </w:p>
        </w:tc>
      </w:tr>
      <w:tr w:rsidR="00833C5C" w:rsidRPr="00833C5C" w14:paraId="1100338B"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57BB6F2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Develop digital-risk knowledge</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4CA5559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Complete GDPR and cybersecurity training</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DD12A7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Due-diligence checklist used</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C57024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Four months</w:t>
            </w:r>
          </w:p>
        </w:tc>
      </w:tr>
      <w:tr w:rsidR="00833C5C" w:rsidRPr="00833C5C" w14:paraId="4799D92D"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4FC620BB"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Improve delegation</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7EE2797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Apply RACI and review outcomes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515B2B7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Reduced unnecessary reassignment</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19F4EA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Quarterly</w:t>
            </w:r>
          </w:p>
        </w:tc>
      </w:tr>
      <w:tr w:rsidR="00833C5C" w:rsidRPr="00833C5C" w14:paraId="33D04964" w14:textId="77777777">
        <w:tc>
          <w:tcPr>
            <w:tcW w:w="2340" w:type="dxa"/>
            <w:tcBorders>
              <w:top w:val="single" w:sz="4" w:space="0" w:color="000000"/>
              <w:left w:val="single" w:sz="4" w:space="0" w:color="000000"/>
              <w:bottom w:val="single" w:sz="4" w:space="0" w:color="000000"/>
              <w:right w:val="single" w:sz="4" w:space="0" w:color="000000"/>
            </w:tcBorders>
            <w:vAlign w:val="center"/>
            <w:hideMark/>
          </w:tcPr>
          <w:p w14:paraId="742D722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Build reflective leadership</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0E80539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Maintain a learning log and seek feedback</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6C13045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Six documented reflections</w:t>
            </w:r>
          </w:p>
        </w:tc>
        <w:tc>
          <w:tcPr>
            <w:tcW w:w="2340" w:type="dxa"/>
            <w:tcBorders>
              <w:top w:val="single" w:sz="4" w:space="0" w:color="000000"/>
              <w:left w:val="single" w:sz="4" w:space="0" w:color="000000"/>
              <w:bottom w:val="single" w:sz="4" w:space="0" w:color="000000"/>
              <w:right w:val="single" w:sz="4" w:space="0" w:color="000000"/>
            </w:tcBorders>
            <w:vAlign w:val="center"/>
            <w:hideMark/>
          </w:tcPr>
          <w:p w14:paraId="309A8AE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Six months</w:t>
            </w:r>
          </w:p>
        </w:tc>
      </w:tr>
    </w:tbl>
    <w:p w14:paraId="589C4A0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t>13. Conclusion</w:t>
      </w:r>
    </w:p>
    <w:p w14:paraId="7ED00FE8"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proposed project provides Maples Hair &amp; Beauty Salon with a practical way to improve appointment reliability, customer records and follow-up communication without sacrificing personalised service. The analysis demonstrates that technology alone will not solve the problem. Benefits depend on accurate data, realistic appointment durations, staff participation and appropriate training.</w:t>
      </w:r>
    </w:p>
    <w:p w14:paraId="0EFF27A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A tailored hybrid approach is recommended. Waterfall provides the six-month sequence, PRINCE2 supports governance, PMBOK contributes adaptable management practices, and Agile feedback supports learning during testing.</w:t>
      </w:r>
    </w:p>
    <w:p w14:paraId="6DA1DD0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The WBS, Gantt chart, critical path, communication plan, RACI matrix, risk register and performance dashboard each support different decisions. Their value is in improving accountability and control rather than producing unnecessary paperwork.</w:t>
      </w:r>
    </w:p>
    <w:p w14:paraId="75A8624D"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Overall, the analysis demonstrates that no individual project-management tool is sufficient in isolation; effectiveness depends on selecting and tailoring complementary techniques to Maples' scale, risk, and organisational context.</w:t>
      </w:r>
    </w:p>
    <w:p w14:paraId="57D0166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Success should be judged both by delivery of an accepted system and by whether that system reduces overruns, waiting and fragmented records while improving customer relationships. Formal closure, post-implementation reviews and continued PDCA cycles will help Maples maintain progress. With proportionate governance and empathetic leadership, the project can strengthen operational performance and support sustainable salon growth.</w:t>
      </w:r>
    </w:p>
    <w:p w14:paraId="64F7BBE3" w14:textId="77777777" w:rsidR="00833C5C" w:rsidRPr="00833C5C" w:rsidRDefault="00833C5C" w:rsidP="00833C5C">
      <w:pPr>
        <w:spacing w:line="276" w:lineRule="auto"/>
        <w:rPr>
          <w:rFonts w:ascii="Aptos" w:eastAsia="Aptos" w:hAnsi="Aptos" w:cs="Times New Roman"/>
        </w:rPr>
      </w:pPr>
    </w:p>
    <w:p w14:paraId="0EEFF133" w14:textId="77777777" w:rsidR="00833C5C" w:rsidRPr="00833C5C" w:rsidRDefault="00833C5C" w:rsidP="00833C5C">
      <w:pPr>
        <w:spacing w:line="276" w:lineRule="auto"/>
        <w:rPr>
          <w:rFonts w:ascii="Aptos" w:eastAsia="Aptos" w:hAnsi="Aptos" w:cs="Times New Roman"/>
        </w:rPr>
      </w:pPr>
    </w:p>
    <w:p w14:paraId="2604DD1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b/>
          <w:bCs/>
        </w:rPr>
        <w:lastRenderedPageBreak/>
        <w:t>References</w:t>
      </w:r>
    </w:p>
    <w:p w14:paraId="23A176B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AXELOS (2023) Managing successful projects with PRINCE2®. 7th </w:t>
      </w:r>
      <w:proofErr w:type="spellStart"/>
      <w:r w:rsidRPr="00833C5C">
        <w:rPr>
          <w:rFonts w:ascii="Aptos" w:eastAsia="Aptos" w:hAnsi="Aptos" w:cs="Times New Roman"/>
        </w:rPr>
        <w:t>edn</w:t>
      </w:r>
      <w:proofErr w:type="spellEnd"/>
      <w:r w:rsidRPr="00833C5C">
        <w:rPr>
          <w:rFonts w:ascii="Aptos" w:eastAsia="Aptos" w:hAnsi="Aptos" w:cs="Times New Roman"/>
        </w:rPr>
        <w:t>. London: The Stationery Office.</w:t>
      </w:r>
    </w:p>
    <w:p w14:paraId="04553F4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Beck, K., Beedle, M., van </w:t>
      </w:r>
      <w:proofErr w:type="spellStart"/>
      <w:r w:rsidRPr="00833C5C">
        <w:rPr>
          <w:rFonts w:ascii="Aptos" w:eastAsia="Aptos" w:hAnsi="Aptos" w:cs="Times New Roman"/>
        </w:rPr>
        <w:t>Bennekum</w:t>
      </w:r>
      <w:proofErr w:type="spellEnd"/>
      <w:r w:rsidRPr="00833C5C">
        <w:rPr>
          <w:rFonts w:ascii="Aptos" w:eastAsia="Aptos" w:hAnsi="Aptos" w:cs="Times New Roman"/>
        </w:rPr>
        <w:t xml:space="preserve">, A., Cockburn, A., Cunningham, W., Fowler, M., </w:t>
      </w:r>
      <w:proofErr w:type="spellStart"/>
      <w:r w:rsidRPr="00833C5C">
        <w:rPr>
          <w:rFonts w:ascii="Aptos" w:eastAsia="Aptos" w:hAnsi="Aptos" w:cs="Times New Roman"/>
        </w:rPr>
        <w:t>Grenning</w:t>
      </w:r>
      <w:proofErr w:type="spellEnd"/>
      <w:r w:rsidRPr="00833C5C">
        <w:rPr>
          <w:rFonts w:ascii="Aptos" w:eastAsia="Aptos" w:hAnsi="Aptos" w:cs="Times New Roman"/>
        </w:rPr>
        <w:t>, J., Highsmith, J., Hunt, A., Jeffries, R., Kern, J., Marick, B., Martin, R. C., Mellor, S., Schwaber, K., Sutherland, J., &amp; Thomas, D (2001). Manifesto for Agile software development. Agile Alliance.</w:t>
      </w:r>
    </w:p>
    <w:p w14:paraId="5568472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Belbin, R.M. (2010). Team roles at work. 2nd </w:t>
      </w:r>
      <w:proofErr w:type="spellStart"/>
      <w:r w:rsidRPr="00833C5C">
        <w:rPr>
          <w:rFonts w:ascii="Aptos" w:eastAsia="Aptos" w:hAnsi="Aptos" w:cs="Times New Roman"/>
        </w:rPr>
        <w:t>edn</w:t>
      </w:r>
      <w:proofErr w:type="spellEnd"/>
      <w:r w:rsidRPr="00833C5C">
        <w:rPr>
          <w:rFonts w:ascii="Aptos" w:eastAsia="Aptos" w:hAnsi="Aptos" w:cs="Times New Roman"/>
        </w:rPr>
        <w:t>. London: Routledge.</w:t>
      </w:r>
    </w:p>
    <w:p w14:paraId="1C7D7E6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Chapman, C., &amp; Ward, S. (2011). How to manage project opportunity and risk (3rd ed.). Wiley.</w:t>
      </w:r>
    </w:p>
    <w:p w14:paraId="1566FED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Data Protection Act 2018, c. 12 (UK).</w:t>
      </w:r>
    </w:p>
    <w:p w14:paraId="2B4BA4F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Deming, W.E. (1986). Out of the crisis. Cambridge, MA: MIT Press.</w:t>
      </w:r>
    </w:p>
    <w:p w14:paraId="1004ABA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Freeman, R.E. (1984). Strategic management: A stakeholder approach. Boston, MA: Pitman.</w:t>
      </w:r>
    </w:p>
    <w:p w14:paraId="1E397B7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Gantt, H. L (1919). Organising for work. Harcourt, Brace and Howe.</w:t>
      </w:r>
    </w:p>
    <w:p w14:paraId="1E4313C6"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Goleman, D. (1998). Working with emotional intelligence. New York: Bantam Books.</w:t>
      </w:r>
    </w:p>
    <w:p w14:paraId="0E5A509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Health and Safety at Work etc. Act 1974, c. 37 (UK).</w:t>
      </w:r>
    </w:p>
    <w:p w14:paraId="39D2C3DE"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Health and Safety Executive (2024) Working safely with display screen equipment.</w:t>
      </w:r>
    </w:p>
    <w:p w14:paraId="65B0DDA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Hill, T., &amp; Westbrook, R (1997). SWOT analysis: It is time for a product recall. Long Range Planning, 30(1), 46–52. https://doi.org/10.1016/S0024-6301(96)00095-7</w:t>
      </w:r>
    </w:p>
    <w:p w14:paraId="4D34773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Information Commissioner’s Office (2024) A guide to the UK GDPR.</w:t>
      </w:r>
    </w:p>
    <w:p w14:paraId="70CE0BC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International Organisation for Standardisation (2018) ISO 31000:2018 risk management—Guidelines.</w:t>
      </w:r>
    </w:p>
    <w:p w14:paraId="2BA70E90"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 xml:space="preserve">Johnson, G., Whittington, R., Scholes, K., Angwin, D., &amp; </w:t>
      </w:r>
      <w:proofErr w:type="spellStart"/>
      <w:r w:rsidRPr="00833C5C">
        <w:rPr>
          <w:rFonts w:ascii="Aptos" w:eastAsia="Aptos" w:hAnsi="Aptos" w:cs="Times New Roman"/>
        </w:rPr>
        <w:t>Regnér</w:t>
      </w:r>
      <w:proofErr w:type="spellEnd"/>
      <w:r w:rsidRPr="00833C5C">
        <w:rPr>
          <w:rFonts w:ascii="Aptos" w:eastAsia="Aptos" w:hAnsi="Aptos" w:cs="Times New Roman"/>
        </w:rPr>
        <w:t>, P (2020). Exploring strategy (12th ed.). Pearson.</w:t>
      </w:r>
    </w:p>
    <w:p w14:paraId="42E67D8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Juran, J.M. (1988). Juran on planning for quality. New York: Free Press.</w:t>
      </w:r>
    </w:p>
    <w:p w14:paraId="1F6BA93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Kerzner, H (2022). Project management: A systems approach to planning, scheduling, and controlling (13th ed.). Wiley.</w:t>
      </w:r>
    </w:p>
    <w:p w14:paraId="0047B41F"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Kotter, J.P. (1996). Leading change. Boston, MA: Harvard Business School Press.</w:t>
      </w:r>
    </w:p>
    <w:p w14:paraId="59D5B684"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Lock, D. (2020). Project management (11th ed.). Routledge.</w:t>
      </w:r>
    </w:p>
    <w:p w14:paraId="76C7DB11"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Maylor, H. (2019). Project management (5th ed.). Pearson.</w:t>
      </w:r>
    </w:p>
    <w:p w14:paraId="6C2BFFBA"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lastRenderedPageBreak/>
        <w:t>Meredith, J. R., Shafer, S. M., &amp; Mantel, S. J., Jr (2022). Project management: A managerial approach (10th ed.). Wiley.</w:t>
      </w:r>
    </w:p>
    <w:p w14:paraId="6EFE79C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Project Management Institute (2021). A guide to the project management body of knowledge (PMBOK® guide) (7th ed.) and the standard for project management.</w:t>
      </w:r>
    </w:p>
    <w:p w14:paraId="3392C732"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Royce, W. W (1970). Managing the development of large software systems. Proceedings of IEEE WESCON, 26, 1–9.</w:t>
      </w:r>
    </w:p>
    <w:p w14:paraId="20F0A567"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Schön, D.A. (1983). The reflective practitioner. New York: Basic Books.</w:t>
      </w:r>
    </w:p>
    <w:p w14:paraId="4B062AE5"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Schwaber, K., &amp; Sutherland, J (2020). The Scrum Guide.</w:t>
      </w:r>
    </w:p>
    <w:p w14:paraId="46A88229"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Turner, J. R (2022). The handbook of project-based management (5th ed.). McGraw-Hill.</w:t>
      </w:r>
    </w:p>
    <w:p w14:paraId="4996391C"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Tuckman, B. W. (1965). Developmental sequence in small groups. Psychological Bulletin, 63(6), 384–399. https://doi.org/10.1037/h0022100</w:t>
      </w:r>
    </w:p>
    <w:p w14:paraId="2319B553" w14:textId="77777777" w:rsidR="00833C5C" w:rsidRPr="00833C5C" w:rsidRDefault="00833C5C" w:rsidP="00833C5C">
      <w:pPr>
        <w:spacing w:line="276" w:lineRule="auto"/>
        <w:rPr>
          <w:rFonts w:ascii="Aptos" w:eastAsia="Aptos" w:hAnsi="Aptos" w:cs="Times New Roman"/>
        </w:rPr>
      </w:pPr>
      <w:r w:rsidRPr="00833C5C">
        <w:rPr>
          <w:rFonts w:ascii="Aptos" w:eastAsia="Aptos" w:hAnsi="Aptos" w:cs="Times New Roman"/>
        </w:rPr>
        <w:t>Westland, J. (2021). The project management life cycle. Kogan Page.</w:t>
      </w:r>
    </w:p>
    <w:p w14:paraId="2C4DF5F0" w14:textId="77777777" w:rsidR="00833C5C" w:rsidRPr="00833C5C" w:rsidRDefault="00833C5C" w:rsidP="00833C5C">
      <w:pPr>
        <w:spacing w:line="276" w:lineRule="auto"/>
        <w:rPr>
          <w:rFonts w:ascii="Aptos" w:eastAsia="Aptos" w:hAnsi="Aptos" w:cs="Times New Roman"/>
        </w:rPr>
      </w:pPr>
    </w:p>
    <w:p w14:paraId="45E0C849" w14:textId="77777777" w:rsidR="00833C5C" w:rsidRPr="00833C5C" w:rsidRDefault="00833C5C" w:rsidP="00833C5C">
      <w:pPr>
        <w:spacing w:line="276" w:lineRule="auto"/>
        <w:rPr>
          <w:rFonts w:ascii="Aptos" w:eastAsia="Aptos" w:hAnsi="Aptos" w:cs="Times New Roman"/>
        </w:rPr>
      </w:pPr>
    </w:p>
    <w:p w14:paraId="5B707907" w14:textId="77777777" w:rsidR="00833C5C" w:rsidRPr="00833C5C" w:rsidRDefault="00833C5C" w:rsidP="00833C5C">
      <w:pPr>
        <w:spacing w:line="276" w:lineRule="auto"/>
        <w:rPr>
          <w:rFonts w:ascii="Aptos" w:eastAsia="Aptos" w:hAnsi="Aptos" w:cs="Times New Roman"/>
        </w:rPr>
      </w:pPr>
    </w:p>
    <w:p w14:paraId="04DFD996" w14:textId="77777777" w:rsidR="00833C5C" w:rsidRPr="00833C5C" w:rsidRDefault="00833C5C" w:rsidP="00833C5C">
      <w:pPr>
        <w:spacing w:line="276" w:lineRule="auto"/>
        <w:rPr>
          <w:rFonts w:ascii="Aptos" w:eastAsia="Aptos" w:hAnsi="Aptos" w:cs="Times New Roman"/>
        </w:rPr>
      </w:pPr>
    </w:p>
    <w:p w14:paraId="1AAB1361" w14:textId="77777777" w:rsidR="00833C5C" w:rsidRPr="00833C5C" w:rsidRDefault="00833C5C" w:rsidP="00833C5C">
      <w:pPr>
        <w:spacing w:line="276" w:lineRule="auto"/>
        <w:rPr>
          <w:rFonts w:ascii="Aptos" w:eastAsia="Aptos" w:hAnsi="Aptos" w:cs="Times New Roman"/>
        </w:rPr>
      </w:pPr>
    </w:p>
    <w:p w14:paraId="30133972" w14:textId="77777777" w:rsidR="00833C5C" w:rsidRPr="00833C5C" w:rsidRDefault="00833C5C" w:rsidP="00833C5C">
      <w:pPr>
        <w:spacing w:line="276" w:lineRule="auto"/>
        <w:rPr>
          <w:rFonts w:ascii="Aptos" w:eastAsia="Aptos" w:hAnsi="Aptos" w:cs="Times New Roman"/>
        </w:rPr>
      </w:pPr>
    </w:p>
    <w:p w14:paraId="6C8F8FA5" w14:textId="77777777" w:rsidR="00833C5C" w:rsidRPr="00833C5C" w:rsidRDefault="00833C5C" w:rsidP="00833C5C">
      <w:pPr>
        <w:spacing w:line="276" w:lineRule="auto"/>
        <w:rPr>
          <w:rFonts w:ascii="Aptos" w:eastAsia="Aptos" w:hAnsi="Aptos" w:cs="Times New Roman"/>
        </w:rPr>
      </w:pPr>
    </w:p>
    <w:p w14:paraId="5A86A6D9" w14:textId="77777777" w:rsidR="00833C5C" w:rsidRPr="00833C5C" w:rsidRDefault="00833C5C" w:rsidP="00833C5C">
      <w:pPr>
        <w:spacing w:line="276" w:lineRule="auto"/>
        <w:rPr>
          <w:rFonts w:ascii="Aptos" w:eastAsia="Aptos" w:hAnsi="Aptos" w:cs="Times New Roman"/>
        </w:rPr>
      </w:pPr>
    </w:p>
    <w:p w14:paraId="2B4A2E44" w14:textId="77777777" w:rsidR="00782CCD" w:rsidRPr="00782CCD" w:rsidRDefault="00782CCD" w:rsidP="00782CCD">
      <w:pPr>
        <w:spacing w:line="276" w:lineRule="auto"/>
        <w:rPr>
          <w:rFonts w:ascii="Aptos" w:eastAsia="Aptos" w:hAnsi="Aptos" w:cs="Times New Roman"/>
        </w:rPr>
      </w:pPr>
    </w:p>
    <w:p w14:paraId="57DDB47A" w14:textId="77777777" w:rsidR="00782CCD" w:rsidRPr="00782CCD" w:rsidRDefault="00782CCD" w:rsidP="00782CCD">
      <w:pPr>
        <w:spacing w:line="276" w:lineRule="auto"/>
        <w:rPr>
          <w:rFonts w:ascii="Aptos" w:eastAsia="Aptos" w:hAnsi="Aptos" w:cs="Times New Roman"/>
        </w:rPr>
      </w:pPr>
    </w:p>
    <w:p w14:paraId="6F619AFD" w14:textId="77777777" w:rsidR="00782CCD" w:rsidRPr="00782CCD" w:rsidRDefault="00782CCD" w:rsidP="00782CCD">
      <w:pPr>
        <w:spacing w:line="276" w:lineRule="auto"/>
        <w:rPr>
          <w:rFonts w:ascii="Aptos" w:eastAsia="Aptos" w:hAnsi="Aptos" w:cs="Times New Roman"/>
        </w:rPr>
      </w:pPr>
    </w:p>
    <w:p w14:paraId="75B679A3" w14:textId="0E83C09E" w:rsidR="004F3911" w:rsidRDefault="004F3911" w:rsidP="004F3911"/>
    <w:p w14:paraId="624F13F6" w14:textId="77777777" w:rsidR="00DE250F" w:rsidRDefault="00DE250F" w:rsidP="004F3911"/>
    <w:p w14:paraId="6F766FD3" w14:textId="77777777" w:rsidR="004F3911" w:rsidRPr="004F3911" w:rsidRDefault="004F3911" w:rsidP="004F3911"/>
    <w:p w14:paraId="5EF9D11D" w14:textId="77777777" w:rsidR="00E00263" w:rsidRPr="00F1518D" w:rsidRDefault="00E00263" w:rsidP="00F1518D"/>
    <w:p w14:paraId="3564479D" w14:textId="77777777" w:rsidR="00F1518D" w:rsidRPr="00F1518D" w:rsidRDefault="00F1518D" w:rsidP="00F1518D"/>
    <w:sectPr w:rsidR="00F1518D" w:rsidRPr="00F15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CCA"/>
    <w:multiLevelType w:val="multilevel"/>
    <w:tmpl w:val="4E50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C6EC8"/>
    <w:multiLevelType w:val="multilevel"/>
    <w:tmpl w:val="6332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A6308"/>
    <w:multiLevelType w:val="multilevel"/>
    <w:tmpl w:val="1182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C4CB4"/>
    <w:multiLevelType w:val="multilevel"/>
    <w:tmpl w:val="C1E8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51BD0"/>
    <w:multiLevelType w:val="multilevel"/>
    <w:tmpl w:val="79F4F1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804401"/>
    <w:multiLevelType w:val="multilevel"/>
    <w:tmpl w:val="5DAE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C276E"/>
    <w:multiLevelType w:val="multilevel"/>
    <w:tmpl w:val="A0B2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E2042"/>
    <w:multiLevelType w:val="multilevel"/>
    <w:tmpl w:val="64B4B6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307A24"/>
    <w:multiLevelType w:val="multilevel"/>
    <w:tmpl w:val="089828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F6E9E"/>
    <w:multiLevelType w:val="multilevel"/>
    <w:tmpl w:val="C0A282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5D1C03"/>
    <w:multiLevelType w:val="multilevel"/>
    <w:tmpl w:val="950C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6115E3"/>
    <w:multiLevelType w:val="multilevel"/>
    <w:tmpl w:val="9306D6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475100"/>
    <w:multiLevelType w:val="multilevel"/>
    <w:tmpl w:val="445844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4023E4"/>
    <w:multiLevelType w:val="multilevel"/>
    <w:tmpl w:val="23C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34A20"/>
    <w:multiLevelType w:val="multilevel"/>
    <w:tmpl w:val="FF88A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566AE5"/>
    <w:multiLevelType w:val="multilevel"/>
    <w:tmpl w:val="5A12E2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FD6B6E"/>
    <w:multiLevelType w:val="multilevel"/>
    <w:tmpl w:val="5882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788079">
    <w:abstractNumId w:val="6"/>
  </w:num>
  <w:num w:numId="2" w16cid:durableId="406151804">
    <w:abstractNumId w:val="14"/>
  </w:num>
  <w:num w:numId="3" w16cid:durableId="1582596035">
    <w:abstractNumId w:val="16"/>
  </w:num>
  <w:num w:numId="4" w16cid:durableId="644970470">
    <w:abstractNumId w:val="9"/>
  </w:num>
  <w:num w:numId="5" w16cid:durableId="524289141">
    <w:abstractNumId w:val="0"/>
  </w:num>
  <w:num w:numId="6" w16cid:durableId="1736121388">
    <w:abstractNumId w:val="8"/>
  </w:num>
  <w:num w:numId="7" w16cid:durableId="850339301">
    <w:abstractNumId w:val="1"/>
  </w:num>
  <w:num w:numId="8" w16cid:durableId="1230724045">
    <w:abstractNumId w:val="15"/>
  </w:num>
  <w:num w:numId="9" w16cid:durableId="1616786441">
    <w:abstractNumId w:val="2"/>
  </w:num>
  <w:num w:numId="10" w16cid:durableId="1607730085">
    <w:abstractNumId w:val="12"/>
  </w:num>
  <w:num w:numId="11" w16cid:durableId="190731396">
    <w:abstractNumId w:val="13"/>
  </w:num>
  <w:num w:numId="12" w16cid:durableId="978150389">
    <w:abstractNumId w:val="4"/>
  </w:num>
  <w:num w:numId="13" w16cid:durableId="1321806472">
    <w:abstractNumId w:val="3"/>
  </w:num>
  <w:num w:numId="14" w16cid:durableId="1841040781">
    <w:abstractNumId w:val="11"/>
  </w:num>
  <w:num w:numId="15" w16cid:durableId="1478691024">
    <w:abstractNumId w:val="5"/>
  </w:num>
  <w:num w:numId="16" w16cid:durableId="1500582817">
    <w:abstractNumId w:val="7"/>
  </w:num>
  <w:num w:numId="17" w16cid:durableId="195993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18D"/>
    <w:rsid w:val="0005339D"/>
    <w:rsid w:val="00080372"/>
    <w:rsid w:val="000F3006"/>
    <w:rsid w:val="001953E4"/>
    <w:rsid w:val="00217584"/>
    <w:rsid w:val="0023741B"/>
    <w:rsid w:val="00270145"/>
    <w:rsid w:val="00294919"/>
    <w:rsid w:val="002F46A1"/>
    <w:rsid w:val="00323043"/>
    <w:rsid w:val="00342E1D"/>
    <w:rsid w:val="00352466"/>
    <w:rsid w:val="003D1388"/>
    <w:rsid w:val="003F06DF"/>
    <w:rsid w:val="00475A2B"/>
    <w:rsid w:val="0047736A"/>
    <w:rsid w:val="004D0C76"/>
    <w:rsid w:val="004D50AD"/>
    <w:rsid w:val="004E1772"/>
    <w:rsid w:val="004F3911"/>
    <w:rsid w:val="00514F01"/>
    <w:rsid w:val="00542768"/>
    <w:rsid w:val="00561DD9"/>
    <w:rsid w:val="00596B4C"/>
    <w:rsid w:val="005B6D2F"/>
    <w:rsid w:val="005F087E"/>
    <w:rsid w:val="005F0943"/>
    <w:rsid w:val="005F24D5"/>
    <w:rsid w:val="00626046"/>
    <w:rsid w:val="006415F9"/>
    <w:rsid w:val="00661F3B"/>
    <w:rsid w:val="00671EA0"/>
    <w:rsid w:val="006C06C0"/>
    <w:rsid w:val="00743157"/>
    <w:rsid w:val="00746EE2"/>
    <w:rsid w:val="00782CCD"/>
    <w:rsid w:val="007C3545"/>
    <w:rsid w:val="00800BBE"/>
    <w:rsid w:val="00833C5C"/>
    <w:rsid w:val="008C1D27"/>
    <w:rsid w:val="008D5FDB"/>
    <w:rsid w:val="0093153A"/>
    <w:rsid w:val="00943FCE"/>
    <w:rsid w:val="00984CAD"/>
    <w:rsid w:val="009B154B"/>
    <w:rsid w:val="009C3A25"/>
    <w:rsid w:val="009D4C1D"/>
    <w:rsid w:val="009E4B86"/>
    <w:rsid w:val="00A110F4"/>
    <w:rsid w:val="00A16D17"/>
    <w:rsid w:val="00A31BDE"/>
    <w:rsid w:val="00A36D7F"/>
    <w:rsid w:val="00A546F3"/>
    <w:rsid w:val="00AC334D"/>
    <w:rsid w:val="00AC6F1A"/>
    <w:rsid w:val="00B14DB5"/>
    <w:rsid w:val="00B326AB"/>
    <w:rsid w:val="00B5214D"/>
    <w:rsid w:val="00B5468B"/>
    <w:rsid w:val="00B56F54"/>
    <w:rsid w:val="00B61703"/>
    <w:rsid w:val="00B66B02"/>
    <w:rsid w:val="00BA4765"/>
    <w:rsid w:val="00C26CCC"/>
    <w:rsid w:val="00D017AA"/>
    <w:rsid w:val="00D52E29"/>
    <w:rsid w:val="00D63D6A"/>
    <w:rsid w:val="00D734C2"/>
    <w:rsid w:val="00D76A64"/>
    <w:rsid w:val="00DE250F"/>
    <w:rsid w:val="00E00263"/>
    <w:rsid w:val="00E0770C"/>
    <w:rsid w:val="00E36849"/>
    <w:rsid w:val="00E57007"/>
    <w:rsid w:val="00E67B64"/>
    <w:rsid w:val="00EB3D63"/>
    <w:rsid w:val="00ED3BE7"/>
    <w:rsid w:val="00F1518D"/>
    <w:rsid w:val="00F20950"/>
    <w:rsid w:val="00FD1F5D"/>
    <w:rsid w:val="00FD7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D7BF"/>
  <w15:chartTrackingRefBased/>
  <w15:docId w15:val="{331012CA-596D-47C2-A5CC-D22034F4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1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1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1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1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1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1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1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1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1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1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1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1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1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1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1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1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1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18D"/>
    <w:rPr>
      <w:rFonts w:eastAsiaTheme="majorEastAsia" w:cstheme="majorBidi"/>
      <w:color w:val="272727" w:themeColor="text1" w:themeTint="D8"/>
    </w:rPr>
  </w:style>
  <w:style w:type="paragraph" w:styleId="Title">
    <w:name w:val="Title"/>
    <w:basedOn w:val="Normal"/>
    <w:next w:val="Normal"/>
    <w:link w:val="TitleChar"/>
    <w:uiPriority w:val="10"/>
    <w:qFormat/>
    <w:rsid w:val="00F151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1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1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1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18D"/>
    <w:pPr>
      <w:spacing w:before="160"/>
      <w:jc w:val="center"/>
    </w:pPr>
    <w:rPr>
      <w:i/>
      <w:iCs/>
      <w:color w:val="404040" w:themeColor="text1" w:themeTint="BF"/>
    </w:rPr>
  </w:style>
  <w:style w:type="character" w:customStyle="1" w:styleId="QuoteChar">
    <w:name w:val="Quote Char"/>
    <w:basedOn w:val="DefaultParagraphFont"/>
    <w:link w:val="Quote"/>
    <w:uiPriority w:val="29"/>
    <w:rsid w:val="00F1518D"/>
    <w:rPr>
      <w:i/>
      <w:iCs/>
      <w:color w:val="404040" w:themeColor="text1" w:themeTint="BF"/>
    </w:rPr>
  </w:style>
  <w:style w:type="paragraph" w:styleId="ListParagraph">
    <w:name w:val="List Paragraph"/>
    <w:basedOn w:val="Normal"/>
    <w:uiPriority w:val="34"/>
    <w:qFormat/>
    <w:rsid w:val="00F1518D"/>
    <w:pPr>
      <w:ind w:left="720"/>
      <w:contextualSpacing/>
    </w:pPr>
  </w:style>
  <w:style w:type="character" w:styleId="IntenseEmphasis">
    <w:name w:val="Intense Emphasis"/>
    <w:basedOn w:val="DefaultParagraphFont"/>
    <w:uiPriority w:val="21"/>
    <w:qFormat/>
    <w:rsid w:val="00F1518D"/>
    <w:rPr>
      <w:i/>
      <w:iCs/>
      <w:color w:val="0F4761" w:themeColor="accent1" w:themeShade="BF"/>
    </w:rPr>
  </w:style>
  <w:style w:type="paragraph" w:styleId="IntenseQuote">
    <w:name w:val="Intense Quote"/>
    <w:basedOn w:val="Normal"/>
    <w:next w:val="Normal"/>
    <w:link w:val="IntenseQuoteChar"/>
    <w:uiPriority w:val="30"/>
    <w:qFormat/>
    <w:rsid w:val="00F15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18D"/>
    <w:rPr>
      <w:i/>
      <w:iCs/>
      <w:color w:val="0F4761" w:themeColor="accent1" w:themeShade="BF"/>
    </w:rPr>
  </w:style>
  <w:style w:type="character" w:styleId="IntenseReference">
    <w:name w:val="Intense Reference"/>
    <w:basedOn w:val="DefaultParagraphFont"/>
    <w:uiPriority w:val="32"/>
    <w:qFormat/>
    <w:rsid w:val="00F151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TotalTime>
  <Pages>26</Pages>
  <Words>4679</Words>
  <Characters>26671</Characters>
  <Application>Microsoft Office Word</Application>
  <DocSecurity>0</DocSecurity>
  <Lines>222</Lines>
  <Paragraphs>62</Paragraphs>
  <ScaleCrop>false</ScaleCrop>
  <Company/>
  <LinksUpToDate>false</LinksUpToDate>
  <CharactersWithSpaces>31288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Belinda jones</cp:lastModifiedBy>
  <cp:revision>68</cp:revision>
  <dcterms:created xsi:type="dcterms:W3CDTF">2026-08-16T17:15:00Z</dcterms:created>
  <dcterms:modified xsi:type="dcterms:W3CDTF">2026-08-24T19:04:00Z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106719d8-06cf-45d5-a9c9-02ed3813d2ad</vt:lpwstr>
  </property>
</Properties>
</file>