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EE22AFD" w14:textId="77777777" w:rsidR="00504779" w:rsidRPr="0047086B" w:rsidRDefault="00504779" w:rsidP="00504779">
      <w:pPr>
        <w:rPr>
          <w:rFonts w:asciiTheme="minorHAnsi" w:hAnsiTheme="minorHAnsi"/>
          <w:b/>
          <w:color w:val="000000" w:themeColor="text1"/>
          <w:lang w:val="en"/>
        </w:rPr>
      </w:pPr>
      <w:r w:rsidRPr="0047086B">
        <w:rPr>
          <w:rFonts w:asciiTheme="minorHAnsi" w:hAnsiTheme="minorHAnsi"/>
          <w:b/>
          <w:color w:val="000000" w:themeColor="text1"/>
          <w:lang w:val="en"/>
        </w:rPr>
        <w:t>David Jones in the Great War</w:t>
      </w:r>
    </w:p>
    <w:p w14:paraId="0597F378" w14:textId="77777777" w:rsidR="00504779" w:rsidRPr="0047086B" w:rsidRDefault="00504779" w:rsidP="00504779">
      <w:pPr>
        <w:rPr>
          <w:rFonts w:asciiTheme="minorHAnsi" w:hAnsiTheme="minorHAnsi"/>
          <w:b/>
          <w:color w:val="000000" w:themeColor="text1"/>
          <w:lang w:val="en"/>
        </w:rPr>
      </w:pPr>
      <w:r w:rsidRPr="0047086B">
        <w:rPr>
          <w:rFonts w:asciiTheme="minorHAnsi" w:hAnsiTheme="minorHAnsi"/>
          <w:b/>
          <w:color w:val="000000" w:themeColor="text1"/>
          <w:lang w:val="en"/>
        </w:rPr>
        <w:t xml:space="preserve">by Thomas Dilworth </w:t>
      </w:r>
    </w:p>
    <w:p w14:paraId="316407FB" w14:textId="77777777" w:rsidR="00504779" w:rsidRPr="0047086B" w:rsidRDefault="00504779" w:rsidP="00504779">
      <w:pPr>
        <w:rPr>
          <w:rFonts w:asciiTheme="minorHAnsi" w:hAnsiTheme="minorHAnsi"/>
          <w:b/>
          <w:color w:val="000000" w:themeColor="text1"/>
          <w:lang w:val="en"/>
        </w:rPr>
      </w:pPr>
    </w:p>
    <w:p w14:paraId="6592E34D" w14:textId="77777777" w:rsidR="00504779" w:rsidRPr="0047086B" w:rsidRDefault="00504779" w:rsidP="00504779">
      <w:pPr>
        <w:rPr>
          <w:rFonts w:asciiTheme="minorHAnsi" w:hAnsiTheme="minorHAnsi"/>
          <w:b/>
          <w:color w:val="000000" w:themeColor="text1"/>
          <w:lang w:val="en"/>
        </w:rPr>
      </w:pPr>
      <w:r w:rsidRPr="0047086B">
        <w:rPr>
          <w:rFonts w:asciiTheme="minorHAnsi" w:hAnsiTheme="minorHAnsi"/>
          <w:b/>
          <w:color w:val="000000" w:themeColor="text1"/>
          <w:lang w:val="en"/>
        </w:rPr>
        <w:t xml:space="preserve">Published in 2012 by Enitharmon Press, 26B Caversham Road. London NW5 2DU </w:t>
      </w:r>
    </w:p>
    <w:p w14:paraId="4F26E6E0" w14:textId="77777777" w:rsidR="00504779" w:rsidRPr="0047086B" w:rsidRDefault="00504779" w:rsidP="00504779">
      <w:pPr>
        <w:rPr>
          <w:rFonts w:asciiTheme="minorHAnsi" w:hAnsiTheme="minorHAnsi"/>
          <w:b/>
          <w:color w:val="000000" w:themeColor="text1"/>
          <w:lang w:val="en"/>
        </w:rPr>
      </w:pPr>
    </w:p>
    <w:p w14:paraId="2273FA6A" w14:textId="77777777" w:rsidR="00504779" w:rsidRPr="0047086B" w:rsidRDefault="00504779" w:rsidP="00504779">
      <w:pPr>
        <w:rPr>
          <w:rFonts w:asciiTheme="minorHAnsi" w:eastAsia="Times New Roman" w:hAnsiTheme="minorHAnsi"/>
          <w:b/>
          <w:color w:val="000000" w:themeColor="text1"/>
        </w:rPr>
      </w:pPr>
      <w:r w:rsidRPr="0047086B">
        <w:rPr>
          <w:rFonts w:asciiTheme="minorHAnsi" w:hAnsiTheme="minorHAnsi"/>
          <w:b/>
          <w:color w:val="000000" w:themeColor="text1"/>
          <w:lang w:val="en"/>
        </w:rPr>
        <w:t xml:space="preserve">ISBN: </w:t>
      </w:r>
      <w:r w:rsidRPr="0047086B">
        <w:rPr>
          <w:rFonts w:asciiTheme="minorHAnsi" w:eastAsia="Times New Roman" w:hAnsiTheme="minorHAnsi"/>
          <w:b/>
          <w:color w:val="000000" w:themeColor="text1"/>
          <w:shd w:val="clear" w:color="auto" w:fill="FFFFFF"/>
        </w:rPr>
        <w:t>978-1907587245</w:t>
      </w:r>
      <w:r w:rsidRPr="0047086B">
        <w:rPr>
          <w:rFonts w:asciiTheme="minorHAnsi" w:eastAsia="Times New Roman" w:hAnsiTheme="minorHAnsi"/>
          <w:b/>
          <w:color w:val="000000" w:themeColor="text1"/>
        </w:rPr>
        <w:t xml:space="preserve">, </w:t>
      </w:r>
      <w:r w:rsidRPr="0047086B">
        <w:rPr>
          <w:rFonts w:asciiTheme="minorHAnsi" w:hAnsiTheme="minorHAnsi"/>
          <w:b/>
          <w:color w:val="000000" w:themeColor="text1"/>
          <w:lang w:val="en"/>
        </w:rPr>
        <w:t xml:space="preserve">Hardcover, 228 pages, </w:t>
      </w:r>
      <w:r w:rsidRPr="0047086B">
        <w:rPr>
          <w:rFonts w:asciiTheme="minorHAnsi" w:eastAsia="Times New Roman" w:hAnsiTheme="minorHAnsi"/>
          <w:b/>
          <w:color w:val="000000" w:themeColor="text1"/>
          <w:shd w:val="clear" w:color="auto" w:fill="FFFFFF"/>
        </w:rPr>
        <w:t>14 x 2 x 21.6 cm</w:t>
      </w:r>
      <w:r w:rsidRPr="0047086B">
        <w:rPr>
          <w:rFonts w:asciiTheme="minorHAnsi" w:eastAsia="Times New Roman" w:hAnsiTheme="minorHAnsi"/>
          <w:b/>
          <w:color w:val="000000" w:themeColor="text1"/>
        </w:rPr>
        <w:t xml:space="preserve">, </w:t>
      </w:r>
      <w:r w:rsidRPr="0047086B">
        <w:rPr>
          <w:rFonts w:asciiTheme="minorHAnsi" w:eastAsia="Times New Roman" w:hAnsiTheme="minorHAnsi" w:cs="Arial"/>
          <w:b/>
          <w:color w:val="000000" w:themeColor="text1"/>
        </w:rPr>
        <w:t>£15.00</w:t>
      </w:r>
    </w:p>
    <w:p w14:paraId="565A8295" w14:textId="77777777" w:rsidR="00504779" w:rsidRPr="0047086B" w:rsidRDefault="00504779" w:rsidP="00504779">
      <w:pPr>
        <w:rPr>
          <w:rFonts w:asciiTheme="minorHAnsi" w:hAnsiTheme="minorHAnsi"/>
        </w:rPr>
      </w:pPr>
    </w:p>
    <w:p w14:paraId="6950724E" w14:textId="77777777" w:rsidR="00504779" w:rsidRPr="0047086B" w:rsidRDefault="00504779" w:rsidP="00504779">
      <w:pPr>
        <w:rPr>
          <w:rFonts w:asciiTheme="minorHAnsi" w:hAnsiTheme="minorHAnsi"/>
        </w:rPr>
      </w:pPr>
      <w:r w:rsidRPr="0047086B">
        <w:rPr>
          <w:rFonts w:asciiTheme="minorHAnsi" w:hAnsiTheme="minorHAnsi"/>
        </w:rPr>
        <w:t xml:space="preserve">David Jones’ place amongst the great poets of World War One is indisputable, but for a long time his name has stood fainter next to the immortal names of Owen and Sassoon. Perhaps his war poem, the book-long </w:t>
      </w:r>
      <w:r w:rsidRPr="0047086B">
        <w:rPr>
          <w:rFonts w:asciiTheme="minorHAnsi" w:hAnsiTheme="minorHAnsi"/>
          <w:i/>
        </w:rPr>
        <w:t>In Parenthesis</w:t>
      </w:r>
      <w:r w:rsidRPr="0047086B">
        <w:rPr>
          <w:rFonts w:asciiTheme="minorHAnsi" w:hAnsiTheme="minorHAnsi"/>
        </w:rPr>
        <w:t xml:space="preserve">, does not lend itself as easily to pithy quotations as other war poetry. Jones’ life and war experience has been a little neglected, something that Thomas Dilworth’s excellent book </w:t>
      </w:r>
      <w:r w:rsidRPr="0047086B">
        <w:rPr>
          <w:rFonts w:asciiTheme="minorHAnsi" w:hAnsiTheme="minorHAnsi"/>
          <w:i/>
          <w:color w:val="000000" w:themeColor="text1"/>
          <w:lang w:val="en"/>
        </w:rPr>
        <w:t xml:space="preserve">David Jones in the Great War </w:t>
      </w:r>
      <w:r w:rsidRPr="0047086B">
        <w:rPr>
          <w:rFonts w:asciiTheme="minorHAnsi" w:hAnsiTheme="minorHAnsi"/>
        </w:rPr>
        <w:t xml:space="preserve">goes a long way to rectify. </w:t>
      </w:r>
    </w:p>
    <w:p w14:paraId="4E3E14EB" w14:textId="77777777" w:rsidR="00504779" w:rsidRPr="0047086B" w:rsidRDefault="00504779" w:rsidP="00504779">
      <w:pPr>
        <w:rPr>
          <w:rFonts w:asciiTheme="minorHAnsi" w:hAnsiTheme="minorHAnsi"/>
        </w:rPr>
      </w:pPr>
    </w:p>
    <w:p w14:paraId="3EB55B81" w14:textId="77777777" w:rsidR="00504779" w:rsidRPr="0047086B" w:rsidRDefault="00504779" w:rsidP="00504779">
      <w:pPr>
        <w:rPr>
          <w:rFonts w:asciiTheme="minorHAnsi" w:eastAsia="Times New Roman" w:hAnsiTheme="minorHAnsi"/>
        </w:rPr>
      </w:pPr>
      <w:r w:rsidRPr="0047086B">
        <w:rPr>
          <w:rFonts w:asciiTheme="minorHAnsi" w:hAnsiTheme="minorHAnsi"/>
        </w:rPr>
        <w:t xml:space="preserve">David Jones was nineteen at the start of the war, small for his age and baby-faced. He was rejected by two regiments until he embraced his much-loved Welsh roots and joined the Royal Welch Fusiliers. Already a competent artist and combined with his deep interest in mythology and literature, he made many creative responses to the war through art and prose, but it was not until the 1930s (delayed by a breakdown) that he came to write his masterpiece </w:t>
      </w:r>
      <w:r w:rsidRPr="0047086B">
        <w:rPr>
          <w:rFonts w:asciiTheme="minorHAnsi" w:hAnsiTheme="minorHAnsi"/>
          <w:i/>
        </w:rPr>
        <w:t xml:space="preserve">In Parenthesis. </w:t>
      </w:r>
    </w:p>
    <w:p w14:paraId="4E843F6D" w14:textId="77777777" w:rsidR="00504779" w:rsidRPr="0047086B" w:rsidRDefault="00504779" w:rsidP="00504779">
      <w:pPr>
        <w:rPr>
          <w:rFonts w:asciiTheme="minorHAnsi" w:hAnsiTheme="minorHAnsi"/>
          <w:b/>
          <w:color w:val="000000" w:themeColor="text1"/>
          <w:lang w:val="en"/>
        </w:rPr>
      </w:pPr>
    </w:p>
    <w:p w14:paraId="42821117" w14:textId="77777777" w:rsidR="00504779" w:rsidRPr="0047086B" w:rsidRDefault="00504779" w:rsidP="00504779">
      <w:pPr>
        <w:rPr>
          <w:rFonts w:asciiTheme="minorHAnsi" w:hAnsiTheme="minorHAnsi"/>
          <w:color w:val="000000" w:themeColor="text1"/>
        </w:rPr>
      </w:pPr>
      <w:r w:rsidRPr="0047086B">
        <w:rPr>
          <w:rFonts w:asciiTheme="minorHAnsi" w:hAnsiTheme="minorHAnsi"/>
        </w:rPr>
        <w:t xml:space="preserve">Dilworth chooses to focus only on Jones’ experience </w:t>
      </w:r>
      <w:r w:rsidRPr="0047086B">
        <w:rPr>
          <w:rFonts w:asciiTheme="minorHAnsi" w:hAnsiTheme="minorHAnsi"/>
          <w:i/>
        </w:rPr>
        <w:t xml:space="preserve">in </w:t>
      </w:r>
      <w:r w:rsidRPr="0047086B">
        <w:rPr>
          <w:rFonts w:asciiTheme="minorHAnsi" w:hAnsiTheme="minorHAnsi"/>
        </w:rPr>
        <w:t xml:space="preserve">the Great War, not his entire life, though incidents before and after the conflict are necessarily touched on. Neither does Dilworth go into much detail of Jones’ construction and writing of </w:t>
      </w:r>
      <w:r w:rsidRPr="0047086B">
        <w:rPr>
          <w:rFonts w:asciiTheme="minorHAnsi" w:hAnsiTheme="minorHAnsi"/>
          <w:i/>
        </w:rPr>
        <w:t xml:space="preserve">In Parenthesis- </w:t>
      </w:r>
      <w:r>
        <w:rPr>
          <w:rFonts w:asciiTheme="minorHAnsi" w:hAnsiTheme="minorHAnsi"/>
        </w:rPr>
        <w:t>literary criticism this is not-</w:t>
      </w:r>
      <w:r w:rsidRPr="0047086B">
        <w:rPr>
          <w:rFonts w:asciiTheme="minorHAnsi" w:hAnsiTheme="minorHAnsi"/>
        </w:rPr>
        <w:t xml:space="preserve"> though suitable attention is paid to the genius of Jones’ talent and </w:t>
      </w:r>
      <w:r w:rsidRPr="0047086B">
        <w:rPr>
          <w:rFonts w:asciiTheme="minorHAnsi" w:hAnsiTheme="minorHAnsi"/>
          <w:color w:val="000000" w:themeColor="text1"/>
        </w:rPr>
        <w:t xml:space="preserve">each real-life incident that finds its counter-part in </w:t>
      </w:r>
      <w:r w:rsidRPr="0047086B">
        <w:rPr>
          <w:rFonts w:asciiTheme="minorHAnsi" w:hAnsiTheme="minorHAnsi"/>
          <w:i/>
          <w:color w:val="000000" w:themeColor="text1"/>
        </w:rPr>
        <w:t xml:space="preserve">In Parenthesis </w:t>
      </w:r>
      <w:r w:rsidRPr="0047086B">
        <w:rPr>
          <w:rFonts w:asciiTheme="minorHAnsi" w:hAnsiTheme="minorHAnsi"/>
          <w:color w:val="000000" w:themeColor="text1"/>
        </w:rPr>
        <w:t>is clearly marked and footnoted.</w:t>
      </w:r>
    </w:p>
    <w:p w14:paraId="12D666B1" w14:textId="77777777" w:rsidR="00504779" w:rsidRPr="0047086B" w:rsidRDefault="00504779" w:rsidP="00504779">
      <w:pPr>
        <w:rPr>
          <w:rFonts w:asciiTheme="minorHAnsi" w:hAnsiTheme="minorHAnsi"/>
        </w:rPr>
      </w:pPr>
    </w:p>
    <w:p w14:paraId="462E44C8" w14:textId="77777777" w:rsidR="00504779" w:rsidRPr="0047086B" w:rsidRDefault="00504779" w:rsidP="00504779">
      <w:pPr>
        <w:rPr>
          <w:rFonts w:asciiTheme="minorHAnsi" w:hAnsiTheme="minorHAnsi"/>
          <w:color w:val="00B050"/>
        </w:rPr>
      </w:pPr>
      <w:r w:rsidRPr="0047086B">
        <w:rPr>
          <w:rFonts w:asciiTheme="minorHAnsi" w:hAnsiTheme="minorHAnsi"/>
        </w:rPr>
        <w:t xml:space="preserve">Instead, Dilworth draws on his own conversations with Jones in the 70s, and uses interviews, battalion diaries and letters to relate the narrative of Jones’ war. This is no mere piecing together of facts however. Dilworth’s skill lies in his ability to paint a cohesive, fluid picture of Jones’ experience with energy and empathy. </w:t>
      </w:r>
    </w:p>
    <w:p w14:paraId="78117422" w14:textId="77777777" w:rsidR="00504779" w:rsidRPr="0047086B" w:rsidRDefault="00504779" w:rsidP="00504779">
      <w:pPr>
        <w:rPr>
          <w:rFonts w:asciiTheme="minorHAnsi" w:hAnsiTheme="minorHAnsi"/>
          <w:color w:val="00B050"/>
        </w:rPr>
      </w:pPr>
    </w:p>
    <w:p w14:paraId="50A1477E" w14:textId="77777777" w:rsidR="00504779" w:rsidRPr="0047086B" w:rsidRDefault="00504779" w:rsidP="00504779">
      <w:pPr>
        <w:rPr>
          <w:rFonts w:asciiTheme="minorHAnsi" w:hAnsiTheme="minorHAnsi"/>
          <w:color w:val="000000" w:themeColor="text1"/>
        </w:rPr>
      </w:pPr>
      <w:r w:rsidRPr="0047086B">
        <w:rPr>
          <w:rFonts w:asciiTheme="minorHAnsi" w:hAnsiTheme="minorHAnsi"/>
          <w:color w:val="000000" w:themeColor="text1"/>
        </w:rPr>
        <w:t>He dispels the myth that Jones enjoyed the war, stating that ‘his war experience was often harrowing….it was of [his friend’s opinion] that Jones suffered from shell shock’</w:t>
      </w:r>
      <w:r w:rsidRPr="0047086B">
        <w:rPr>
          <w:rStyle w:val="FootnoteReference"/>
          <w:rFonts w:asciiTheme="minorHAnsi" w:hAnsiTheme="minorHAnsi"/>
          <w:color w:val="000000" w:themeColor="text1"/>
        </w:rPr>
        <w:footnoteReference w:id="1"/>
      </w:r>
      <w:r w:rsidRPr="0047086B">
        <w:rPr>
          <w:rFonts w:asciiTheme="minorHAnsi" w:hAnsiTheme="minorHAnsi"/>
          <w:color w:val="000000" w:themeColor="text1"/>
        </w:rPr>
        <w:t xml:space="preserve">. Neither does Dilworth shy away from the understandably complex nature of Jones’ experience </w:t>
      </w:r>
      <w:r>
        <w:rPr>
          <w:rFonts w:asciiTheme="minorHAnsi" w:hAnsiTheme="minorHAnsi"/>
          <w:color w:val="000000" w:themeColor="text1"/>
        </w:rPr>
        <w:t xml:space="preserve">of the war, </w:t>
      </w:r>
      <w:r w:rsidRPr="005D10C9">
        <w:rPr>
          <w:rFonts w:asciiTheme="minorHAnsi" w:hAnsiTheme="minorHAnsi"/>
          <w:color w:val="00B050"/>
        </w:rPr>
        <w:t xml:space="preserve">an experience that seemed unbearably traumatic when away from the Front, but became a potent mix of exhilaration and camaraderie when in the trenches. </w:t>
      </w:r>
      <w:r w:rsidRPr="0047086B">
        <w:rPr>
          <w:rFonts w:asciiTheme="minorHAnsi" w:hAnsiTheme="minorHAnsi"/>
          <w:color w:val="000000" w:themeColor="text1"/>
        </w:rPr>
        <w:t xml:space="preserve">Dilworth explains that despite primitive conditions, Jones was never healthier than when in trenches, owing to the increased amount of adrenaline running through his blood. </w:t>
      </w:r>
    </w:p>
    <w:p w14:paraId="56409273" w14:textId="77777777" w:rsidR="00504779" w:rsidRPr="0047086B" w:rsidRDefault="00504779" w:rsidP="00504779">
      <w:pPr>
        <w:rPr>
          <w:rFonts w:asciiTheme="minorHAnsi" w:hAnsiTheme="minorHAnsi"/>
          <w:color w:val="000000" w:themeColor="text1"/>
        </w:rPr>
      </w:pPr>
    </w:p>
    <w:p w14:paraId="063F3247" w14:textId="77777777" w:rsidR="00504779" w:rsidRPr="0047086B" w:rsidRDefault="00504779" w:rsidP="00504779">
      <w:pPr>
        <w:rPr>
          <w:rFonts w:asciiTheme="minorHAnsi" w:hAnsiTheme="minorHAnsi"/>
          <w:color w:val="000000" w:themeColor="text1"/>
        </w:rPr>
      </w:pPr>
      <w:r w:rsidRPr="0047086B">
        <w:rPr>
          <w:rFonts w:asciiTheme="minorHAnsi" w:hAnsiTheme="minorHAnsi"/>
          <w:color w:val="000000" w:themeColor="text1"/>
        </w:rPr>
        <w:t xml:space="preserve">There is a veracity to this book. Dilworth follows Jones through the war as coherently as though he were only a few steps behind him in the trenches. We have the uncanny feeling as readers that we are ghostly spectators to David Jones himself, a feeling no more poignant </w:t>
      </w:r>
      <w:r w:rsidRPr="0047086B">
        <w:rPr>
          <w:rFonts w:asciiTheme="minorHAnsi" w:hAnsiTheme="minorHAnsi"/>
          <w:color w:val="000000" w:themeColor="text1"/>
        </w:rPr>
        <w:lastRenderedPageBreak/>
        <w:t xml:space="preserve">than when Dilworth describes in great depth the hand-to-hand fighting that took place in the ghoulish Mametz Wood, a battle where Jones was seriously injured. </w:t>
      </w:r>
    </w:p>
    <w:p w14:paraId="417881DE" w14:textId="77777777" w:rsidR="00504779" w:rsidRPr="0047086B" w:rsidRDefault="00504779" w:rsidP="00504779">
      <w:pPr>
        <w:rPr>
          <w:rFonts w:asciiTheme="minorHAnsi" w:hAnsiTheme="minorHAnsi"/>
          <w:color w:val="000000" w:themeColor="text1"/>
        </w:rPr>
      </w:pPr>
    </w:p>
    <w:p w14:paraId="471B04B4" w14:textId="77777777" w:rsidR="00504779" w:rsidRPr="0047086B" w:rsidRDefault="00504779" w:rsidP="00504779">
      <w:pPr>
        <w:rPr>
          <w:rFonts w:asciiTheme="minorHAnsi" w:hAnsiTheme="minorHAnsi"/>
          <w:color w:val="000000" w:themeColor="text1"/>
        </w:rPr>
      </w:pPr>
      <w:r w:rsidRPr="0047086B">
        <w:rPr>
          <w:rFonts w:asciiTheme="minorHAnsi" w:hAnsiTheme="minorHAnsi"/>
          <w:color w:val="000000" w:themeColor="text1"/>
        </w:rPr>
        <w:t xml:space="preserve">Jones saw ‘more active service than any other British war writer’ (p.14) and we feel his weariness grow as the book progresses. But the war was for him also a sacred time. Dilworth tells of an occasion when Jones and his friend lay awake in the trenches one night and considered what it would be like to have tour guides showing sightseers around their sector of the line in peace time. Jones said: ‘I recall feeling very angry about this, like you do if you think of strangers ever occupying a house or garden you live in and love. There was a great sense of possessiveness among us…. some twist of traverse in a disused trench-system had for us something of the quality of the secret places lovers know’ (p.184). </w:t>
      </w:r>
    </w:p>
    <w:p w14:paraId="72904C2C" w14:textId="77777777" w:rsidR="00504779" w:rsidRPr="0047086B" w:rsidRDefault="00504779" w:rsidP="00504779">
      <w:pPr>
        <w:rPr>
          <w:rFonts w:asciiTheme="minorHAnsi" w:hAnsiTheme="minorHAnsi"/>
          <w:color w:val="000000" w:themeColor="text1"/>
        </w:rPr>
      </w:pPr>
    </w:p>
    <w:p w14:paraId="24C72B92" w14:textId="77777777" w:rsidR="00504779" w:rsidRPr="0047086B" w:rsidRDefault="00504779" w:rsidP="00504779">
      <w:pPr>
        <w:rPr>
          <w:rFonts w:asciiTheme="minorHAnsi" w:hAnsiTheme="minorHAnsi"/>
          <w:color w:val="000000" w:themeColor="text1"/>
        </w:rPr>
      </w:pPr>
      <w:r w:rsidRPr="0047086B">
        <w:rPr>
          <w:rFonts w:asciiTheme="minorHAnsi" w:hAnsiTheme="minorHAnsi"/>
          <w:color w:val="000000" w:themeColor="text1"/>
        </w:rPr>
        <w:t>This paradox of fear and exhilaration, of love and death runs like a thread through Jones’ war experience. Early on in the war he was sent out w</w:t>
      </w:r>
      <w:r>
        <w:rPr>
          <w:rFonts w:asciiTheme="minorHAnsi" w:hAnsiTheme="minorHAnsi"/>
          <w:color w:val="000000" w:themeColor="text1"/>
        </w:rPr>
        <w:t>ith a comrade to survey No-Man’s</w:t>
      </w:r>
      <w:r w:rsidRPr="0047086B">
        <w:rPr>
          <w:rFonts w:asciiTheme="minorHAnsi" w:hAnsiTheme="minorHAnsi"/>
          <w:color w:val="000000" w:themeColor="text1"/>
        </w:rPr>
        <w:t xml:space="preserve"> Land. It was night and they crawled on their bellies to the enemy lines. Upon reaching the opposite trench the shock of the sight of a German helmet moving up and down above the parapet reduced them to helpless giggles which they could not stifle until they had safely wriggled their way back to their own trench. </w:t>
      </w:r>
    </w:p>
    <w:p w14:paraId="07DF55FC" w14:textId="77777777" w:rsidR="00504779" w:rsidRPr="0047086B" w:rsidRDefault="00504779" w:rsidP="00504779">
      <w:pPr>
        <w:rPr>
          <w:rFonts w:asciiTheme="minorHAnsi" w:hAnsiTheme="minorHAnsi"/>
          <w:color w:val="000000" w:themeColor="text1"/>
        </w:rPr>
      </w:pPr>
    </w:p>
    <w:p w14:paraId="1DF26523" w14:textId="77777777" w:rsidR="00504779" w:rsidRPr="0047086B" w:rsidRDefault="00504779" w:rsidP="00504779">
      <w:pPr>
        <w:rPr>
          <w:rFonts w:asciiTheme="minorHAnsi" w:hAnsiTheme="minorHAnsi"/>
          <w:color w:val="000000" w:themeColor="text1"/>
        </w:rPr>
      </w:pPr>
      <w:r w:rsidRPr="0047086B">
        <w:rPr>
          <w:rFonts w:asciiTheme="minorHAnsi" w:hAnsiTheme="minorHAnsi"/>
          <w:color w:val="000000" w:themeColor="text1"/>
        </w:rPr>
        <w:t xml:space="preserve">Dilworth paints with a broad brush. Jones’ art, poetry, prose are all richly explored, as is Jones’ religious conversion which was sparked by an experience of a Catholic Mass that he stumbled across only a little away from the front lines midway through the war. Dilworth allows the ‘warmly affectionate’ character of Jones to shine through in such a way that the book deserves to stand as a work of art itself, a delicate, horrific, yet beautiful account of a war that destroyed a generation. </w:t>
      </w:r>
    </w:p>
    <w:p w14:paraId="771EB937" w14:textId="77777777" w:rsidR="00504779" w:rsidRPr="0047086B" w:rsidRDefault="00504779" w:rsidP="00504779">
      <w:pPr>
        <w:rPr>
          <w:rFonts w:asciiTheme="minorHAnsi" w:hAnsiTheme="minorHAnsi"/>
          <w:color w:val="000000" w:themeColor="text1"/>
        </w:rPr>
      </w:pPr>
    </w:p>
    <w:p w14:paraId="70B47A73" w14:textId="77777777" w:rsidR="00504779" w:rsidRPr="0047086B" w:rsidRDefault="00504779" w:rsidP="00504779">
      <w:pPr>
        <w:rPr>
          <w:rFonts w:asciiTheme="minorHAnsi" w:hAnsiTheme="minorHAnsi"/>
          <w:color w:val="000000" w:themeColor="text1"/>
        </w:rPr>
      </w:pPr>
    </w:p>
    <w:p w14:paraId="56CA7733" w14:textId="77777777" w:rsidR="00750A51" w:rsidRDefault="00750A51">
      <w:bookmarkStart w:id="0" w:name="_GoBack"/>
      <w:bookmarkEnd w:id="0"/>
    </w:p>
    <w:sectPr w:rsidR="00750A51" w:rsidSect="00E35C7C">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3C0D68E" w14:textId="77777777" w:rsidR="006C08FA" w:rsidRDefault="006C08FA" w:rsidP="00504779">
      <w:r>
        <w:separator/>
      </w:r>
    </w:p>
  </w:endnote>
  <w:endnote w:type="continuationSeparator" w:id="0">
    <w:p w14:paraId="75D9FBC9" w14:textId="77777777" w:rsidR="006C08FA" w:rsidRDefault="006C08FA" w:rsidP="005047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BDAE22A" w14:textId="77777777" w:rsidR="006C08FA" w:rsidRDefault="006C08FA" w:rsidP="00504779">
      <w:r>
        <w:separator/>
      </w:r>
    </w:p>
  </w:footnote>
  <w:footnote w:type="continuationSeparator" w:id="0">
    <w:p w14:paraId="468CD019" w14:textId="77777777" w:rsidR="006C08FA" w:rsidRDefault="006C08FA" w:rsidP="00504779">
      <w:r>
        <w:continuationSeparator/>
      </w:r>
    </w:p>
  </w:footnote>
  <w:footnote w:id="1">
    <w:p w14:paraId="3B0EF766" w14:textId="77777777" w:rsidR="00504779" w:rsidRPr="00EE2CED" w:rsidRDefault="00504779" w:rsidP="00504779">
      <w:r>
        <w:rPr>
          <w:rStyle w:val="FootnoteReference"/>
        </w:rPr>
        <w:footnoteRef/>
      </w:r>
      <w:r w:rsidRPr="00EE2CED">
        <w:rPr>
          <w:rFonts w:asciiTheme="minorHAnsi" w:hAnsiTheme="minorHAnsi"/>
          <w:color w:val="000000" w:themeColor="text1"/>
          <w:lang w:val="en"/>
        </w:rPr>
        <w:t xml:space="preserve">Thomas Dilworth, </w:t>
      </w:r>
      <w:r w:rsidRPr="00EE2CED">
        <w:rPr>
          <w:rFonts w:asciiTheme="minorHAnsi" w:hAnsiTheme="minorHAnsi"/>
          <w:i/>
          <w:color w:val="000000" w:themeColor="text1"/>
          <w:lang w:val="en"/>
        </w:rPr>
        <w:t xml:space="preserve">David Jones in the Great War, </w:t>
      </w:r>
      <w:r w:rsidRPr="00EE2CED">
        <w:rPr>
          <w:rFonts w:asciiTheme="minorHAnsi" w:hAnsiTheme="minorHAnsi"/>
          <w:color w:val="000000" w:themeColor="text1"/>
          <w:lang w:val="en"/>
        </w:rPr>
        <w:t>(London: Enitharmon Press, 2012)</w:t>
      </w:r>
      <w:r>
        <w:rPr>
          <w:rFonts w:asciiTheme="minorHAnsi" w:hAnsiTheme="minorHAnsi"/>
          <w:color w:val="000000" w:themeColor="text1"/>
          <w:lang w:val="en"/>
        </w:rPr>
        <w:t>, p.15.</w:t>
      </w:r>
    </w:p>
    <w:p w14:paraId="4835E5FC" w14:textId="77777777" w:rsidR="00504779" w:rsidRPr="007205BA" w:rsidRDefault="00504779" w:rsidP="00504779">
      <w:pPr>
        <w:pStyle w:val="FootnoteText"/>
        <w:rPr>
          <w:lang w:val="en-GB"/>
        </w:rPr>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13"/>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4779"/>
    <w:rsid w:val="00504779"/>
    <w:rsid w:val="006C08FA"/>
    <w:rsid w:val="00750A51"/>
    <w:rsid w:val="008A0948"/>
    <w:rsid w:val="00E35C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C81E1D4"/>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504779"/>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504779"/>
  </w:style>
  <w:style w:type="character" w:customStyle="1" w:styleId="FootnoteTextChar">
    <w:name w:val="Footnote Text Char"/>
    <w:basedOn w:val="DefaultParagraphFont"/>
    <w:link w:val="FootnoteText"/>
    <w:uiPriority w:val="99"/>
    <w:rsid w:val="00504779"/>
    <w:rPr>
      <w:rFonts w:ascii="Times New Roman" w:hAnsi="Times New Roman" w:cs="Times New Roman"/>
    </w:rPr>
  </w:style>
  <w:style w:type="character" w:styleId="FootnoteReference">
    <w:name w:val="footnote reference"/>
    <w:basedOn w:val="DefaultParagraphFont"/>
    <w:uiPriority w:val="99"/>
    <w:unhideWhenUsed/>
    <w:rsid w:val="0050477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697</Words>
  <Characters>3976</Characters>
  <Application>Microsoft Macintosh Word</Application>
  <DocSecurity>0</DocSecurity>
  <Lines>33</Lines>
  <Paragraphs>9</Paragraphs>
  <ScaleCrop>false</ScaleCrop>
  <LinksUpToDate>false</LinksUpToDate>
  <CharactersWithSpaces>4664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2017-12-07T10:09:00Z</dcterms:created>
  <dcterms:modified xsi:type="dcterms:W3CDTF">2017-12-07T10:09:00Z</dcterms:modified>
</cp:coreProperties>
</file>