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00A4169" w14:textId="77777777" w:rsidR="003A18A8" w:rsidRDefault="003A18A8" w:rsidP="003A18A8">
      <w:pPr>
        <w:spacing w:line="360" w:lineRule="auto"/>
        <w:jc w:val="center"/>
        <w:rPr>
          <w:rFonts w:ascii="Times New Roman" w:hAnsi="Times New Roman" w:cs="Times New Roman"/>
          <w:b/>
          <w:sz w:val="32"/>
        </w:rPr>
      </w:pPr>
    </w:p>
    <w:p w14:paraId="347C2F9D" w14:textId="77777777" w:rsidR="003A18A8" w:rsidRDefault="003A18A8" w:rsidP="003A18A8">
      <w:pPr>
        <w:spacing w:line="360" w:lineRule="auto"/>
        <w:jc w:val="center"/>
        <w:rPr>
          <w:rFonts w:ascii="Times New Roman" w:hAnsi="Times New Roman" w:cs="Times New Roman"/>
          <w:b/>
          <w:sz w:val="32"/>
        </w:rPr>
      </w:pPr>
    </w:p>
    <w:p w14:paraId="1B3B650A" w14:textId="77777777" w:rsidR="003A18A8" w:rsidRDefault="003A18A8" w:rsidP="003A18A8">
      <w:pPr>
        <w:spacing w:line="360" w:lineRule="auto"/>
        <w:jc w:val="center"/>
        <w:rPr>
          <w:rFonts w:ascii="Times New Roman" w:hAnsi="Times New Roman" w:cs="Times New Roman"/>
          <w:b/>
          <w:sz w:val="32"/>
        </w:rPr>
      </w:pPr>
    </w:p>
    <w:p w14:paraId="50A003A7" w14:textId="77777777" w:rsidR="003A18A8" w:rsidRDefault="003A18A8" w:rsidP="003A18A8">
      <w:pPr>
        <w:spacing w:line="360" w:lineRule="auto"/>
        <w:jc w:val="center"/>
        <w:rPr>
          <w:rFonts w:ascii="Times New Roman" w:hAnsi="Times New Roman" w:cs="Times New Roman"/>
          <w:b/>
          <w:sz w:val="32"/>
        </w:rPr>
      </w:pPr>
    </w:p>
    <w:p w14:paraId="25B90166" w14:textId="77777777" w:rsidR="003A18A8" w:rsidRDefault="003A18A8" w:rsidP="003A18A8">
      <w:pPr>
        <w:spacing w:line="360" w:lineRule="auto"/>
        <w:jc w:val="center"/>
        <w:rPr>
          <w:rFonts w:ascii="Times New Roman" w:hAnsi="Times New Roman" w:cs="Times New Roman"/>
          <w:b/>
          <w:sz w:val="32"/>
        </w:rPr>
      </w:pPr>
    </w:p>
    <w:p w14:paraId="457776D4" w14:textId="77777777" w:rsidR="003A18A8" w:rsidRDefault="003A18A8" w:rsidP="003A18A8">
      <w:pPr>
        <w:spacing w:line="360" w:lineRule="auto"/>
        <w:jc w:val="center"/>
        <w:rPr>
          <w:rFonts w:ascii="Times New Roman" w:hAnsi="Times New Roman" w:cs="Times New Roman"/>
          <w:b/>
          <w:sz w:val="32"/>
        </w:rPr>
      </w:pPr>
    </w:p>
    <w:p w14:paraId="13167584" w14:textId="77777777" w:rsidR="003A18A8" w:rsidRDefault="003A18A8" w:rsidP="003A18A8">
      <w:pPr>
        <w:spacing w:line="360" w:lineRule="auto"/>
        <w:jc w:val="center"/>
        <w:rPr>
          <w:rFonts w:ascii="Times New Roman" w:hAnsi="Times New Roman" w:cs="Times New Roman"/>
          <w:b/>
          <w:sz w:val="32"/>
        </w:rPr>
      </w:pPr>
    </w:p>
    <w:p w14:paraId="5FA6FBE7" w14:textId="77777777" w:rsidR="003A18A8" w:rsidRDefault="003A18A8" w:rsidP="003A18A8">
      <w:pPr>
        <w:spacing w:line="360" w:lineRule="auto"/>
        <w:jc w:val="center"/>
        <w:rPr>
          <w:rFonts w:ascii="Times New Roman" w:hAnsi="Times New Roman" w:cs="Times New Roman"/>
          <w:b/>
          <w:sz w:val="32"/>
        </w:rPr>
      </w:pPr>
    </w:p>
    <w:p w14:paraId="76A7B524" w14:textId="77777777" w:rsidR="003A18A8" w:rsidRPr="003A18A8" w:rsidRDefault="003A18A8" w:rsidP="003A18A8">
      <w:pPr>
        <w:spacing w:line="360" w:lineRule="auto"/>
        <w:jc w:val="center"/>
        <w:rPr>
          <w:rFonts w:ascii="Times New Roman" w:hAnsi="Times New Roman" w:cs="Times New Roman"/>
          <w:b/>
          <w:sz w:val="32"/>
        </w:rPr>
      </w:pPr>
      <w:r w:rsidRPr="003A18A8">
        <w:rPr>
          <w:rFonts w:ascii="Times New Roman" w:hAnsi="Times New Roman" w:cs="Times New Roman"/>
          <w:b/>
          <w:sz w:val="32"/>
        </w:rPr>
        <w:t>Module Name: International financial management</w:t>
      </w:r>
    </w:p>
    <w:p w14:paraId="1ADD0D7B" w14:textId="77777777" w:rsidR="003A18A8" w:rsidRPr="003A18A8" w:rsidRDefault="003A18A8" w:rsidP="003A18A8">
      <w:pPr>
        <w:spacing w:line="360" w:lineRule="auto"/>
        <w:jc w:val="center"/>
        <w:rPr>
          <w:rFonts w:ascii="Times New Roman" w:hAnsi="Times New Roman" w:cs="Times New Roman"/>
          <w:b/>
          <w:sz w:val="32"/>
        </w:rPr>
      </w:pPr>
      <w:r w:rsidRPr="003A18A8">
        <w:rPr>
          <w:rFonts w:ascii="Times New Roman" w:hAnsi="Times New Roman" w:cs="Times New Roman"/>
          <w:b/>
          <w:sz w:val="32"/>
        </w:rPr>
        <w:t>Module Code: LCBB6002</w:t>
      </w:r>
    </w:p>
    <w:p w14:paraId="2D5AF4A3" w14:textId="77777777" w:rsidR="003A18A8" w:rsidRPr="003A18A8" w:rsidRDefault="003A18A8" w:rsidP="003A18A8">
      <w:pPr>
        <w:pBdr>
          <w:bottom w:val="single" w:sz="4" w:space="1" w:color="auto"/>
        </w:pBdr>
        <w:spacing w:line="360" w:lineRule="auto"/>
        <w:jc w:val="center"/>
        <w:rPr>
          <w:rFonts w:ascii="Times New Roman" w:hAnsi="Times New Roman" w:cs="Times New Roman"/>
          <w:b/>
          <w:sz w:val="32"/>
        </w:rPr>
      </w:pPr>
      <w:r w:rsidRPr="003A18A8">
        <w:rPr>
          <w:rFonts w:ascii="Times New Roman" w:hAnsi="Times New Roman" w:cs="Times New Roman"/>
          <w:b/>
          <w:sz w:val="32"/>
        </w:rPr>
        <w:t>Assessment 1</w:t>
      </w:r>
    </w:p>
    <w:p w14:paraId="1567D999" w14:textId="77777777" w:rsidR="003A18A8" w:rsidRPr="003A18A8" w:rsidRDefault="003A18A8" w:rsidP="003A18A8">
      <w:pPr>
        <w:spacing w:line="360" w:lineRule="auto"/>
        <w:rPr>
          <w:rFonts w:ascii="Times New Roman" w:hAnsi="Times New Roman" w:cs="Times New Roman"/>
          <w:b/>
        </w:rPr>
      </w:pPr>
    </w:p>
    <w:p w14:paraId="4C1387E4" w14:textId="77777777" w:rsidR="003A18A8" w:rsidRPr="003A18A8" w:rsidRDefault="003A18A8" w:rsidP="003A18A8">
      <w:pPr>
        <w:spacing w:line="360" w:lineRule="auto"/>
        <w:rPr>
          <w:rFonts w:ascii="Times New Roman" w:hAnsi="Times New Roman" w:cs="Times New Roman"/>
          <w:b/>
        </w:rPr>
      </w:pPr>
    </w:p>
    <w:p w14:paraId="24511058" w14:textId="77777777" w:rsidR="003A18A8" w:rsidRPr="003A18A8" w:rsidRDefault="003A18A8" w:rsidP="003A18A8">
      <w:pPr>
        <w:spacing w:line="360" w:lineRule="auto"/>
        <w:rPr>
          <w:rFonts w:ascii="Times New Roman" w:hAnsi="Times New Roman" w:cs="Times New Roman"/>
          <w:b/>
        </w:rPr>
      </w:pPr>
    </w:p>
    <w:p w14:paraId="54ECC3A1" w14:textId="76AF837B" w:rsidR="003A18A8" w:rsidRPr="003A18A8" w:rsidRDefault="003A18A8" w:rsidP="003A18A8">
      <w:pPr>
        <w:spacing w:line="360" w:lineRule="auto"/>
        <w:rPr>
          <w:rFonts w:ascii="Times New Roman" w:hAnsi="Times New Roman" w:cs="Times New Roman"/>
          <w:b/>
        </w:rPr>
      </w:pPr>
      <w:r w:rsidRPr="003A18A8">
        <w:rPr>
          <w:rFonts w:ascii="Times New Roman" w:hAnsi="Times New Roman" w:cs="Times New Roman"/>
          <w:b/>
        </w:rPr>
        <w:t xml:space="preserve">Student Name: </w:t>
      </w:r>
      <w:r w:rsidR="009A635C">
        <w:rPr>
          <w:rFonts w:ascii="Times New Roman" w:hAnsi="Times New Roman" w:cs="Times New Roman"/>
          <w:b/>
        </w:rPr>
        <w:t>Mihaela Musat</w:t>
      </w:r>
    </w:p>
    <w:p w14:paraId="7CF53F85" w14:textId="77777777" w:rsidR="00792662" w:rsidRDefault="003A18A8" w:rsidP="003A18A8">
      <w:pPr>
        <w:spacing w:line="360" w:lineRule="auto"/>
        <w:rPr>
          <w:rFonts w:ascii="Times New Roman" w:hAnsi="Times New Roman" w:cs="Times New Roman"/>
          <w:b/>
        </w:rPr>
      </w:pPr>
      <w:r w:rsidRPr="003A18A8">
        <w:rPr>
          <w:rFonts w:ascii="Times New Roman" w:hAnsi="Times New Roman" w:cs="Times New Roman"/>
          <w:b/>
        </w:rPr>
        <w:t xml:space="preserve">Student ID: </w:t>
      </w:r>
      <w:r w:rsidR="009A635C">
        <w:rPr>
          <w:rFonts w:ascii="Times New Roman" w:hAnsi="Times New Roman" w:cs="Times New Roman"/>
          <w:b/>
        </w:rPr>
        <w:t>1915928</w:t>
      </w:r>
    </w:p>
    <w:p w14:paraId="1A19D227" w14:textId="09933503" w:rsidR="003A18A8" w:rsidRPr="003A18A8" w:rsidRDefault="00132C63" w:rsidP="003A18A8">
      <w:pPr>
        <w:spacing w:line="360" w:lineRule="auto"/>
        <w:rPr>
          <w:rFonts w:ascii="Times New Roman" w:hAnsi="Times New Roman" w:cs="Times New Roman"/>
          <w:b/>
        </w:rPr>
      </w:pPr>
      <w:r>
        <w:rPr>
          <w:rFonts w:ascii="Times New Roman" w:hAnsi="Times New Roman" w:cs="Times New Roman"/>
          <w:b/>
        </w:rPr>
        <w:t>Lecturer Name: Taye</w:t>
      </w:r>
      <w:r w:rsidR="00C8555B">
        <w:rPr>
          <w:rFonts w:ascii="Times New Roman" w:hAnsi="Times New Roman" w:cs="Times New Roman"/>
          <w:b/>
        </w:rPr>
        <w:t xml:space="preserve"> Osadiya</w:t>
      </w:r>
      <w:r w:rsidR="003A18A8" w:rsidRPr="003A18A8">
        <w:rPr>
          <w:rFonts w:ascii="Times New Roman" w:hAnsi="Times New Roman" w:cs="Times New Roman"/>
          <w:b/>
        </w:rPr>
        <w:br w:type="page"/>
      </w:r>
    </w:p>
    <w:sdt>
      <w:sdtPr>
        <w:rPr>
          <w:rFonts w:ascii="Arial" w:eastAsia="Arial" w:hAnsi="Arial" w:cs="Arial"/>
          <w:color w:val="auto"/>
          <w:sz w:val="22"/>
          <w:szCs w:val="22"/>
          <w:lang w:val="en-GB"/>
        </w:rPr>
        <w:id w:val="-246811590"/>
        <w:docPartObj>
          <w:docPartGallery w:val="Table of Contents"/>
          <w:docPartUnique/>
        </w:docPartObj>
      </w:sdtPr>
      <w:sdtEndPr>
        <w:rPr>
          <w:b/>
          <w:bCs/>
          <w:noProof/>
        </w:rPr>
      </w:sdtEndPr>
      <w:sdtContent>
        <w:p w14:paraId="6147440D" w14:textId="78544008" w:rsidR="001837F4" w:rsidRPr="001837F4" w:rsidRDefault="001837F4" w:rsidP="001837F4">
          <w:pPr>
            <w:pStyle w:val="Titlucuprins"/>
            <w:spacing w:line="360" w:lineRule="auto"/>
            <w:jc w:val="center"/>
            <w:rPr>
              <w:rFonts w:ascii="Times New Roman" w:hAnsi="Times New Roman" w:cs="Times New Roman"/>
              <w:sz w:val="28"/>
              <w:szCs w:val="24"/>
            </w:rPr>
          </w:pPr>
          <w:r w:rsidRPr="001837F4">
            <w:rPr>
              <w:rFonts w:ascii="Times New Roman" w:hAnsi="Times New Roman" w:cs="Times New Roman"/>
              <w:sz w:val="28"/>
              <w:szCs w:val="24"/>
            </w:rPr>
            <w:t>Table of Contents</w:t>
          </w:r>
        </w:p>
        <w:p w14:paraId="62CCF157" w14:textId="77777777" w:rsidR="001837F4" w:rsidRPr="001837F4" w:rsidRDefault="001837F4" w:rsidP="001837F4">
          <w:pPr>
            <w:pStyle w:val="Cuprins1"/>
            <w:tabs>
              <w:tab w:val="right" w:leader="dot" w:pos="9016"/>
            </w:tabs>
            <w:spacing w:line="360" w:lineRule="auto"/>
            <w:jc w:val="both"/>
            <w:rPr>
              <w:rFonts w:ascii="Times New Roman" w:hAnsi="Times New Roman" w:cs="Times New Roman"/>
              <w:noProof/>
              <w:sz w:val="24"/>
              <w:szCs w:val="24"/>
            </w:rPr>
          </w:pPr>
          <w:r w:rsidRPr="001837F4">
            <w:rPr>
              <w:rFonts w:ascii="Times New Roman" w:hAnsi="Times New Roman" w:cs="Times New Roman"/>
              <w:sz w:val="24"/>
              <w:szCs w:val="24"/>
            </w:rPr>
            <w:fldChar w:fldCharType="begin"/>
          </w:r>
          <w:r w:rsidRPr="001837F4">
            <w:rPr>
              <w:rFonts w:ascii="Times New Roman" w:hAnsi="Times New Roman" w:cs="Times New Roman"/>
              <w:sz w:val="24"/>
              <w:szCs w:val="24"/>
            </w:rPr>
            <w:instrText xml:space="preserve"> TOC \o "1-3" \h \z \u </w:instrText>
          </w:r>
          <w:r w:rsidRPr="001837F4">
            <w:rPr>
              <w:rFonts w:ascii="Times New Roman" w:hAnsi="Times New Roman" w:cs="Times New Roman"/>
              <w:sz w:val="24"/>
              <w:szCs w:val="24"/>
            </w:rPr>
            <w:fldChar w:fldCharType="separate"/>
          </w:r>
          <w:hyperlink w:anchor="_Toc100747145" w:history="1">
            <w:r w:rsidRPr="001837F4">
              <w:rPr>
                <w:rStyle w:val="Hyperlink"/>
                <w:rFonts w:ascii="Times New Roman" w:hAnsi="Times New Roman" w:cs="Times New Roman"/>
                <w:noProof/>
                <w:sz w:val="24"/>
                <w:szCs w:val="24"/>
              </w:rPr>
              <w:t>Introduction</w:t>
            </w:r>
            <w:r w:rsidRPr="001837F4">
              <w:rPr>
                <w:rFonts w:ascii="Times New Roman" w:hAnsi="Times New Roman" w:cs="Times New Roman"/>
                <w:noProof/>
                <w:webHidden/>
                <w:sz w:val="24"/>
                <w:szCs w:val="24"/>
              </w:rPr>
              <w:tab/>
            </w:r>
            <w:r w:rsidRPr="001837F4">
              <w:rPr>
                <w:rFonts w:ascii="Times New Roman" w:hAnsi="Times New Roman" w:cs="Times New Roman"/>
                <w:noProof/>
                <w:webHidden/>
                <w:sz w:val="24"/>
                <w:szCs w:val="24"/>
              </w:rPr>
              <w:fldChar w:fldCharType="begin"/>
            </w:r>
            <w:r w:rsidRPr="001837F4">
              <w:rPr>
                <w:rFonts w:ascii="Times New Roman" w:hAnsi="Times New Roman" w:cs="Times New Roman"/>
                <w:noProof/>
                <w:webHidden/>
                <w:sz w:val="24"/>
                <w:szCs w:val="24"/>
              </w:rPr>
              <w:instrText xml:space="preserve"> PAGEREF _Toc100747145 \h </w:instrText>
            </w:r>
            <w:r w:rsidRPr="001837F4">
              <w:rPr>
                <w:rFonts w:ascii="Times New Roman" w:hAnsi="Times New Roman" w:cs="Times New Roman"/>
                <w:noProof/>
                <w:webHidden/>
                <w:sz w:val="24"/>
                <w:szCs w:val="24"/>
              </w:rPr>
            </w:r>
            <w:r w:rsidRPr="001837F4">
              <w:rPr>
                <w:rFonts w:ascii="Times New Roman" w:hAnsi="Times New Roman" w:cs="Times New Roman"/>
                <w:noProof/>
                <w:webHidden/>
                <w:sz w:val="24"/>
                <w:szCs w:val="24"/>
              </w:rPr>
              <w:fldChar w:fldCharType="separate"/>
            </w:r>
            <w:r w:rsidRPr="001837F4">
              <w:rPr>
                <w:rFonts w:ascii="Times New Roman" w:hAnsi="Times New Roman" w:cs="Times New Roman"/>
                <w:noProof/>
                <w:webHidden/>
                <w:sz w:val="24"/>
                <w:szCs w:val="24"/>
              </w:rPr>
              <w:t>3</w:t>
            </w:r>
            <w:r w:rsidRPr="001837F4">
              <w:rPr>
                <w:rFonts w:ascii="Times New Roman" w:hAnsi="Times New Roman" w:cs="Times New Roman"/>
                <w:noProof/>
                <w:webHidden/>
                <w:sz w:val="24"/>
                <w:szCs w:val="24"/>
              </w:rPr>
              <w:fldChar w:fldCharType="end"/>
            </w:r>
          </w:hyperlink>
        </w:p>
        <w:p w14:paraId="6B537B4F" w14:textId="77777777" w:rsidR="001837F4" w:rsidRPr="001837F4" w:rsidRDefault="008E6A06" w:rsidP="001837F4">
          <w:pPr>
            <w:pStyle w:val="Cuprins1"/>
            <w:tabs>
              <w:tab w:val="right" w:leader="dot" w:pos="9016"/>
            </w:tabs>
            <w:spacing w:line="360" w:lineRule="auto"/>
            <w:jc w:val="both"/>
            <w:rPr>
              <w:rFonts w:ascii="Times New Roman" w:hAnsi="Times New Roman" w:cs="Times New Roman"/>
              <w:noProof/>
              <w:sz w:val="24"/>
              <w:szCs w:val="24"/>
            </w:rPr>
          </w:pPr>
          <w:hyperlink w:anchor="_Toc100747146" w:history="1">
            <w:r w:rsidR="001837F4" w:rsidRPr="001837F4">
              <w:rPr>
                <w:rStyle w:val="Hyperlink"/>
                <w:rFonts w:ascii="Times New Roman" w:hAnsi="Times New Roman" w:cs="Times New Roman"/>
                <w:noProof/>
                <w:sz w:val="24"/>
                <w:szCs w:val="24"/>
              </w:rPr>
              <w:t>Discussions</w:t>
            </w:r>
            <w:r w:rsidR="001837F4" w:rsidRPr="001837F4">
              <w:rPr>
                <w:rFonts w:ascii="Times New Roman" w:hAnsi="Times New Roman" w:cs="Times New Roman"/>
                <w:noProof/>
                <w:webHidden/>
                <w:sz w:val="24"/>
                <w:szCs w:val="24"/>
              </w:rPr>
              <w:tab/>
            </w:r>
            <w:r w:rsidR="001837F4" w:rsidRPr="001837F4">
              <w:rPr>
                <w:rFonts w:ascii="Times New Roman" w:hAnsi="Times New Roman" w:cs="Times New Roman"/>
                <w:noProof/>
                <w:webHidden/>
                <w:sz w:val="24"/>
                <w:szCs w:val="24"/>
              </w:rPr>
              <w:fldChar w:fldCharType="begin"/>
            </w:r>
            <w:r w:rsidR="001837F4" w:rsidRPr="001837F4">
              <w:rPr>
                <w:rFonts w:ascii="Times New Roman" w:hAnsi="Times New Roman" w:cs="Times New Roman"/>
                <w:noProof/>
                <w:webHidden/>
                <w:sz w:val="24"/>
                <w:szCs w:val="24"/>
              </w:rPr>
              <w:instrText xml:space="preserve"> PAGEREF _Toc100747146 \h </w:instrText>
            </w:r>
            <w:r w:rsidR="001837F4" w:rsidRPr="001837F4">
              <w:rPr>
                <w:rFonts w:ascii="Times New Roman" w:hAnsi="Times New Roman" w:cs="Times New Roman"/>
                <w:noProof/>
                <w:webHidden/>
                <w:sz w:val="24"/>
                <w:szCs w:val="24"/>
              </w:rPr>
            </w:r>
            <w:r w:rsidR="001837F4" w:rsidRPr="001837F4">
              <w:rPr>
                <w:rFonts w:ascii="Times New Roman" w:hAnsi="Times New Roman" w:cs="Times New Roman"/>
                <w:noProof/>
                <w:webHidden/>
                <w:sz w:val="24"/>
                <w:szCs w:val="24"/>
              </w:rPr>
              <w:fldChar w:fldCharType="separate"/>
            </w:r>
            <w:r w:rsidR="001837F4" w:rsidRPr="001837F4">
              <w:rPr>
                <w:rFonts w:ascii="Times New Roman" w:hAnsi="Times New Roman" w:cs="Times New Roman"/>
                <w:noProof/>
                <w:webHidden/>
                <w:sz w:val="24"/>
                <w:szCs w:val="24"/>
              </w:rPr>
              <w:t>3</w:t>
            </w:r>
            <w:r w:rsidR="001837F4" w:rsidRPr="001837F4">
              <w:rPr>
                <w:rFonts w:ascii="Times New Roman" w:hAnsi="Times New Roman" w:cs="Times New Roman"/>
                <w:noProof/>
                <w:webHidden/>
                <w:sz w:val="24"/>
                <w:szCs w:val="24"/>
              </w:rPr>
              <w:fldChar w:fldCharType="end"/>
            </w:r>
          </w:hyperlink>
        </w:p>
        <w:p w14:paraId="7CAE6455" w14:textId="77777777" w:rsidR="001837F4" w:rsidRPr="001837F4" w:rsidRDefault="008E6A06" w:rsidP="001837F4">
          <w:pPr>
            <w:pStyle w:val="Cuprins1"/>
            <w:tabs>
              <w:tab w:val="right" w:leader="dot" w:pos="9016"/>
            </w:tabs>
            <w:spacing w:line="360" w:lineRule="auto"/>
            <w:jc w:val="both"/>
            <w:rPr>
              <w:rFonts w:ascii="Times New Roman" w:hAnsi="Times New Roman" w:cs="Times New Roman"/>
              <w:noProof/>
              <w:sz w:val="24"/>
              <w:szCs w:val="24"/>
            </w:rPr>
          </w:pPr>
          <w:hyperlink w:anchor="_Toc100747147" w:history="1">
            <w:r w:rsidR="001837F4" w:rsidRPr="001837F4">
              <w:rPr>
                <w:rStyle w:val="Hyperlink"/>
                <w:rFonts w:ascii="Times New Roman" w:hAnsi="Times New Roman" w:cs="Times New Roman"/>
                <w:noProof/>
                <w:sz w:val="24"/>
                <w:szCs w:val="24"/>
              </w:rPr>
              <w:t>Conclusions</w:t>
            </w:r>
            <w:r w:rsidR="001837F4" w:rsidRPr="001837F4">
              <w:rPr>
                <w:rFonts w:ascii="Times New Roman" w:hAnsi="Times New Roman" w:cs="Times New Roman"/>
                <w:noProof/>
                <w:webHidden/>
                <w:sz w:val="24"/>
                <w:szCs w:val="24"/>
              </w:rPr>
              <w:tab/>
            </w:r>
            <w:r w:rsidR="001837F4" w:rsidRPr="001837F4">
              <w:rPr>
                <w:rFonts w:ascii="Times New Roman" w:hAnsi="Times New Roman" w:cs="Times New Roman"/>
                <w:noProof/>
                <w:webHidden/>
                <w:sz w:val="24"/>
                <w:szCs w:val="24"/>
              </w:rPr>
              <w:fldChar w:fldCharType="begin"/>
            </w:r>
            <w:r w:rsidR="001837F4" w:rsidRPr="001837F4">
              <w:rPr>
                <w:rFonts w:ascii="Times New Roman" w:hAnsi="Times New Roman" w:cs="Times New Roman"/>
                <w:noProof/>
                <w:webHidden/>
                <w:sz w:val="24"/>
                <w:szCs w:val="24"/>
              </w:rPr>
              <w:instrText xml:space="preserve"> PAGEREF _Toc100747147 \h </w:instrText>
            </w:r>
            <w:r w:rsidR="001837F4" w:rsidRPr="001837F4">
              <w:rPr>
                <w:rFonts w:ascii="Times New Roman" w:hAnsi="Times New Roman" w:cs="Times New Roman"/>
                <w:noProof/>
                <w:webHidden/>
                <w:sz w:val="24"/>
                <w:szCs w:val="24"/>
              </w:rPr>
            </w:r>
            <w:r w:rsidR="001837F4" w:rsidRPr="001837F4">
              <w:rPr>
                <w:rFonts w:ascii="Times New Roman" w:hAnsi="Times New Roman" w:cs="Times New Roman"/>
                <w:noProof/>
                <w:webHidden/>
                <w:sz w:val="24"/>
                <w:szCs w:val="24"/>
              </w:rPr>
              <w:fldChar w:fldCharType="separate"/>
            </w:r>
            <w:r w:rsidR="001837F4" w:rsidRPr="001837F4">
              <w:rPr>
                <w:rFonts w:ascii="Times New Roman" w:hAnsi="Times New Roman" w:cs="Times New Roman"/>
                <w:noProof/>
                <w:webHidden/>
                <w:sz w:val="24"/>
                <w:szCs w:val="24"/>
              </w:rPr>
              <w:t>6</w:t>
            </w:r>
            <w:r w:rsidR="001837F4" w:rsidRPr="001837F4">
              <w:rPr>
                <w:rFonts w:ascii="Times New Roman" w:hAnsi="Times New Roman" w:cs="Times New Roman"/>
                <w:noProof/>
                <w:webHidden/>
                <w:sz w:val="24"/>
                <w:szCs w:val="24"/>
              </w:rPr>
              <w:fldChar w:fldCharType="end"/>
            </w:r>
          </w:hyperlink>
        </w:p>
        <w:p w14:paraId="494BFA9A" w14:textId="77777777" w:rsidR="001837F4" w:rsidRPr="001837F4" w:rsidRDefault="008E6A06" w:rsidP="001837F4">
          <w:pPr>
            <w:pStyle w:val="Cuprins1"/>
            <w:tabs>
              <w:tab w:val="right" w:leader="dot" w:pos="9016"/>
            </w:tabs>
            <w:spacing w:line="360" w:lineRule="auto"/>
            <w:jc w:val="both"/>
            <w:rPr>
              <w:rFonts w:ascii="Times New Roman" w:hAnsi="Times New Roman" w:cs="Times New Roman"/>
              <w:noProof/>
              <w:sz w:val="24"/>
              <w:szCs w:val="24"/>
            </w:rPr>
          </w:pPr>
          <w:hyperlink w:anchor="_Toc100747148" w:history="1">
            <w:r w:rsidR="001837F4" w:rsidRPr="001837F4">
              <w:rPr>
                <w:rStyle w:val="Hyperlink"/>
                <w:rFonts w:ascii="Times New Roman" w:hAnsi="Times New Roman" w:cs="Times New Roman"/>
                <w:noProof/>
                <w:sz w:val="24"/>
                <w:szCs w:val="24"/>
              </w:rPr>
              <w:t>References</w:t>
            </w:r>
            <w:r w:rsidR="001837F4" w:rsidRPr="001837F4">
              <w:rPr>
                <w:rFonts w:ascii="Times New Roman" w:hAnsi="Times New Roman" w:cs="Times New Roman"/>
                <w:noProof/>
                <w:webHidden/>
                <w:sz w:val="24"/>
                <w:szCs w:val="24"/>
              </w:rPr>
              <w:tab/>
            </w:r>
            <w:r w:rsidR="001837F4" w:rsidRPr="001837F4">
              <w:rPr>
                <w:rFonts w:ascii="Times New Roman" w:hAnsi="Times New Roman" w:cs="Times New Roman"/>
                <w:noProof/>
                <w:webHidden/>
                <w:sz w:val="24"/>
                <w:szCs w:val="24"/>
              </w:rPr>
              <w:fldChar w:fldCharType="begin"/>
            </w:r>
            <w:r w:rsidR="001837F4" w:rsidRPr="001837F4">
              <w:rPr>
                <w:rFonts w:ascii="Times New Roman" w:hAnsi="Times New Roman" w:cs="Times New Roman"/>
                <w:noProof/>
                <w:webHidden/>
                <w:sz w:val="24"/>
                <w:szCs w:val="24"/>
              </w:rPr>
              <w:instrText xml:space="preserve"> PAGEREF _Toc100747148 \h </w:instrText>
            </w:r>
            <w:r w:rsidR="001837F4" w:rsidRPr="001837F4">
              <w:rPr>
                <w:rFonts w:ascii="Times New Roman" w:hAnsi="Times New Roman" w:cs="Times New Roman"/>
                <w:noProof/>
                <w:webHidden/>
                <w:sz w:val="24"/>
                <w:szCs w:val="24"/>
              </w:rPr>
            </w:r>
            <w:r w:rsidR="001837F4" w:rsidRPr="001837F4">
              <w:rPr>
                <w:rFonts w:ascii="Times New Roman" w:hAnsi="Times New Roman" w:cs="Times New Roman"/>
                <w:noProof/>
                <w:webHidden/>
                <w:sz w:val="24"/>
                <w:szCs w:val="24"/>
              </w:rPr>
              <w:fldChar w:fldCharType="separate"/>
            </w:r>
            <w:r w:rsidR="001837F4" w:rsidRPr="001837F4">
              <w:rPr>
                <w:rFonts w:ascii="Times New Roman" w:hAnsi="Times New Roman" w:cs="Times New Roman"/>
                <w:noProof/>
                <w:webHidden/>
                <w:sz w:val="24"/>
                <w:szCs w:val="24"/>
              </w:rPr>
              <w:t>7</w:t>
            </w:r>
            <w:r w:rsidR="001837F4" w:rsidRPr="001837F4">
              <w:rPr>
                <w:rFonts w:ascii="Times New Roman" w:hAnsi="Times New Roman" w:cs="Times New Roman"/>
                <w:noProof/>
                <w:webHidden/>
                <w:sz w:val="24"/>
                <w:szCs w:val="24"/>
              </w:rPr>
              <w:fldChar w:fldCharType="end"/>
            </w:r>
          </w:hyperlink>
        </w:p>
        <w:p w14:paraId="060A86B6" w14:textId="02D9CB2D" w:rsidR="001837F4" w:rsidRDefault="001837F4" w:rsidP="001837F4">
          <w:pPr>
            <w:spacing w:line="360" w:lineRule="auto"/>
            <w:jc w:val="both"/>
          </w:pPr>
          <w:r w:rsidRPr="001837F4">
            <w:rPr>
              <w:rFonts w:ascii="Times New Roman" w:hAnsi="Times New Roman" w:cs="Times New Roman"/>
              <w:b/>
              <w:bCs/>
              <w:noProof/>
              <w:sz w:val="24"/>
              <w:szCs w:val="24"/>
            </w:rPr>
            <w:fldChar w:fldCharType="end"/>
          </w:r>
        </w:p>
      </w:sdtContent>
    </w:sdt>
    <w:p w14:paraId="525EFD39" w14:textId="77777777" w:rsidR="001837F4" w:rsidRDefault="001837F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1" w14:textId="6EB5DFFE" w:rsidR="004825DF" w:rsidRDefault="00127876" w:rsidP="001837F4">
      <w:pPr>
        <w:pStyle w:val="Titlu1"/>
      </w:pPr>
      <w:bookmarkStart w:id="0" w:name="_Toc100747145"/>
      <w:r w:rsidRPr="001837F4">
        <w:lastRenderedPageBreak/>
        <w:t>Introduction</w:t>
      </w:r>
      <w:bookmarkEnd w:id="0"/>
      <w:r>
        <w:t xml:space="preserve"> </w:t>
      </w:r>
    </w:p>
    <w:p w14:paraId="00000002"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Accounting principles associated with individual business are initiated for providing a detailed presentation regarding accounting maintenance including reporting formulation support also with the determination of which general compatibility can be initiated. Presence of “Financial management” is considered as the part of accounting also, with the inclusion of managerial approach mainly with the support of which a formative development can also be initiated in a supportive basis. It also provides a level of opportunity including operating compatibility determination support through the maintenance of which a positive formulated development can be managed as well (</w:t>
      </w:r>
      <w:r>
        <w:rPr>
          <w:rFonts w:ascii="Times New Roman" w:eastAsia="Times New Roman" w:hAnsi="Times New Roman" w:cs="Times New Roman"/>
          <w:color w:val="222222"/>
          <w:sz w:val="24"/>
          <w:szCs w:val="24"/>
          <w:highlight w:val="white"/>
        </w:rPr>
        <w:t>Prihartono and Asandimitra, 2018)</w:t>
      </w:r>
      <w:r>
        <w:rPr>
          <w:rFonts w:ascii="Times New Roman" w:eastAsia="Times New Roman" w:hAnsi="Times New Roman" w:cs="Times New Roman"/>
          <w:sz w:val="24"/>
          <w:szCs w:val="24"/>
        </w:rPr>
        <w:t xml:space="preserve">. </w:t>
      </w:r>
    </w:p>
    <w:p w14:paraId="00000003"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of accounting including managerial approach is initiated for providing individual project evaluation purposes that can be initiated for managerial and other associated formulation support purposes. In this discussion mainly some of the potential details associated with financial management has been initiated regarding Tesco plc for effective performance recognition purposes. </w:t>
      </w:r>
    </w:p>
    <w:p w14:paraId="00000004" w14:textId="77777777" w:rsidR="004825DF" w:rsidRDefault="00127876" w:rsidP="001837F4">
      <w:pPr>
        <w:pStyle w:val="Titlu1"/>
      </w:pPr>
      <w:bookmarkStart w:id="1" w:name="_Toc100747146"/>
      <w:r>
        <w:t>Discussions</w:t>
      </w:r>
      <w:bookmarkEnd w:id="1"/>
      <w:r>
        <w:t xml:space="preserve"> </w:t>
      </w:r>
    </w:p>
    <w:p w14:paraId="00000005"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Fundamentally, conceptual approach regarding “Financial management is mainly initiated for managing accounting development including the attributes regarding wealth maximisation processing mainly that initiated for formulating performance management initiatives in a supportive basis. It brings a sustainable and systematic working engagement including formulated development also initiated for maintaining the performance efficiency approach in a comprehensive basis. Applied engagement of this accounting conceptual approach provides a systematic pathway with support of which a positive maintenance of operational goal completion initiatives can also be maintained in an effective order. It is also used to provide a proper volume of operating competency with initiative of which the probable business opportunity as well as a proper efficiency structure related to resource allocation approach can also be initiated (</w:t>
      </w:r>
      <w:r>
        <w:rPr>
          <w:rFonts w:ascii="Times New Roman" w:eastAsia="Times New Roman" w:hAnsi="Times New Roman" w:cs="Times New Roman"/>
          <w:color w:val="222222"/>
          <w:sz w:val="24"/>
          <w:szCs w:val="24"/>
          <w:highlight w:val="white"/>
        </w:rPr>
        <w:t>Al Muhairi and Nobanee, 2019)</w:t>
      </w:r>
      <w:r>
        <w:rPr>
          <w:rFonts w:ascii="Times New Roman" w:eastAsia="Times New Roman" w:hAnsi="Times New Roman" w:cs="Times New Roman"/>
          <w:sz w:val="24"/>
          <w:szCs w:val="24"/>
        </w:rPr>
        <w:t xml:space="preserve">. The formulated developments related to this engagement are used to provide a comprehensive growth structure for business with initiative of which the performance management processing can also be balanced in a proper order”. </w:t>
      </w:r>
    </w:p>
    <w:p w14:paraId="00000006"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present marketing approach “Tesco plc is considered as the largest British multinational grocery and general merchandise retail organisation that incorporated in the United Kingdom during the period of 1919 and that presenting it as 103 years old retail organisation mainly”. At the present condition the organisation is operated with the support of 4673 number of units with the support of which organisational performance has been initiated (</w:t>
      </w:r>
      <w:r>
        <w:rPr>
          <w:rFonts w:ascii="Times New Roman" w:eastAsia="Times New Roman" w:hAnsi="Times New Roman" w:cs="Times New Roman"/>
          <w:sz w:val="24"/>
          <w:szCs w:val="24"/>
          <w:highlight w:val="white"/>
        </w:rPr>
        <w:t>Tesco plc, 2022)</w:t>
      </w:r>
      <w:r>
        <w:rPr>
          <w:rFonts w:ascii="Times New Roman" w:eastAsia="Times New Roman" w:hAnsi="Times New Roman" w:cs="Times New Roman"/>
          <w:sz w:val="24"/>
          <w:szCs w:val="24"/>
        </w:rPr>
        <w:t xml:space="preserve">. </w:t>
      </w:r>
    </w:p>
    <w:p w14:paraId="00000007"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Under “Financial management the presence of different marketing approaches including some of the significant accounting concepts are supportively noticed that provides a level of engagement regarding accounting framework and other formulated development in an effective basis. Identifying approach of </w:t>
      </w:r>
      <w:r>
        <w:rPr>
          <w:rFonts w:ascii="Times New Roman" w:eastAsia="Times New Roman" w:hAnsi="Times New Roman" w:cs="Times New Roman"/>
          <w:b/>
          <w:sz w:val="24"/>
          <w:szCs w:val="24"/>
        </w:rPr>
        <w:t>Dividend policy</w:t>
      </w:r>
      <w:r>
        <w:rPr>
          <w:rFonts w:ascii="Times New Roman" w:eastAsia="Times New Roman" w:hAnsi="Times New Roman" w:cs="Times New Roman"/>
          <w:sz w:val="24"/>
          <w:szCs w:val="24"/>
        </w:rPr>
        <w:t xml:space="preserve"> is one of the significant accounting conceptual approaches that provides a level of growth including potentiality approach in an effective basis with the maintenance of which market capitalization approach of business can be initiated. According to the present provided details, in the present accounting period the organisation </w:t>
      </w:r>
      <w:r>
        <w:rPr>
          <w:rFonts w:ascii="Times New Roman" w:eastAsia="Times New Roman" w:hAnsi="Times New Roman" w:cs="Times New Roman"/>
          <w:b/>
          <w:sz w:val="24"/>
          <w:szCs w:val="24"/>
        </w:rPr>
        <w:t xml:space="preserve">Tesco plc </w:t>
      </w:r>
      <w:r>
        <w:rPr>
          <w:rFonts w:ascii="Times New Roman" w:eastAsia="Times New Roman" w:hAnsi="Times New Roman" w:cs="Times New Roman"/>
          <w:sz w:val="24"/>
          <w:szCs w:val="24"/>
        </w:rPr>
        <w:t>provides around 9.15p as present dividend level for individual shareholders in accordance with the current marketing engagement and business profit mainly (Tesco plc, 2022). In respect to the basic operating approach the organisation mainly used to provide importance to three different types of payment approach with respect to dividend to the shareholder has been provided”. Apart from that the business is also used to provide focus over the dividend reinvestment planning approach in order to maintain a proper volume of consistency related to financial processing in a supportive and comprehensive basis. Including the same approach the organisation is also used to provide a significant amount of capital contribution approach as well as standardised formulation regarding business equity capital approach also in association of which the probable opportunity of business can be formulated (</w:t>
      </w:r>
      <w:r>
        <w:rPr>
          <w:rFonts w:ascii="Times New Roman" w:eastAsia="Times New Roman" w:hAnsi="Times New Roman" w:cs="Times New Roman"/>
          <w:sz w:val="24"/>
          <w:szCs w:val="24"/>
          <w:highlight w:val="white"/>
        </w:rPr>
        <w:t>Tesco plc, 2022)</w:t>
      </w:r>
      <w:r>
        <w:rPr>
          <w:rFonts w:ascii="Times New Roman" w:eastAsia="Times New Roman" w:hAnsi="Times New Roman" w:cs="Times New Roman"/>
          <w:sz w:val="24"/>
          <w:szCs w:val="24"/>
        </w:rPr>
        <w:t xml:space="preserve">. </w:t>
      </w:r>
    </w:p>
    <w:p w14:paraId="00000008" w14:textId="3D1F967A"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respect to the basic performance initiative the organisation is used to provide a dividend equivalent approach for the potential shareholder with respect of which a proper volume of consistency including different types of dividend policy approach that can be maintained for operating development support. As per the general principles an Organisation that used to provide a positive and continued dividend to the shareholder on behalf of earnings on a supportive basis and depending on the profitability the volume of such dividend is </w:t>
      </w:r>
      <w:r w:rsidR="001837F4">
        <w:rPr>
          <w:rFonts w:ascii="Times New Roman" w:eastAsia="Times New Roman" w:hAnsi="Times New Roman" w:cs="Times New Roman"/>
          <w:sz w:val="24"/>
          <w:szCs w:val="24"/>
        </w:rPr>
        <w:t>expanded or</w:t>
      </w:r>
      <w:r>
        <w:rPr>
          <w:rFonts w:ascii="Times New Roman" w:eastAsia="Times New Roman" w:hAnsi="Times New Roman" w:cs="Times New Roman"/>
          <w:sz w:val="24"/>
          <w:szCs w:val="24"/>
        </w:rPr>
        <w:t xml:space="preserve"> decreased; generally represents the engagement of</w:t>
      </w:r>
      <w:r>
        <w:rPr>
          <w:rFonts w:ascii="Times New Roman" w:eastAsia="Times New Roman" w:hAnsi="Times New Roman" w:cs="Times New Roman"/>
          <w:b/>
          <w:sz w:val="24"/>
          <w:szCs w:val="24"/>
        </w:rPr>
        <w:t xml:space="preserve"> Constant dividend policy</w:t>
      </w:r>
      <w:r>
        <w:rPr>
          <w:rFonts w:ascii="Times New Roman" w:eastAsia="Times New Roman" w:hAnsi="Times New Roman" w:cs="Times New Roman"/>
          <w:sz w:val="24"/>
          <w:szCs w:val="24"/>
        </w:rPr>
        <w:t xml:space="preserve"> approach. In respect to the present performance approach the Tesco plc mainly used to provide importance to this specific approach mainly that can be maintained for operating, financial consistency support purposes (</w:t>
      </w:r>
      <w:r>
        <w:rPr>
          <w:rFonts w:ascii="Times New Roman" w:eastAsia="Times New Roman" w:hAnsi="Times New Roman" w:cs="Times New Roman"/>
          <w:sz w:val="24"/>
          <w:szCs w:val="24"/>
          <w:highlight w:val="white"/>
        </w:rPr>
        <w:t>Tesco plc, 2022)</w:t>
      </w:r>
      <w:r>
        <w:rPr>
          <w:rFonts w:ascii="Times New Roman" w:eastAsia="Times New Roman" w:hAnsi="Times New Roman" w:cs="Times New Roman"/>
          <w:sz w:val="24"/>
          <w:szCs w:val="24"/>
        </w:rPr>
        <w:t>. Associated with the basic approach proper maintenance of this dividend policy initiated for formulated development purpose, however it is unable to maintain a positive strategic development initiative as well as maintaining the consistency approach of organisational earnings in an influential manner. Applied the engagement of such policy support are also formulated for maintaining the Comprehensive structural viewpoint related to capital  formulation approach with respect of which the probable opportunity including an optimised growth of the business can be initiated in a supportive and comprehensive manner (</w:t>
      </w:r>
      <w:r>
        <w:rPr>
          <w:rFonts w:ascii="Times New Roman" w:eastAsia="Times New Roman" w:hAnsi="Times New Roman" w:cs="Times New Roman"/>
          <w:color w:val="222222"/>
          <w:sz w:val="24"/>
          <w:szCs w:val="24"/>
          <w:highlight w:val="white"/>
        </w:rPr>
        <w:t xml:space="preserve">Martin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p>
    <w:p w14:paraId="00000009"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Applied the conceptual approach of </w:t>
      </w:r>
      <w:r>
        <w:rPr>
          <w:rFonts w:ascii="Times New Roman" w:eastAsia="Times New Roman" w:hAnsi="Times New Roman" w:cs="Times New Roman"/>
          <w:b/>
          <w:sz w:val="24"/>
          <w:szCs w:val="24"/>
        </w:rPr>
        <w:t>“marketing hypothesis theory</w:t>
      </w:r>
      <w:r>
        <w:rPr>
          <w:rFonts w:ascii="Times New Roman" w:eastAsia="Times New Roman" w:hAnsi="Times New Roman" w:cs="Times New Roman"/>
          <w:sz w:val="24"/>
          <w:szCs w:val="24"/>
        </w:rPr>
        <w:t xml:space="preserve"> is initiated for detailing appearance regarding market share engagement mainly with the maintenance of which a positive and influential detailing regarding business share capital approach can effectively be initiated (</w:t>
      </w:r>
      <w:r>
        <w:rPr>
          <w:rFonts w:ascii="Times New Roman" w:eastAsia="Times New Roman" w:hAnsi="Times New Roman" w:cs="Times New Roman"/>
          <w:color w:val="222222"/>
          <w:sz w:val="24"/>
          <w:szCs w:val="24"/>
          <w:highlight w:val="white"/>
        </w:rPr>
        <w:t>Brigham and Daves, 2018)</w:t>
      </w:r>
      <w:r>
        <w:rPr>
          <w:rFonts w:ascii="Times New Roman" w:eastAsia="Times New Roman" w:hAnsi="Times New Roman" w:cs="Times New Roman"/>
          <w:sz w:val="24"/>
          <w:szCs w:val="24"/>
        </w:rPr>
        <w:t>. It also initiated the fundamental development regarding formulation approach of share processing that can be initiated for processing the optimised growth of business also. According to the present marketing engagement the overall volume of share pricing for Tesco plc resulted in 282.85 (+2.60) that indicating a comprehensive financial processing in respect to basic performance and financial formulation on an effective basis. Depending on the current economic process the overall volume of present marketing capitalization approach is indicating the level of 21.568billion, while the volume of beta is indicating around 0.56 including PE ratio level of 3.34 and EPS structure of 84.60 on an efficient basis (</w:t>
      </w:r>
      <w:r>
        <w:rPr>
          <w:rFonts w:ascii="Times New Roman" w:eastAsia="Times New Roman" w:hAnsi="Times New Roman" w:cs="Times New Roman"/>
          <w:sz w:val="24"/>
          <w:szCs w:val="24"/>
          <w:highlight w:val="white"/>
        </w:rPr>
        <w:t>Finance.yahoo.com, 2022)</w:t>
      </w:r>
      <w:r>
        <w:rPr>
          <w:rFonts w:ascii="Times New Roman" w:eastAsia="Times New Roman" w:hAnsi="Times New Roman" w:cs="Times New Roman"/>
          <w:sz w:val="24"/>
          <w:szCs w:val="24"/>
        </w:rPr>
        <w:t xml:space="preserve">. Depending on the present marketing approach the overall volume of present marketing approach of the business is mainly initiated by the develop formulated approach with lower financial risks engagement support mainly that provides a comprehensive processing including the operating optimised processing in an effective basis. </w:t>
      </w:r>
    </w:p>
    <w:p w14:paraId="0000000A" w14:textId="4C6F4849"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present market share price, a positive amount of financial function approach for this particular business is noticed that indicates the revenue formulation as well as profitability initiative approach in comprehensive order. With respect to basic performance initiative the present management provides a proper volume of importance over the supply chain management in </w:t>
      </w:r>
      <w:r w:rsidR="001837F4">
        <w:rPr>
          <w:rFonts w:ascii="Times New Roman" w:eastAsia="Times New Roman" w:hAnsi="Times New Roman" w:cs="Times New Roman"/>
          <w:sz w:val="24"/>
          <w:szCs w:val="24"/>
        </w:rPr>
        <w:t>a comprehensive</w:t>
      </w:r>
      <w:r>
        <w:rPr>
          <w:rFonts w:ascii="Times New Roman" w:eastAsia="Times New Roman" w:hAnsi="Times New Roman" w:cs="Times New Roman"/>
          <w:sz w:val="24"/>
          <w:szCs w:val="24"/>
        </w:rPr>
        <w:t xml:space="preserve"> basis with respect of which the probable opportunity as well as marketing formulated can also be balanced and formulated (</w:t>
      </w:r>
      <w:r>
        <w:rPr>
          <w:rFonts w:ascii="Times New Roman" w:eastAsia="Times New Roman" w:hAnsi="Times New Roman" w:cs="Times New Roman"/>
          <w:sz w:val="24"/>
          <w:szCs w:val="24"/>
          <w:highlight w:val="white"/>
        </w:rPr>
        <w:t>Tesco plc, 2022)</w:t>
      </w:r>
      <w:r>
        <w:rPr>
          <w:rFonts w:ascii="Times New Roman" w:eastAsia="Times New Roman" w:hAnsi="Times New Roman" w:cs="Times New Roman"/>
          <w:sz w:val="24"/>
          <w:szCs w:val="24"/>
        </w:rPr>
        <w:t xml:space="preserve">. The appearances of this type of engagement are also providing a positive formulated approach for business marketing initiative purpose with maintenance of which the primary development including some of the positive performance management approach can also be structured in a proper basis. </w:t>
      </w:r>
    </w:p>
    <w:p w14:paraId="0000000B" w14:textId="77777777"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 the basic approach of “Financial management the appearance of project evaluation approach with respect to investment appraisal processing is mainly initiated for determining the formulated growth including basic operating consistency approach also that can be managed for operating sustainability and other associated business growth in a supportive and comprehensive basis (</w:t>
      </w:r>
      <w:r>
        <w:rPr>
          <w:rFonts w:ascii="Times New Roman" w:eastAsia="Times New Roman" w:hAnsi="Times New Roman" w:cs="Times New Roman"/>
          <w:color w:val="222222"/>
          <w:sz w:val="24"/>
          <w:szCs w:val="24"/>
          <w:highlight w:val="white"/>
        </w:rPr>
        <w:t>Brigham and Ehrhardt, 2019)</w:t>
      </w:r>
      <w:r>
        <w:rPr>
          <w:rFonts w:ascii="Times New Roman" w:eastAsia="Times New Roman" w:hAnsi="Times New Roman" w:cs="Times New Roman"/>
          <w:sz w:val="24"/>
          <w:szCs w:val="24"/>
        </w:rPr>
        <w:t xml:space="preserve">. It is also used to formulate a proper amount of structural identification with respect to which some of the positive approach as well as the operating system and ability approach of business can also be initiated on a proper basis. It also allowed the management to formulate some of the structural modification support with respect of which the probable opportunity related to business earning capability can also be influenced. In respect to the present operating compatibility the initiated project investment </w:t>
      </w:r>
      <w:r>
        <w:rPr>
          <w:rFonts w:ascii="Times New Roman" w:eastAsia="Times New Roman" w:hAnsi="Times New Roman" w:cs="Times New Roman"/>
          <w:sz w:val="24"/>
          <w:szCs w:val="24"/>
        </w:rPr>
        <w:lastRenderedPageBreak/>
        <w:t>regarding green power project plan that is initiated by Tesco used to provide an engagement of supportive payback initiative and net present value concept that provide the accountability initiative regarding this particular project in a comprehensive basis. Under this project “5 onshore wind farms and 1 solar farm will be created for the purpose of effective energy supportive reasons” has been initiated that formulated for managing the operating compatibility including the primary development approach regarding internal operating growth approach on an effective basis (Tesco plc, 2022). The formulated approach related to this particular project is also initiated in order to provide a positive structural view point with respect to probable marketing growth as well as some of the positive attributes related to performance management and out to be initiated. It is able to provide a proper sustainability determination as well as accountability initiative of the business through the formulation of which positive volume of optimised growth and other associated approaches regarding business performances can be maintained in a structural basis (</w:t>
      </w:r>
      <w:r>
        <w:rPr>
          <w:rFonts w:ascii="Times New Roman" w:eastAsia="Times New Roman" w:hAnsi="Times New Roman" w:cs="Times New Roman"/>
          <w:color w:val="222222"/>
          <w:sz w:val="24"/>
          <w:szCs w:val="24"/>
          <w:highlight w:val="white"/>
        </w:rPr>
        <w:t>Shapiro and Hanouna, 2019)</w:t>
      </w:r>
      <w:r>
        <w:rPr>
          <w:rFonts w:ascii="Times New Roman" w:eastAsia="Times New Roman" w:hAnsi="Times New Roman" w:cs="Times New Roman"/>
          <w:sz w:val="24"/>
          <w:szCs w:val="24"/>
        </w:rPr>
        <w:t xml:space="preserve">. </w:t>
      </w:r>
    </w:p>
    <w:p w14:paraId="0000000C" w14:textId="77777777" w:rsidR="004825DF" w:rsidRDefault="00127876" w:rsidP="001837F4">
      <w:pPr>
        <w:pStyle w:val="Titlu1"/>
      </w:pPr>
      <w:bookmarkStart w:id="2" w:name="_Toc100747147"/>
      <w:r>
        <w:t>Conclusions</w:t>
      </w:r>
      <w:bookmarkEnd w:id="2"/>
      <w:r>
        <w:t xml:space="preserve"> </w:t>
      </w:r>
    </w:p>
    <w:p w14:paraId="0000000D" w14:textId="5C93587E" w:rsidR="004825DF" w:rsidRDefault="0012787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evaluation of this entire processing, positive volume of operating support including formulated engagement regarding “Financial management can be initiated that allow the managerial growth and accounting optimised supportive determination mainly. It also applied to provide some structural development processing for individual organisations </w:t>
      </w:r>
      <w:r w:rsidR="001837F4">
        <w:rPr>
          <w:rFonts w:ascii="Times New Roman" w:eastAsia="Times New Roman" w:hAnsi="Times New Roman" w:cs="Times New Roman"/>
          <w:sz w:val="24"/>
          <w:szCs w:val="24"/>
        </w:rPr>
        <w:t>through consideration</w:t>
      </w:r>
      <w:r>
        <w:rPr>
          <w:rFonts w:ascii="Times New Roman" w:eastAsia="Times New Roman" w:hAnsi="Times New Roman" w:cs="Times New Roman"/>
          <w:sz w:val="24"/>
          <w:szCs w:val="24"/>
        </w:rPr>
        <w:t xml:space="preserve"> of which the primary development as well as a proper accounting growth initiative can also be managed on a proper basis”. For this particular business the appearance of this accounting is initiated to provide some optimised and effective maintenance support with respect of which probable growth opportunities of business can be balanced and formulated for future furtherance. </w:t>
      </w:r>
    </w:p>
    <w:p w14:paraId="0000000E" w14:textId="1BB6B783" w:rsidR="001837F4" w:rsidRDefault="001837F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BAAD8FB" w14:textId="3F622A9C" w:rsidR="004825DF" w:rsidRPr="001837F4" w:rsidRDefault="001837F4" w:rsidP="001837F4">
      <w:pPr>
        <w:pStyle w:val="Titlu1"/>
      </w:pPr>
      <w:bookmarkStart w:id="3" w:name="_Toc100747148"/>
      <w:r w:rsidRPr="001837F4">
        <w:lastRenderedPageBreak/>
        <w:t>References</w:t>
      </w:r>
      <w:bookmarkEnd w:id="3"/>
      <w:r w:rsidRPr="001837F4">
        <w:t xml:space="preserve"> </w:t>
      </w:r>
    </w:p>
    <w:p w14:paraId="5CF20F01"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Al Muhairi, M. and Nobanee, H., 2019. Sustainable financial management. </w:t>
      </w:r>
      <w:r w:rsidRPr="001837F4">
        <w:rPr>
          <w:rFonts w:ascii="Times New Roman" w:eastAsia="Times New Roman" w:hAnsi="Times New Roman" w:cs="Times New Roman"/>
          <w:i/>
          <w:iCs/>
          <w:sz w:val="24"/>
          <w:szCs w:val="24"/>
        </w:rPr>
        <w:t>Available at SSRN 3472417</w:t>
      </w:r>
      <w:r w:rsidRPr="001837F4">
        <w:rPr>
          <w:rFonts w:ascii="Times New Roman" w:eastAsia="Times New Roman" w:hAnsi="Times New Roman" w:cs="Times New Roman"/>
          <w:sz w:val="24"/>
          <w:szCs w:val="24"/>
        </w:rPr>
        <w:t>.</w:t>
      </w:r>
    </w:p>
    <w:p w14:paraId="4D367021"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Brigham, E.F. and Daves, P.R., 2018. </w:t>
      </w:r>
      <w:r w:rsidRPr="001837F4">
        <w:rPr>
          <w:rFonts w:ascii="Times New Roman" w:eastAsia="Times New Roman" w:hAnsi="Times New Roman" w:cs="Times New Roman"/>
          <w:i/>
          <w:iCs/>
          <w:sz w:val="24"/>
          <w:szCs w:val="24"/>
        </w:rPr>
        <w:t>Intermediate financial management</w:t>
      </w:r>
      <w:r w:rsidRPr="001837F4">
        <w:rPr>
          <w:rFonts w:ascii="Times New Roman" w:eastAsia="Times New Roman" w:hAnsi="Times New Roman" w:cs="Times New Roman"/>
          <w:sz w:val="24"/>
          <w:szCs w:val="24"/>
        </w:rPr>
        <w:t>. Cengage Learning.</w:t>
      </w:r>
    </w:p>
    <w:p w14:paraId="3C7888DE"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Brigham, E.F. and Ehrhardt, M.C., 2019. </w:t>
      </w:r>
      <w:r w:rsidRPr="001837F4">
        <w:rPr>
          <w:rFonts w:ascii="Times New Roman" w:eastAsia="Times New Roman" w:hAnsi="Times New Roman" w:cs="Times New Roman"/>
          <w:i/>
          <w:iCs/>
          <w:sz w:val="24"/>
          <w:szCs w:val="24"/>
        </w:rPr>
        <w:t>Financial management: Theory &amp; practice</w:t>
      </w:r>
      <w:r w:rsidRPr="001837F4">
        <w:rPr>
          <w:rFonts w:ascii="Times New Roman" w:eastAsia="Times New Roman" w:hAnsi="Times New Roman" w:cs="Times New Roman"/>
          <w:sz w:val="24"/>
          <w:szCs w:val="24"/>
        </w:rPr>
        <w:t>. Cengage Learning.</w:t>
      </w:r>
    </w:p>
    <w:p w14:paraId="77276F2F"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Finance.yahoo.com. 2022. </w:t>
      </w:r>
      <w:r w:rsidRPr="001837F4">
        <w:rPr>
          <w:rFonts w:ascii="Times New Roman" w:eastAsia="Times New Roman" w:hAnsi="Times New Roman" w:cs="Times New Roman"/>
          <w:i/>
          <w:iCs/>
          <w:sz w:val="24"/>
          <w:szCs w:val="24"/>
        </w:rPr>
        <w:t>Yahoo is part of the Yahoo family of brands</w:t>
      </w:r>
      <w:r w:rsidRPr="001837F4">
        <w:rPr>
          <w:rFonts w:ascii="Times New Roman" w:eastAsia="Times New Roman" w:hAnsi="Times New Roman" w:cs="Times New Roman"/>
          <w:sz w:val="24"/>
          <w:szCs w:val="24"/>
        </w:rPr>
        <w:t>. [online] Available at: &lt;https://finance.yahoo.com/quote/TSCO.L/&gt; [Accessed 13 April 2022].</w:t>
      </w:r>
    </w:p>
    <w:p w14:paraId="3EE1434E"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Martin, J.D., Keown, A.J. and Titman, S., 2020. </w:t>
      </w:r>
      <w:r w:rsidRPr="001837F4">
        <w:rPr>
          <w:rFonts w:ascii="Times New Roman" w:eastAsia="Times New Roman" w:hAnsi="Times New Roman" w:cs="Times New Roman"/>
          <w:i/>
          <w:iCs/>
          <w:sz w:val="24"/>
          <w:szCs w:val="24"/>
        </w:rPr>
        <w:t>Financial management: principles and applications</w:t>
      </w:r>
      <w:r w:rsidRPr="001837F4">
        <w:rPr>
          <w:rFonts w:ascii="Times New Roman" w:eastAsia="Times New Roman" w:hAnsi="Times New Roman" w:cs="Times New Roman"/>
          <w:sz w:val="24"/>
          <w:szCs w:val="24"/>
        </w:rPr>
        <w:t>. Prentice Hall.</w:t>
      </w:r>
    </w:p>
    <w:p w14:paraId="62DFCA18"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Prihartono, M.R.D. and Asandimitra, N., 2018. Analysis factors influencing financial management behaviour. </w:t>
      </w:r>
      <w:r w:rsidRPr="001837F4">
        <w:rPr>
          <w:rFonts w:ascii="Times New Roman" w:eastAsia="Times New Roman" w:hAnsi="Times New Roman" w:cs="Times New Roman"/>
          <w:i/>
          <w:iCs/>
          <w:sz w:val="24"/>
          <w:szCs w:val="24"/>
        </w:rPr>
        <w:t>International Journal of Academic Research in Business and Social Sciences</w:t>
      </w:r>
      <w:r w:rsidRPr="001837F4">
        <w:rPr>
          <w:rFonts w:ascii="Times New Roman" w:eastAsia="Times New Roman" w:hAnsi="Times New Roman" w:cs="Times New Roman"/>
          <w:sz w:val="24"/>
          <w:szCs w:val="24"/>
        </w:rPr>
        <w:t>, </w:t>
      </w:r>
      <w:r w:rsidRPr="001837F4">
        <w:rPr>
          <w:rFonts w:ascii="Times New Roman" w:eastAsia="Times New Roman" w:hAnsi="Times New Roman" w:cs="Times New Roman"/>
          <w:i/>
          <w:iCs/>
          <w:sz w:val="24"/>
          <w:szCs w:val="24"/>
        </w:rPr>
        <w:t>8</w:t>
      </w:r>
      <w:r w:rsidRPr="001837F4">
        <w:rPr>
          <w:rFonts w:ascii="Times New Roman" w:eastAsia="Times New Roman" w:hAnsi="Times New Roman" w:cs="Times New Roman"/>
          <w:sz w:val="24"/>
          <w:szCs w:val="24"/>
        </w:rPr>
        <w:t>(8), pp.308-326.</w:t>
      </w:r>
    </w:p>
    <w:p w14:paraId="3E58F4DA"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Shapiro, A.C. and Hanouna, P., 2019. </w:t>
      </w:r>
      <w:r w:rsidRPr="001837F4">
        <w:rPr>
          <w:rFonts w:ascii="Times New Roman" w:eastAsia="Times New Roman" w:hAnsi="Times New Roman" w:cs="Times New Roman"/>
          <w:i/>
          <w:iCs/>
          <w:sz w:val="24"/>
          <w:szCs w:val="24"/>
        </w:rPr>
        <w:t>Multinational financial management</w:t>
      </w:r>
      <w:r w:rsidRPr="001837F4">
        <w:rPr>
          <w:rFonts w:ascii="Times New Roman" w:eastAsia="Times New Roman" w:hAnsi="Times New Roman" w:cs="Times New Roman"/>
          <w:sz w:val="24"/>
          <w:szCs w:val="24"/>
        </w:rPr>
        <w:t>. John Wiley &amp; Sons.</w:t>
      </w:r>
    </w:p>
    <w:p w14:paraId="75B62BE1"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 xml:space="preserve">Tesco plc. 2022. [online] </w:t>
      </w:r>
      <w:r w:rsidRPr="001837F4">
        <w:rPr>
          <w:rFonts w:ascii="Times New Roman" w:eastAsia="Times New Roman" w:hAnsi="Times New Roman" w:cs="Times New Roman"/>
          <w:i/>
          <w:sz w:val="24"/>
          <w:szCs w:val="24"/>
        </w:rPr>
        <w:t xml:space="preserve">Annual report. </w:t>
      </w:r>
      <w:r w:rsidRPr="001837F4">
        <w:rPr>
          <w:rFonts w:ascii="Times New Roman" w:eastAsia="Times New Roman" w:hAnsi="Times New Roman" w:cs="Times New Roman"/>
          <w:sz w:val="24"/>
          <w:szCs w:val="24"/>
        </w:rPr>
        <w:t>Available at: &lt; https://www.tescoplc.com/investors/reports-results-and-presentations/annual-report-2021/&gt; [Accessed 13 April 2022].</w:t>
      </w:r>
    </w:p>
    <w:p w14:paraId="68BE4B06" w14:textId="7F09FF3D"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 xml:space="preserve">Tesco plc. 2022. [online] </w:t>
      </w:r>
      <w:r w:rsidRPr="001837F4">
        <w:rPr>
          <w:rFonts w:ascii="Times New Roman" w:eastAsia="Times New Roman" w:hAnsi="Times New Roman" w:cs="Times New Roman"/>
          <w:i/>
          <w:sz w:val="24"/>
          <w:szCs w:val="24"/>
        </w:rPr>
        <w:t xml:space="preserve">Dividend engagement. </w:t>
      </w:r>
      <w:r w:rsidRPr="001837F4">
        <w:rPr>
          <w:rFonts w:ascii="Times New Roman" w:eastAsia="Times New Roman" w:hAnsi="Times New Roman" w:cs="Times New Roman"/>
          <w:sz w:val="24"/>
          <w:szCs w:val="24"/>
        </w:rPr>
        <w:t>Available at: &lt;https://www.tescoplc.com/investors/shareholder-centre/dividends/&gt; [Accessed 13 April 2022].</w:t>
      </w:r>
    </w:p>
    <w:p w14:paraId="675121C9"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 xml:space="preserve">Tesco plc. 2022. [online] </w:t>
      </w:r>
      <w:r w:rsidRPr="001837F4">
        <w:rPr>
          <w:rFonts w:ascii="Times New Roman" w:eastAsia="Times New Roman" w:hAnsi="Times New Roman" w:cs="Times New Roman"/>
          <w:i/>
          <w:sz w:val="24"/>
          <w:szCs w:val="24"/>
        </w:rPr>
        <w:t xml:space="preserve">Overview. </w:t>
      </w:r>
      <w:r w:rsidRPr="001837F4">
        <w:rPr>
          <w:rFonts w:ascii="Times New Roman" w:eastAsia="Times New Roman" w:hAnsi="Times New Roman" w:cs="Times New Roman"/>
          <w:sz w:val="24"/>
          <w:szCs w:val="24"/>
        </w:rPr>
        <w:t>Available at: &lt;https://www.tescoplc.com/about/&gt; [Accessed 13 April 2022].</w:t>
      </w:r>
    </w:p>
    <w:p w14:paraId="2E89F87C" w14:textId="77777777" w:rsidR="001837F4" w:rsidRPr="001837F4" w:rsidRDefault="001837F4" w:rsidP="001837F4">
      <w:pPr>
        <w:spacing w:line="360" w:lineRule="auto"/>
        <w:jc w:val="both"/>
        <w:rPr>
          <w:rFonts w:ascii="Times New Roman" w:eastAsia="Times New Roman" w:hAnsi="Times New Roman" w:cs="Times New Roman"/>
          <w:sz w:val="24"/>
          <w:szCs w:val="24"/>
        </w:rPr>
      </w:pPr>
      <w:r w:rsidRPr="001837F4">
        <w:rPr>
          <w:rFonts w:ascii="Times New Roman" w:eastAsia="Times New Roman" w:hAnsi="Times New Roman" w:cs="Times New Roman"/>
          <w:sz w:val="24"/>
          <w:szCs w:val="24"/>
        </w:rPr>
        <w:t xml:space="preserve">Tesco plc. 2022. [online] </w:t>
      </w:r>
      <w:r w:rsidRPr="001837F4">
        <w:rPr>
          <w:rFonts w:ascii="Times New Roman" w:eastAsia="Times New Roman" w:hAnsi="Times New Roman" w:cs="Times New Roman"/>
          <w:i/>
          <w:sz w:val="24"/>
          <w:szCs w:val="24"/>
        </w:rPr>
        <w:t xml:space="preserve">Project. </w:t>
      </w:r>
      <w:r w:rsidRPr="001837F4">
        <w:rPr>
          <w:rFonts w:ascii="Times New Roman" w:eastAsia="Times New Roman" w:hAnsi="Times New Roman" w:cs="Times New Roman"/>
          <w:sz w:val="24"/>
          <w:szCs w:val="24"/>
        </w:rPr>
        <w:t>Available at: &lt;https://www.tescoplc.com/news/2019/tesco-announces-major-green-power-project-in-the-uk/&gt; [Accessed 13 April 2022].</w:t>
      </w:r>
    </w:p>
    <w:p w14:paraId="3F8F68E4" w14:textId="77777777" w:rsidR="001837F4" w:rsidRPr="001837F4" w:rsidRDefault="001837F4" w:rsidP="001837F4">
      <w:pPr>
        <w:spacing w:line="360" w:lineRule="auto"/>
        <w:jc w:val="both"/>
        <w:rPr>
          <w:rFonts w:ascii="Times New Roman" w:eastAsia="Times New Roman" w:hAnsi="Times New Roman" w:cs="Times New Roman"/>
          <w:b/>
          <w:sz w:val="24"/>
          <w:szCs w:val="24"/>
        </w:rPr>
      </w:pPr>
    </w:p>
    <w:p w14:paraId="57E3207C" w14:textId="77777777" w:rsidR="001837F4" w:rsidRDefault="001837F4">
      <w:pPr>
        <w:spacing w:line="360" w:lineRule="auto"/>
        <w:jc w:val="both"/>
        <w:rPr>
          <w:rFonts w:ascii="Times New Roman" w:eastAsia="Times New Roman" w:hAnsi="Times New Roman" w:cs="Times New Roman"/>
          <w:sz w:val="24"/>
          <w:szCs w:val="24"/>
        </w:rPr>
      </w:pPr>
    </w:p>
    <w:sectPr w:rsidR="001837F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45F12" w14:textId="77777777" w:rsidR="008E6A06" w:rsidRDefault="008E6A06">
      <w:pPr>
        <w:spacing w:line="240" w:lineRule="auto"/>
      </w:pPr>
      <w:r>
        <w:separator/>
      </w:r>
    </w:p>
  </w:endnote>
  <w:endnote w:type="continuationSeparator" w:id="0">
    <w:p w14:paraId="7263D332" w14:textId="77777777" w:rsidR="008E6A06" w:rsidRDefault="008E6A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B8D76" w14:textId="77777777" w:rsidR="009A635C" w:rsidRDefault="009A635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0836272"/>
      <w:docPartObj>
        <w:docPartGallery w:val="Page Numbers (Bottom of Page)"/>
        <w:docPartUnique/>
      </w:docPartObj>
    </w:sdtPr>
    <w:sdtEndPr>
      <w:rPr>
        <w:noProof/>
      </w:rPr>
    </w:sdtEndPr>
    <w:sdtContent>
      <w:p w14:paraId="3A854364" w14:textId="69151065" w:rsidR="00292985" w:rsidRDefault="00292985">
        <w:pPr>
          <w:pStyle w:val="Subsol"/>
          <w:jc w:val="right"/>
        </w:pPr>
        <w:r>
          <w:fldChar w:fldCharType="begin"/>
        </w:r>
        <w:r>
          <w:instrText xml:space="preserve"> PAGE   \* MERGEFORMAT </w:instrText>
        </w:r>
        <w:r>
          <w:fldChar w:fldCharType="separate"/>
        </w:r>
        <w:r w:rsidR="00BC6B19">
          <w:rPr>
            <w:noProof/>
          </w:rPr>
          <w:t>6</w:t>
        </w:r>
        <w:r>
          <w:rPr>
            <w:noProof/>
          </w:rPr>
          <w:fldChar w:fldCharType="end"/>
        </w:r>
      </w:p>
    </w:sdtContent>
  </w:sdt>
  <w:p w14:paraId="69CFA8AB" w14:textId="77777777" w:rsidR="00292985" w:rsidRDefault="00292985">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1E818" w14:textId="77777777" w:rsidR="009A635C" w:rsidRDefault="009A635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1D503" w14:textId="77777777" w:rsidR="008E6A06" w:rsidRDefault="008E6A06">
      <w:pPr>
        <w:spacing w:line="240" w:lineRule="auto"/>
      </w:pPr>
      <w:r>
        <w:separator/>
      </w:r>
    </w:p>
  </w:footnote>
  <w:footnote w:type="continuationSeparator" w:id="0">
    <w:p w14:paraId="0B77F7E9" w14:textId="77777777" w:rsidR="008E6A06" w:rsidRDefault="008E6A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1DB84" w14:textId="77777777" w:rsidR="009A635C" w:rsidRDefault="009A635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E1E125" w14:textId="77777777" w:rsidR="009A635C" w:rsidRDefault="009A635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3A6CB" w14:textId="77777777" w:rsidR="009A635C" w:rsidRDefault="009A635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5DF"/>
    <w:rsid w:val="00127876"/>
    <w:rsid w:val="00132C63"/>
    <w:rsid w:val="001837F4"/>
    <w:rsid w:val="00292985"/>
    <w:rsid w:val="003A18A8"/>
    <w:rsid w:val="004825DF"/>
    <w:rsid w:val="00792662"/>
    <w:rsid w:val="008E6A06"/>
    <w:rsid w:val="009A635C"/>
    <w:rsid w:val="00BC6B19"/>
    <w:rsid w:val="00C8555B"/>
    <w:rsid w:val="00D05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2C9C62"/>
  <w15:docId w15:val="{9665E187-ED44-444D-8DA3-639AC32BF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rsid w:val="001837F4"/>
    <w:pPr>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unhideWhenUsed/>
    <w:qFormat/>
    <w:rsid w:val="001837F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1837F4"/>
    <w:pPr>
      <w:spacing w:after="100"/>
    </w:pPr>
  </w:style>
  <w:style w:type="character" w:styleId="Hyperlink">
    <w:name w:val="Hyperlink"/>
    <w:basedOn w:val="Fontdeparagrafimplicit"/>
    <w:uiPriority w:val="99"/>
    <w:unhideWhenUsed/>
    <w:rsid w:val="001837F4"/>
    <w:rPr>
      <w:color w:val="0000FF" w:themeColor="hyperlink"/>
      <w:u w:val="single"/>
    </w:rPr>
  </w:style>
  <w:style w:type="paragraph" w:styleId="Antet">
    <w:name w:val="header"/>
    <w:basedOn w:val="Normal"/>
    <w:link w:val="AntetCaracter"/>
    <w:uiPriority w:val="99"/>
    <w:unhideWhenUsed/>
    <w:rsid w:val="00292985"/>
    <w:pPr>
      <w:tabs>
        <w:tab w:val="center" w:pos="4680"/>
        <w:tab w:val="right" w:pos="9360"/>
      </w:tabs>
      <w:spacing w:line="240" w:lineRule="auto"/>
    </w:pPr>
  </w:style>
  <w:style w:type="character" w:customStyle="1" w:styleId="AntetCaracter">
    <w:name w:val="Antet Caracter"/>
    <w:basedOn w:val="Fontdeparagrafimplicit"/>
    <w:link w:val="Antet"/>
    <w:uiPriority w:val="99"/>
    <w:rsid w:val="00292985"/>
    <w:rPr>
      <w:lang w:val="en-GB"/>
    </w:rPr>
  </w:style>
  <w:style w:type="paragraph" w:styleId="Subsol">
    <w:name w:val="footer"/>
    <w:basedOn w:val="Normal"/>
    <w:link w:val="SubsolCaracter"/>
    <w:uiPriority w:val="99"/>
    <w:unhideWhenUsed/>
    <w:rsid w:val="00292985"/>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929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234AE-0E65-4F17-832A-721C2225A7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1903</Words>
  <Characters>11038</Characters>
  <Application>Microsoft Office Word</Application>
  <DocSecurity>0</DocSecurity>
  <Lines>91</Lines>
  <Paragraphs>25</Paragraphs>
  <ScaleCrop>false</ScaleCrop>
  <Company/>
  <LinksUpToDate>false</LinksUpToDate>
  <CharactersWithSpaces>12916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Musat (1915928)</cp:lastModifiedBy>
  <cp:revision>9</cp:revision>
  <dcterms:created xsi:type="dcterms:W3CDTF">2022-04-13T07:26:00Z</dcterms:created>
  <dcterms:modified xsi:type="dcterms:W3CDTF">2022-05-03T04:16:00Z</dcterms:modified>
</cp:coreProperties>
</file>