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2D203" w14:textId="7FE1FD00" w:rsidR="00F87859" w:rsidRPr="008D1848" w:rsidRDefault="008F132F" w:rsidP="008D1848">
      <w:pPr>
        <w:spacing w:line="276" w:lineRule="auto"/>
        <w:rPr>
          <w:rFonts w:cstheme="minorHAnsi"/>
          <w:sz w:val="24"/>
          <w:szCs w:val="24"/>
          <w:u w:val="single"/>
        </w:rPr>
      </w:pPr>
      <w:r w:rsidRPr="008D1848">
        <w:rPr>
          <w:rFonts w:cstheme="minorHAnsi"/>
          <w:sz w:val="24"/>
          <w:szCs w:val="24"/>
          <w:u w:val="single"/>
        </w:rPr>
        <w:t>Exploring Storytelling in Early Years Education: A Comparative Analysis of Traditional and</w:t>
      </w:r>
      <w:r w:rsidR="008D1848" w:rsidRPr="008D1848">
        <w:rPr>
          <w:rFonts w:cstheme="minorHAnsi"/>
          <w:sz w:val="24"/>
          <w:szCs w:val="24"/>
          <w:u w:val="single"/>
        </w:rPr>
        <w:t xml:space="preserve"> </w:t>
      </w:r>
      <w:r w:rsidRPr="008D1848">
        <w:rPr>
          <w:rFonts w:cstheme="minorHAnsi"/>
          <w:sz w:val="24"/>
          <w:szCs w:val="24"/>
          <w:u w:val="single"/>
        </w:rPr>
        <w:t>Digital Formats</w:t>
      </w:r>
    </w:p>
    <w:p w14:paraId="52647251" w14:textId="4CCDAD2B" w:rsidR="00F45718" w:rsidRDefault="008F132F" w:rsidP="008D1848">
      <w:pPr>
        <w:spacing w:line="276" w:lineRule="auto"/>
        <w:rPr>
          <w:rFonts w:cstheme="minorHAnsi"/>
          <w:sz w:val="24"/>
          <w:szCs w:val="24"/>
        </w:rPr>
      </w:pPr>
      <w:r w:rsidRPr="008D1848">
        <w:rPr>
          <w:rFonts w:cstheme="minorHAnsi"/>
          <w:sz w:val="24"/>
          <w:szCs w:val="24"/>
        </w:rPr>
        <w:t>The foundation of early childhood education is storytelling, which influences a child's development from birth until age seven. This analysis examines the benefits of storytelling, how it affects children's literacy so profoundly, and the ever-evolving field of digital literacy. The presentation of Eric Carle's 'The Hungry Caterpillar' to children aged 3-7 using traditional and digital storytelling techniques is examined in detail in one case study. This research offers an understanding of the intersection of traditional and modern approaches in growing a love of narratives and laying the basis for comprehensive literacy skills in a child's early education. It also highlights the symbiotic relationship between storytelling and cognitive development.</w:t>
      </w:r>
    </w:p>
    <w:p w14:paraId="1F31610B" w14:textId="77777777" w:rsidR="002677BA" w:rsidRPr="008D1848" w:rsidRDefault="008F132F" w:rsidP="008D1848">
      <w:pPr>
        <w:spacing w:line="276" w:lineRule="auto"/>
        <w:rPr>
          <w:rFonts w:cstheme="minorHAnsi"/>
          <w:sz w:val="24"/>
          <w:szCs w:val="24"/>
        </w:rPr>
      </w:pPr>
      <w:r w:rsidRPr="008D1848">
        <w:rPr>
          <w:rFonts w:cstheme="minorHAnsi"/>
          <w:sz w:val="24"/>
          <w:szCs w:val="24"/>
        </w:rPr>
        <w:t xml:space="preserve">The study highlights how traditional and digital storytelling techniques differ in relationship and engagement. According to </w:t>
      </w:r>
      <w:proofErr w:type="spellStart"/>
      <w:r w:rsidRPr="008D1848">
        <w:rPr>
          <w:rFonts w:cstheme="minorHAnsi"/>
          <w:sz w:val="24"/>
          <w:szCs w:val="24"/>
        </w:rPr>
        <w:t>Alkhayat</w:t>
      </w:r>
      <w:proofErr w:type="spellEnd"/>
      <w:r w:rsidRPr="008D1848">
        <w:rPr>
          <w:rFonts w:cstheme="minorHAnsi"/>
          <w:sz w:val="24"/>
          <w:szCs w:val="24"/>
        </w:rPr>
        <w:t xml:space="preserve"> et al. (2020), traditional storytelling, based on actual books, encourages significant tactile sensations crucial for early reading. Digital storytelling on laptops, on the other hand, may undermine tactile engagement, which is consistent with the findings of </w:t>
      </w:r>
      <w:proofErr w:type="spellStart"/>
      <w:r w:rsidRPr="008D1848">
        <w:rPr>
          <w:rFonts w:cstheme="minorHAnsi"/>
          <w:sz w:val="24"/>
          <w:szCs w:val="24"/>
        </w:rPr>
        <w:t>Furenes</w:t>
      </w:r>
      <w:proofErr w:type="spellEnd"/>
      <w:r w:rsidRPr="008D1848">
        <w:rPr>
          <w:rFonts w:cstheme="minorHAnsi"/>
          <w:sz w:val="24"/>
          <w:szCs w:val="24"/>
        </w:rPr>
        <w:t xml:space="preserve"> et al. (2021) about the impact of physicality on early childhood learning experiences. This contradiction emphasizes the need to consider sensory engagement in educational practices, recognizing that the medium selection may affect the level of involvement and stressing the necessity of a well-rounded strategy to accommodate a range of learning preferences in early childhood education.</w:t>
      </w:r>
    </w:p>
    <w:p w14:paraId="6EB6939E" w14:textId="0A66D2CA" w:rsidR="003A3F25" w:rsidRDefault="008F132F" w:rsidP="008D1848">
      <w:pPr>
        <w:spacing w:line="276" w:lineRule="auto"/>
        <w:rPr>
          <w:rFonts w:cstheme="minorHAnsi"/>
          <w:sz w:val="24"/>
          <w:szCs w:val="24"/>
        </w:rPr>
      </w:pPr>
      <w:r w:rsidRPr="008D1848">
        <w:rPr>
          <w:rFonts w:cstheme="minorHAnsi"/>
          <w:sz w:val="24"/>
          <w:szCs w:val="24"/>
        </w:rPr>
        <w:t>The research by Kim and Li (2021) reveals differences between conventional and digital storytelling regarding comprehension and attention span. They claim that traditional storytelling encourages sustained attention because of its diverse experiences. Jang et al. (2021) have observed that digital formats exhibit superior visual engagement, yet they may also be associated with reduced attention spans. These results show the varied effects that narrative media have on cognitive functions. Understanding how attention dynamics and sensory experiences interact is essential to optimizing storytelling methods across various media. Creating narratives that attract viewers without considering the particular cognitive demands associated with each medium requires finding a balance between the strengths of conventional and digital storytelling.</w:t>
      </w:r>
    </w:p>
    <w:p w14:paraId="2AC7B781" w14:textId="0740DA6A" w:rsidR="006914F1" w:rsidRPr="008D1848" w:rsidRDefault="008F132F" w:rsidP="008D1848">
      <w:pPr>
        <w:spacing w:line="276" w:lineRule="auto"/>
        <w:rPr>
          <w:rFonts w:cstheme="minorHAnsi"/>
          <w:sz w:val="24"/>
          <w:szCs w:val="24"/>
        </w:rPr>
      </w:pPr>
      <w:r w:rsidRPr="008D1848">
        <w:rPr>
          <w:rFonts w:cstheme="minorHAnsi"/>
          <w:sz w:val="24"/>
          <w:szCs w:val="24"/>
        </w:rPr>
        <w:t xml:space="preserve">Through the arrival of digital storytelling, a rich multimodal dimension integrating sounds, images, and animations is introduced. This is consistent with the focus placed by Maureen et al. (2020) on the effectiveness of multimodal techniques in the development of cognition. In this situation, the ability of digital media to appeal to several senses at once could enhance a comprehensive cognitive experience. On the other hand, Jang et al. (2021) propose that traditional storytelling, which has a solid foundation in orality, offers a more focused auditory encounter that promotes language development. Understanding the different sensory focuses </w:t>
      </w:r>
      <w:r w:rsidRPr="008D1848">
        <w:rPr>
          <w:rFonts w:cstheme="minorHAnsi"/>
          <w:sz w:val="24"/>
          <w:szCs w:val="24"/>
        </w:rPr>
        <w:lastRenderedPageBreak/>
        <w:t>of digital and traditional storytelling clarifies the many cognitive processes via which each medium may influence people. This knowledge is helpful for educators and content producers who want to maximize learning and storytelling experiences.</w:t>
      </w:r>
    </w:p>
    <w:p w14:paraId="4D150164" w14:textId="77777777" w:rsidR="002677BA" w:rsidRPr="008D1848" w:rsidRDefault="008F132F" w:rsidP="008D1848">
      <w:pPr>
        <w:spacing w:line="276" w:lineRule="auto"/>
        <w:rPr>
          <w:rFonts w:cstheme="minorHAnsi"/>
          <w:sz w:val="24"/>
          <w:szCs w:val="24"/>
          <w:u w:val="single"/>
        </w:rPr>
      </w:pPr>
      <w:r w:rsidRPr="008D1848">
        <w:rPr>
          <w:rFonts w:cstheme="minorHAnsi"/>
          <w:sz w:val="24"/>
          <w:szCs w:val="24"/>
          <w:u w:val="single"/>
        </w:rPr>
        <w:t>Promoting Children’s Oracy, Reading,</w:t>
      </w:r>
      <w:r w:rsidR="00FC33D4" w:rsidRPr="008D1848">
        <w:rPr>
          <w:rFonts w:cstheme="minorHAnsi"/>
          <w:sz w:val="24"/>
          <w:szCs w:val="24"/>
          <w:u w:val="single"/>
        </w:rPr>
        <w:t xml:space="preserve"> or Writing</w:t>
      </w:r>
    </w:p>
    <w:p w14:paraId="67BA8BF1" w14:textId="4F95361B" w:rsidR="008D1848" w:rsidRPr="008D1848" w:rsidRDefault="008F132F" w:rsidP="008D1848">
      <w:pPr>
        <w:spacing w:line="276" w:lineRule="auto"/>
        <w:rPr>
          <w:rFonts w:cstheme="minorHAnsi"/>
          <w:sz w:val="24"/>
          <w:szCs w:val="24"/>
        </w:rPr>
      </w:pPr>
      <w:r w:rsidRPr="008D1848">
        <w:rPr>
          <w:rFonts w:cstheme="minorHAnsi"/>
          <w:sz w:val="24"/>
          <w:szCs w:val="24"/>
        </w:rPr>
        <w:t xml:space="preserve">Both digital and traditional </w:t>
      </w:r>
      <w:r w:rsidR="00E446D9" w:rsidRPr="008D1848">
        <w:rPr>
          <w:rFonts w:cstheme="minorHAnsi"/>
          <w:sz w:val="24"/>
          <w:szCs w:val="24"/>
        </w:rPr>
        <w:t>storytelling contribute</w:t>
      </w:r>
      <w:r w:rsidRPr="008D1848">
        <w:rPr>
          <w:rFonts w:cstheme="minorHAnsi"/>
          <w:sz w:val="24"/>
          <w:szCs w:val="24"/>
        </w:rPr>
        <w:t xml:space="preserve"> in different ways to the development of oracy. According to Moradi and Chen's (2019) instrumental and regulatory roles, the traditional narrative is effective in delivering and comprehending instructions. On the other hand, interactive components added to digital storytelling encourage expressive and imaginative functions that support creativity in communication endeavors. These unique abilities highlight the various approaches used to develop oracy skills. Using this knowledge, educators and storytellers can create broad learning environments that use the enhancing advantages of both digital and traditional media, encouraging the development of oral communication skills in a well-rounded way.</w:t>
      </w:r>
    </w:p>
    <w:p w14:paraId="4B3339E5" w14:textId="2A498359" w:rsidR="008D1848" w:rsidRPr="008D1848" w:rsidRDefault="008F132F" w:rsidP="008D1848">
      <w:pPr>
        <w:spacing w:line="276" w:lineRule="auto"/>
        <w:rPr>
          <w:rFonts w:cstheme="minorHAnsi"/>
          <w:sz w:val="24"/>
          <w:szCs w:val="24"/>
        </w:rPr>
      </w:pPr>
      <w:r w:rsidRPr="008D1848">
        <w:rPr>
          <w:rFonts w:cstheme="minorHAnsi"/>
          <w:sz w:val="24"/>
          <w:szCs w:val="24"/>
        </w:rPr>
        <w:t>Traditional storytelling, which Nee and Santana (2022) define as having a linear narrative structure, effectively promotes analyzing and sequencing abilities. Books' evident qualities also help readers become more aware of print by connecting with the medium's materiality. Digital storytelling, on the other hand, is excellent at increasing visual literacy since it uses multimedia components that both supplement and extend traditional reading abilities. How conventional and digital forms combine dynamically demonstrates how diverse literacy development is. Educators and curriculum designers may use this information to develop integrated learning programs that maximize each medium's advantages and develop a broad range of abilities necessary for surviving in a visually literate society.</w:t>
      </w:r>
    </w:p>
    <w:p w14:paraId="26DE09F0" w14:textId="77777777" w:rsidR="002677BA" w:rsidRPr="008D1848" w:rsidRDefault="008F132F" w:rsidP="008D1848">
      <w:pPr>
        <w:spacing w:line="276" w:lineRule="auto"/>
        <w:rPr>
          <w:rFonts w:cstheme="minorHAnsi"/>
          <w:sz w:val="24"/>
          <w:szCs w:val="24"/>
        </w:rPr>
      </w:pPr>
      <w:r w:rsidRPr="008D1848">
        <w:rPr>
          <w:rFonts w:cstheme="minorHAnsi"/>
          <w:sz w:val="24"/>
          <w:szCs w:val="24"/>
        </w:rPr>
        <w:t xml:space="preserve">According to </w:t>
      </w:r>
      <w:proofErr w:type="spellStart"/>
      <w:r w:rsidRPr="008D1848">
        <w:rPr>
          <w:rFonts w:cstheme="minorHAnsi"/>
          <w:sz w:val="24"/>
          <w:szCs w:val="24"/>
        </w:rPr>
        <w:t>Oranç</w:t>
      </w:r>
      <w:proofErr w:type="spellEnd"/>
      <w:r w:rsidRPr="008D1848">
        <w:rPr>
          <w:rFonts w:cstheme="minorHAnsi"/>
          <w:sz w:val="24"/>
          <w:szCs w:val="24"/>
        </w:rPr>
        <w:t xml:space="preserve"> and </w:t>
      </w:r>
      <w:proofErr w:type="spellStart"/>
      <w:r w:rsidRPr="008D1848">
        <w:rPr>
          <w:rFonts w:cstheme="minorHAnsi"/>
          <w:sz w:val="24"/>
          <w:szCs w:val="24"/>
        </w:rPr>
        <w:t>Küntay</w:t>
      </w:r>
      <w:proofErr w:type="spellEnd"/>
      <w:r w:rsidRPr="008D1848">
        <w:rPr>
          <w:rFonts w:cstheme="minorHAnsi"/>
          <w:sz w:val="24"/>
          <w:szCs w:val="24"/>
        </w:rPr>
        <w:t xml:space="preserve"> (2019), storytelling is essential for developing children's writing abilities since it links vocabulary expansion, story structures, and contextual understanding. Storytelling experiences highlight the symbiotic link between reading and writing development, as suggested by Maureen et al. (2020). Children who are exposed to a variety of story formats not only gather up upon linguistic differences but also internalize the core components of successful communication. This integrated method provides young brains with a comprehensive knowledge of written expression while laying a solid basis for language development. As a result, storytelling becomes a dynamic teaching tool that links together the skills of writing and reading to develop literate and well-rounded communicators.</w:t>
      </w:r>
    </w:p>
    <w:p w14:paraId="6CFC062D" w14:textId="77777777" w:rsidR="002677BA" w:rsidRPr="008D1848" w:rsidRDefault="008F132F" w:rsidP="008D1848">
      <w:pPr>
        <w:spacing w:line="276" w:lineRule="auto"/>
        <w:rPr>
          <w:rFonts w:cstheme="minorHAnsi"/>
          <w:sz w:val="24"/>
          <w:szCs w:val="24"/>
        </w:rPr>
      </w:pPr>
      <w:r w:rsidRPr="008D1848">
        <w:rPr>
          <w:rFonts w:cstheme="minorHAnsi"/>
          <w:sz w:val="24"/>
          <w:szCs w:val="24"/>
        </w:rPr>
        <w:t xml:space="preserve">Pangrazio et al. (2020) have underlined that digital storytelling serves as a means of promoting multimodal literacy, which is essential for the development of digital competence in individuals. Becoming proficient with various digital interfaces is essential to understanding technology in the digital age. Therefore, children must be introduced to digital media at a young age since this is the first step towards guaranteeing that people can interact with different forms of </w:t>
      </w:r>
      <w:r w:rsidRPr="008D1848">
        <w:rPr>
          <w:rFonts w:cstheme="minorHAnsi"/>
          <w:sz w:val="24"/>
          <w:szCs w:val="24"/>
        </w:rPr>
        <w:lastRenderedPageBreak/>
        <w:t>communication and information sharing. Digital storytelling's integration of text, visuals, audio, and interactive aspects fosters an advanced grasp of digital narratives while improving technology</w:t>
      </w:r>
      <w:r w:rsidR="00494A0F" w:rsidRPr="008D1848">
        <w:rPr>
          <w:rFonts w:cstheme="minorHAnsi"/>
          <w:sz w:val="24"/>
          <w:szCs w:val="24"/>
        </w:rPr>
        <w:t xml:space="preserve"> skills. </w:t>
      </w:r>
    </w:p>
    <w:p w14:paraId="67A591FD" w14:textId="38B45C8D" w:rsidR="008D1848" w:rsidRPr="008D1848" w:rsidRDefault="008F132F" w:rsidP="008D1848">
      <w:pPr>
        <w:spacing w:line="276" w:lineRule="auto"/>
        <w:rPr>
          <w:rFonts w:cstheme="minorHAnsi"/>
          <w:sz w:val="24"/>
          <w:szCs w:val="24"/>
        </w:rPr>
      </w:pPr>
      <w:r w:rsidRPr="008D1848">
        <w:rPr>
          <w:rFonts w:cstheme="minorHAnsi"/>
          <w:sz w:val="24"/>
          <w:szCs w:val="24"/>
        </w:rPr>
        <w:t>As Rahiem (2021) points out, learning about the nuances of digital storytelling encourages critical thinking concerning media material. By contrasting conventional and digital st</w:t>
      </w:r>
      <w:r w:rsidR="000534F7" w:rsidRPr="008D1848">
        <w:rPr>
          <w:rFonts w:cstheme="minorHAnsi"/>
          <w:sz w:val="24"/>
          <w:szCs w:val="24"/>
        </w:rPr>
        <w:t xml:space="preserve">ory styles, people, especially children, </w:t>
      </w:r>
      <w:r w:rsidRPr="008D1848">
        <w:rPr>
          <w:rFonts w:cstheme="minorHAnsi"/>
          <w:sz w:val="24"/>
          <w:szCs w:val="24"/>
        </w:rPr>
        <w:t xml:space="preserve">can develop their evaluative skills thanks to this increased awareness. Examining the subtle differences in storytelling between various media inspires a critical mindset that enables students to identify between different tale representations. People become more adept at challenging and evaluating the information they are exposed to when navigating the digital world, which improves their media literacy. Through this approach, they can navigate a wide range of narratives with discernment and understand the dynamic nature of digital storytelling. </w:t>
      </w:r>
    </w:p>
    <w:p w14:paraId="05D754C1" w14:textId="77777777" w:rsidR="002677BA" w:rsidRPr="008D1848" w:rsidRDefault="008F132F" w:rsidP="008D1848">
      <w:pPr>
        <w:spacing w:line="276" w:lineRule="auto"/>
        <w:rPr>
          <w:rFonts w:cstheme="minorHAnsi"/>
          <w:sz w:val="24"/>
          <w:szCs w:val="24"/>
        </w:rPr>
      </w:pPr>
      <w:r w:rsidRPr="008D1848">
        <w:rPr>
          <w:rFonts w:cstheme="minorHAnsi"/>
          <w:sz w:val="24"/>
          <w:szCs w:val="24"/>
        </w:rPr>
        <w:t>According to Yang et al.'s (2022) research, physical touch with a book promotes a more profound level of engagement, emphasizing the importance of tactile sensations in traditional storytelling. People create a sensory connection with a tale by investigating its physical elements, which enhances their immersion in it. Turning pages or feeling the book's texture are examples of tactile interaction that adds to a multisensory experience, strengthening the vividness and memorability of the storytelling. This study shows the remarkable degree of engagement that traditional storytelling provides, which digital forms might not be able to match because of their physical and tactile components. Recognizing and upholding the importance of physical engagement in storytelling becomes essential for maintaining a rich and comprehensive narrative experience in a world where digital interfaces are taking center stage.</w:t>
      </w:r>
    </w:p>
    <w:p w14:paraId="6394D6A5" w14:textId="77777777" w:rsidR="002677BA" w:rsidRPr="008D1848" w:rsidRDefault="008F132F" w:rsidP="008D1848">
      <w:pPr>
        <w:spacing w:line="276" w:lineRule="auto"/>
        <w:rPr>
          <w:rFonts w:cstheme="minorHAnsi"/>
          <w:sz w:val="24"/>
          <w:szCs w:val="24"/>
        </w:rPr>
      </w:pPr>
      <w:r w:rsidRPr="008D1848">
        <w:rPr>
          <w:rFonts w:cstheme="minorHAnsi"/>
          <w:sz w:val="24"/>
          <w:szCs w:val="24"/>
        </w:rPr>
        <w:t>The findings of Jang et al. (2021) offer a helpful viewpoint to understand the variations in understanding and attention span between conventional and digital storytelling. Their study explains the fundamental cognitive differences between each format and how people navigate and process stories. Because traditional storytelling is tactile and engaging, it may encourage longer attention spans and greater knowledge. On the other hand, digital storytelling may have a distinct effect on attention due to its dynamic multimedia elements. When creating story experiences for various audiences, it is essential to comprehend these differences</w:t>
      </w:r>
      <w:r w:rsidR="00904C88" w:rsidRPr="008D1848">
        <w:rPr>
          <w:rFonts w:cstheme="minorHAnsi"/>
          <w:sz w:val="24"/>
          <w:szCs w:val="24"/>
        </w:rPr>
        <w:t xml:space="preserve">. </w:t>
      </w:r>
    </w:p>
    <w:p w14:paraId="493DA327" w14:textId="77777777" w:rsidR="002677BA" w:rsidRPr="008D1848" w:rsidRDefault="008F132F" w:rsidP="008D1848">
      <w:pPr>
        <w:spacing w:line="276" w:lineRule="auto"/>
        <w:rPr>
          <w:rFonts w:cstheme="minorHAnsi"/>
          <w:sz w:val="24"/>
          <w:szCs w:val="24"/>
        </w:rPr>
      </w:pPr>
      <w:r w:rsidRPr="008D1848">
        <w:rPr>
          <w:rFonts w:cstheme="minorHAnsi"/>
          <w:sz w:val="24"/>
          <w:szCs w:val="24"/>
        </w:rPr>
        <w:t xml:space="preserve">The sociocultural theory of </w:t>
      </w:r>
      <w:proofErr w:type="spellStart"/>
      <w:r w:rsidRPr="008D1848">
        <w:rPr>
          <w:rFonts w:cstheme="minorHAnsi"/>
          <w:sz w:val="24"/>
          <w:szCs w:val="24"/>
        </w:rPr>
        <w:t>Alkhayat</w:t>
      </w:r>
      <w:proofErr w:type="spellEnd"/>
      <w:r w:rsidRPr="008D1848">
        <w:rPr>
          <w:rFonts w:cstheme="minorHAnsi"/>
          <w:sz w:val="24"/>
          <w:szCs w:val="24"/>
        </w:rPr>
        <w:t xml:space="preserve"> et al. (2020) offers a solid framework for conceptualizing multimodal learning. It heavily focuses on interactive and collaborative experiences as essential elements of cognitive growth. This theoretical viewpoint emphasizes the importance of social interactions and cultural environments in influencing learning processes. It is based on the research of </w:t>
      </w:r>
      <w:proofErr w:type="spellStart"/>
      <w:r w:rsidRPr="008D1848">
        <w:rPr>
          <w:rFonts w:cstheme="minorHAnsi"/>
          <w:sz w:val="24"/>
          <w:szCs w:val="24"/>
        </w:rPr>
        <w:t>Alkhayat</w:t>
      </w:r>
      <w:proofErr w:type="spellEnd"/>
      <w:r w:rsidRPr="008D1848">
        <w:rPr>
          <w:rFonts w:cstheme="minorHAnsi"/>
          <w:sz w:val="24"/>
          <w:szCs w:val="24"/>
        </w:rPr>
        <w:t xml:space="preserve"> et al. The idea contributes to our understanding of cognitive development by recognizing how people learn, including visual, auditory, and kinesthetic channels. The approach of </w:t>
      </w:r>
      <w:proofErr w:type="spellStart"/>
      <w:r w:rsidRPr="008D1848">
        <w:rPr>
          <w:rFonts w:cstheme="minorHAnsi"/>
          <w:sz w:val="24"/>
          <w:szCs w:val="24"/>
        </w:rPr>
        <w:t>Alkhayat</w:t>
      </w:r>
      <w:proofErr w:type="spellEnd"/>
      <w:r w:rsidRPr="008D1848">
        <w:rPr>
          <w:rFonts w:cstheme="minorHAnsi"/>
          <w:sz w:val="24"/>
          <w:szCs w:val="24"/>
        </w:rPr>
        <w:t xml:space="preserve"> et al. promotes a comprehensive understanding that goes beyond </w:t>
      </w:r>
      <w:r w:rsidRPr="008D1848">
        <w:rPr>
          <w:rFonts w:cstheme="minorHAnsi"/>
          <w:sz w:val="24"/>
          <w:szCs w:val="24"/>
        </w:rPr>
        <w:lastRenderedPageBreak/>
        <w:t>conventional cognitive frameworks by encouraging an inclusive assessment of how different modalities intersect in the learning environment</w:t>
      </w:r>
      <w:r w:rsidR="005E707C" w:rsidRPr="008D1848">
        <w:rPr>
          <w:rFonts w:cstheme="minorHAnsi"/>
          <w:sz w:val="24"/>
          <w:szCs w:val="24"/>
        </w:rPr>
        <w:t xml:space="preserve">. </w:t>
      </w:r>
    </w:p>
    <w:p w14:paraId="5852F423" w14:textId="7A4F54A0" w:rsidR="002677BA" w:rsidRPr="008D1848" w:rsidRDefault="008F132F" w:rsidP="008D1848">
      <w:pPr>
        <w:spacing w:line="276" w:lineRule="auto"/>
        <w:rPr>
          <w:rFonts w:cstheme="minorHAnsi"/>
          <w:sz w:val="24"/>
          <w:szCs w:val="24"/>
        </w:rPr>
      </w:pPr>
      <w:r w:rsidRPr="008D1848">
        <w:rPr>
          <w:rFonts w:cstheme="minorHAnsi"/>
          <w:sz w:val="24"/>
          <w:szCs w:val="24"/>
        </w:rPr>
        <w:t xml:space="preserve">The investigation of language functions by </w:t>
      </w:r>
      <w:proofErr w:type="spellStart"/>
      <w:r w:rsidRPr="008D1848">
        <w:rPr>
          <w:rFonts w:cstheme="minorHAnsi"/>
          <w:sz w:val="24"/>
          <w:szCs w:val="24"/>
        </w:rPr>
        <w:t>Furenes</w:t>
      </w:r>
      <w:proofErr w:type="spellEnd"/>
      <w:r w:rsidRPr="008D1848">
        <w:rPr>
          <w:rFonts w:cstheme="minorHAnsi"/>
          <w:sz w:val="24"/>
          <w:szCs w:val="24"/>
        </w:rPr>
        <w:t xml:space="preserve"> et al. (2021) offers a valuable perspective through which to view the influence of narrative forms on the development of oracy. Their research explores the subtle ways language functions, illustrating the various functions it serves in communication. The study reveals how expressive components, linguistic strategies, and narrative frameworks affect language learning and competency by clarifying the complex relationships between oracy and storytelling. The insights provided by </w:t>
      </w:r>
      <w:proofErr w:type="spellStart"/>
      <w:r w:rsidRPr="008D1848">
        <w:rPr>
          <w:rFonts w:cstheme="minorHAnsi"/>
          <w:sz w:val="24"/>
          <w:szCs w:val="24"/>
        </w:rPr>
        <w:t>Furenes</w:t>
      </w:r>
      <w:proofErr w:type="spellEnd"/>
      <w:r w:rsidRPr="008D1848">
        <w:rPr>
          <w:rFonts w:cstheme="minorHAnsi"/>
          <w:sz w:val="24"/>
          <w:szCs w:val="24"/>
        </w:rPr>
        <w:t xml:space="preserve"> et al. enable educators and researchers to identify the precise language mechanisms that underpin proficient oral communication abilities</w:t>
      </w:r>
      <w:r w:rsidR="00F37427" w:rsidRPr="008D1848">
        <w:rPr>
          <w:rFonts w:cstheme="minorHAnsi"/>
          <w:sz w:val="24"/>
          <w:szCs w:val="24"/>
        </w:rPr>
        <w:t xml:space="preserve">. </w:t>
      </w:r>
      <w:r w:rsidR="00473AC2" w:rsidRPr="008D1848">
        <w:rPr>
          <w:rFonts w:cstheme="minorHAnsi"/>
          <w:sz w:val="24"/>
          <w:szCs w:val="24"/>
        </w:rPr>
        <w:t>Understanding these language functions in narrative situations improves our understanding of oracy development and allows for creating specialized strategies to help students build expressive and articulate communication abilities. Thus, this research is an essential tool for improving our knowledge of and ability to optimize language-related processes in the context of oral proficiency</w:t>
      </w:r>
      <w:r w:rsidRPr="008D1848">
        <w:rPr>
          <w:rFonts w:cstheme="minorHAnsi"/>
          <w:sz w:val="24"/>
          <w:szCs w:val="24"/>
        </w:rPr>
        <w:t>.</w:t>
      </w:r>
    </w:p>
    <w:p w14:paraId="45565091" w14:textId="77777777" w:rsidR="002677BA" w:rsidRPr="008D1848" w:rsidRDefault="008F132F" w:rsidP="008D1848">
      <w:pPr>
        <w:spacing w:line="276" w:lineRule="auto"/>
        <w:rPr>
          <w:rFonts w:cstheme="minorHAnsi"/>
          <w:sz w:val="24"/>
          <w:szCs w:val="24"/>
        </w:rPr>
      </w:pPr>
      <w:r w:rsidRPr="008D1848">
        <w:rPr>
          <w:rFonts w:cstheme="minorHAnsi"/>
          <w:sz w:val="24"/>
          <w:szCs w:val="24"/>
        </w:rPr>
        <w:t>The hypothesis proposed by Kim and Li (2021) offers a holistic viewpoint on cognitive development and highlights the complementary effects of conventional and digital storytelling through different modes. Although stories are dynamic in the modern day, the idea emphasizes how important it is for traditional and digital storytelling to influence how the mind works. While digital storytelling uses multimedia components to promote visual and interactive cognitive engagement, traditional storytelling, with its rich cultural origins, develops a profound connection to heritage and language. This dual-mode approach acknowledges the variety of ways people take in and process information</w:t>
      </w:r>
      <w:r w:rsidR="008A3B47" w:rsidRPr="008D1848">
        <w:rPr>
          <w:rFonts w:cstheme="minorHAnsi"/>
          <w:sz w:val="24"/>
          <w:szCs w:val="24"/>
        </w:rPr>
        <w:t xml:space="preserve">, and it promotes a well-balanced combination of story types to maximize cognitive growth. </w:t>
      </w:r>
      <w:r w:rsidR="0036634C" w:rsidRPr="008D1848">
        <w:rPr>
          <w:rFonts w:cstheme="minorHAnsi"/>
          <w:sz w:val="24"/>
          <w:szCs w:val="24"/>
        </w:rPr>
        <w:t>Thus, Kim and Li's model helps researchers and educators comprehend the complementary qualities of digital and traditional storytelling, providing insights into the various and significant ways both modes interact to promote cognitive growth</w:t>
      </w:r>
      <w:r w:rsidRPr="008D1848">
        <w:rPr>
          <w:rFonts w:cstheme="minorHAnsi"/>
          <w:sz w:val="24"/>
          <w:szCs w:val="24"/>
        </w:rPr>
        <w:t>.</w:t>
      </w:r>
    </w:p>
    <w:p w14:paraId="71580647" w14:textId="77777777" w:rsidR="002677BA" w:rsidRPr="008D1848" w:rsidRDefault="008F132F" w:rsidP="008D1848">
      <w:pPr>
        <w:spacing w:line="276" w:lineRule="auto"/>
        <w:rPr>
          <w:rFonts w:cstheme="minorHAnsi"/>
          <w:sz w:val="24"/>
          <w:szCs w:val="24"/>
        </w:rPr>
      </w:pPr>
      <w:r w:rsidRPr="008D1848">
        <w:rPr>
          <w:rFonts w:cstheme="minorHAnsi"/>
          <w:sz w:val="24"/>
          <w:szCs w:val="24"/>
        </w:rPr>
        <w:t>The emergent literacy theory of Jang et al. (2021) offers a useful framework for comprehending the complicated interaction between early reading development and traditional storytelling, especially regarding print awareness. According to this theoretical view, early exposure to traditional storytelling fosters an early grasp of written language, cultivating core reading abilities. Children learn about print norms through stories, including left-to-right reading order and the correlation between spoken and written language. Thus, the hypothesis of Jang et al. provides an understanding of how conventional storytelling promotes print awareness and establishes the foundation for effective reading acquisition</w:t>
      </w:r>
      <w:r w:rsidR="00631385" w:rsidRPr="008D1848">
        <w:rPr>
          <w:rFonts w:cstheme="minorHAnsi"/>
          <w:sz w:val="24"/>
          <w:szCs w:val="24"/>
        </w:rPr>
        <w:t xml:space="preserve">. </w:t>
      </w:r>
      <w:r w:rsidR="0069386C" w:rsidRPr="008D1848">
        <w:rPr>
          <w:rFonts w:cstheme="minorHAnsi"/>
          <w:sz w:val="24"/>
          <w:szCs w:val="24"/>
        </w:rPr>
        <w:t>Utilizing this knowledge, educators and parents may create literacy interventions that integrate rich oral storytelling traditions, promoting an easy transition to written language and strengthening emerging literacy abilities essential for young students</w:t>
      </w:r>
      <w:r w:rsidRPr="008D1848">
        <w:rPr>
          <w:rFonts w:cstheme="minorHAnsi"/>
          <w:sz w:val="24"/>
          <w:szCs w:val="24"/>
        </w:rPr>
        <w:t>.</w:t>
      </w:r>
    </w:p>
    <w:p w14:paraId="6801E6C4" w14:textId="77777777" w:rsidR="002677BA" w:rsidRPr="008D1848" w:rsidRDefault="008F132F" w:rsidP="008D1848">
      <w:pPr>
        <w:spacing w:line="276" w:lineRule="auto"/>
        <w:rPr>
          <w:rFonts w:cstheme="minorHAnsi"/>
          <w:sz w:val="24"/>
          <w:szCs w:val="24"/>
        </w:rPr>
      </w:pPr>
      <w:r w:rsidRPr="008D1848">
        <w:rPr>
          <w:rFonts w:cstheme="minorHAnsi"/>
          <w:sz w:val="24"/>
          <w:szCs w:val="24"/>
        </w:rPr>
        <w:lastRenderedPageBreak/>
        <w:t>As proposed by Maureen et al. (2020), the interconnection of reading and writing development provides a convincing framework for understanding how storytelling experiences are essential to advancing both literacy domains. According to this theoretical framework, there is a close relationship between writing and reading abilities, and storytelling acts as a bridge to strengthen this relationship. Reading and writing more effectively are facilitated by the deep learning of language structures, vocabulary, and context from engaging in tales. The insights provided by Maureen et al. support comprehensive literacy education that acknowledges the mutually beneficial link between these two essential language abilities, thus enhancing each person's total literacy development</w:t>
      </w:r>
      <w:r w:rsidR="00DF7238" w:rsidRPr="008D1848">
        <w:rPr>
          <w:rFonts w:cstheme="minorHAnsi"/>
          <w:sz w:val="24"/>
          <w:szCs w:val="24"/>
        </w:rPr>
        <w:t>.</w:t>
      </w:r>
    </w:p>
    <w:p w14:paraId="5110C611" w14:textId="77777777" w:rsidR="002677BA" w:rsidRPr="008D1848" w:rsidRDefault="008F132F" w:rsidP="008D1848">
      <w:pPr>
        <w:spacing w:line="276" w:lineRule="auto"/>
        <w:rPr>
          <w:rFonts w:cstheme="minorHAnsi"/>
          <w:sz w:val="24"/>
          <w:szCs w:val="24"/>
        </w:rPr>
      </w:pPr>
      <w:r w:rsidRPr="008D1848">
        <w:rPr>
          <w:rFonts w:cstheme="minorHAnsi"/>
          <w:sz w:val="24"/>
          <w:szCs w:val="24"/>
        </w:rPr>
        <w:t>Traditional storytelling sets itself apart by using tactile elements, such as spoken word, tangible objects, and the storyteller's physical presence, to engage the senses. This storytelling technique encourages listeners to fully immerse in a shared environment, creating a visceral and communal experience. Digital storytelling, on the other hand, enhances the narrative landscape by providing interactive and rich visual experiences. It engages the audience dynamically and engagingly with multimedia components, including pictures, videos, and interactive interfaces. Traditional storytelling's emphasis on physicality and modern storytelling's abundance of multimedia elements accommodate a range of learning styles</w:t>
      </w:r>
      <w:r w:rsidR="00C50D9B" w:rsidRPr="008D1848">
        <w:rPr>
          <w:rFonts w:cstheme="minorHAnsi"/>
          <w:sz w:val="24"/>
          <w:szCs w:val="24"/>
        </w:rPr>
        <w:t xml:space="preserve">. </w:t>
      </w:r>
    </w:p>
    <w:p w14:paraId="7BFD654B" w14:textId="77777777" w:rsidR="002677BA" w:rsidRPr="008D1848" w:rsidRDefault="008F132F" w:rsidP="008D1848">
      <w:pPr>
        <w:spacing w:line="276" w:lineRule="auto"/>
        <w:rPr>
          <w:rFonts w:cstheme="minorHAnsi"/>
          <w:sz w:val="24"/>
          <w:szCs w:val="24"/>
        </w:rPr>
      </w:pPr>
      <w:r w:rsidRPr="008D1848">
        <w:rPr>
          <w:rFonts w:cstheme="minorHAnsi"/>
          <w:sz w:val="24"/>
          <w:szCs w:val="24"/>
        </w:rPr>
        <w:t>Traditional storytelling creates a strong bond with narrative arcs by holding an audience's attention for an extended period and allowing for linear comprehension. Digital storytelling, on the other hand, challenges this paradigm by employing dynamic, visually appealing components that can have a distinct effect on attention spans. Multimedia components, including pictures, movies, and interactive elements, are integrated to create a multi-sensory experience that engages viewers in new ways (Pangrazio et al., 2020). Digital storytelling uses the immediacy of images and interactivity, whereas traditional storytelling depends on the power of words and imagination. This change defies accepted attentional conventions and may impact how viewers take in and process information</w:t>
      </w:r>
      <w:r w:rsidR="007F1468" w:rsidRPr="008D1848">
        <w:rPr>
          <w:rFonts w:cstheme="minorHAnsi"/>
          <w:sz w:val="24"/>
          <w:szCs w:val="24"/>
        </w:rPr>
        <w:t xml:space="preserve">. </w:t>
      </w:r>
    </w:p>
    <w:p w14:paraId="537CCF2A" w14:textId="77777777" w:rsidR="002677BA" w:rsidRPr="008D1848" w:rsidRDefault="008F132F" w:rsidP="008D1848">
      <w:pPr>
        <w:spacing w:line="276" w:lineRule="auto"/>
        <w:rPr>
          <w:rFonts w:cstheme="minorHAnsi"/>
          <w:sz w:val="24"/>
          <w:szCs w:val="24"/>
        </w:rPr>
      </w:pPr>
      <w:r w:rsidRPr="008D1848">
        <w:rPr>
          <w:rFonts w:cstheme="minorHAnsi"/>
          <w:sz w:val="24"/>
          <w:szCs w:val="24"/>
        </w:rPr>
        <w:t>Both digital and traditional storytelling are essential to the development of language. Oral communication and language understanding are improved when listeners immerse themselves in spoken words, which is why traditional storytelling primarily emphasizes auditory experiences. However, digital storytelling presents a multimodal strategy that skillfully combines aural and visual cues (Jang et al., 2021). This merging produces a more varied language landscape supporting visual and auditory literacy. Adding pictures, videos, and interactive components improves vocabulary learning and the mental associations between words and their picture representations. Because they provide different avenues for language enrichment and accommodate different learning styles and preferences, both formats work well together in a world that is becoming increasingly multimedia-driven.</w:t>
      </w:r>
    </w:p>
    <w:p w14:paraId="48E2C2FD" w14:textId="672CBC48" w:rsidR="008D1848" w:rsidRDefault="008F132F" w:rsidP="008D1848">
      <w:pPr>
        <w:spacing w:line="276" w:lineRule="auto"/>
        <w:rPr>
          <w:rFonts w:cstheme="minorHAnsi"/>
          <w:sz w:val="24"/>
          <w:szCs w:val="24"/>
        </w:rPr>
      </w:pPr>
      <w:r w:rsidRPr="008D1848">
        <w:rPr>
          <w:rFonts w:cstheme="minorHAnsi"/>
          <w:sz w:val="24"/>
          <w:szCs w:val="24"/>
        </w:rPr>
        <w:lastRenderedPageBreak/>
        <w:t>Although traditional storytelling involves listeners in narrative patterns, vocabulary, and knowing, it is essential for promoting basic reading abilities. It is crucial for literacy and language growth (</w:t>
      </w:r>
      <w:proofErr w:type="spellStart"/>
      <w:r w:rsidRPr="008D1848">
        <w:rPr>
          <w:rFonts w:cstheme="minorHAnsi"/>
          <w:sz w:val="24"/>
          <w:szCs w:val="24"/>
        </w:rPr>
        <w:t>Alkhayat</w:t>
      </w:r>
      <w:proofErr w:type="spellEnd"/>
      <w:r w:rsidRPr="008D1848">
        <w:rPr>
          <w:rFonts w:cstheme="minorHAnsi"/>
          <w:sz w:val="24"/>
          <w:szCs w:val="24"/>
        </w:rPr>
        <w:t xml:space="preserve"> et al., 2020). Digital storytelling, on the other hand, brings a modern touch and fosters early digital capabilities in addition to visual literacy. It engages young brains with interactive multimedia features and encourages them to browse and comprehend information in various ways</w:t>
      </w:r>
      <w:r w:rsidR="008D73D7" w:rsidRPr="008D1848">
        <w:rPr>
          <w:rFonts w:cstheme="minorHAnsi"/>
          <w:sz w:val="24"/>
          <w:szCs w:val="24"/>
        </w:rPr>
        <w:t xml:space="preserve">. </w:t>
      </w:r>
    </w:p>
    <w:p w14:paraId="40965B21" w14:textId="77777777" w:rsidR="00045268" w:rsidRPr="008D1848" w:rsidRDefault="008F132F" w:rsidP="008D1848">
      <w:pPr>
        <w:spacing w:line="276" w:lineRule="auto"/>
        <w:rPr>
          <w:rFonts w:cstheme="minorHAnsi"/>
          <w:sz w:val="24"/>
          <w:szCs w:val="24"/>
        </w:rPr>
      </w:pPr>
      <w:r w:rsidRPr="008D1848">
        <w:rPr>
          <w:rFonts w:cstheme="minorHAnsi"/>
          <w:sz w:val="24"/>
          <w:szCs w:val="24"/>
        </w:rPr>
        <w:t>Finally, by contrasting conventional and digital media, this comparative research highlights the complicated dynamics of storytelling in early childhood education. The study highlights the unique advantages of each medium while offering an understanding of differences in interaction, attention span, and language development. Digital storytelling adds a multimodal component that promotes visual and interactive literacy, whereas traditional storytelling thrives in tactile engagement and sequential comprehension. Combining the two methods provides a thorough plan for advancing digital literacy, oracy, reading, and writing abilities. By recognizing their mutually beneficial connection and utilizing a variety of capacities, educators may design comprehensive learning environments that meet the changing requirements of young students and prepare them for a media-savvy and literate future</w:t>
      </w:r>
      <w:r w:rsidR="00597703" w:rsidRPr="008D1848">
        <w:rPr>
          <w:rFonts w:cstheme="minorHAnsi"/>
          <w:sz w:val="24"/>
          <w:szCs w:val="24"/>
        </w:rPr>
        <w:t>.</w:t>
      </w:r>
    </w:p>
    <w:p w14:paraId="6332E05F" w14:textId="77777777" w:rsidR="00140802" w:rsidRPr="008D1848" w:rsidRDefault="00140802" w:rsidP="008D1848">
      <w:pPr>
        <w:spacing w:line="276" w:lineRule="auto"/>
        <w:rPr>
          <w:rFonts w:cstheme="minorHAnsi"/>
          <w:sz w:val="24"/>
          <w:szCs w:val="24"/>
        </w:rPr>
      </w:pPr>
    </w:p>
    <w:p w14:paraId="31D67F1E" w14:textId="77777777" w:rsidR="00140802" w:rsidRPr="008D1848" w:rsidRDefault="00140802" w:rsidP="008D1848">
      <w:pPr>
        <w:spacing w:line="276" w:lineRule="auto"/>
        <w:rPr>
          <w:rFonts w:cstheme="minorHAnsi"/>
          <w:sz w:val="24"/>
          <w:szCs w:val="24"/>
        </w:rPr>
      </w:pPr>
    </w:p>
    <w:p w14:paraId="0CD77D3D" w14:textId="77777777" w:rsidR="00140802" w:rsidRPr="008D1848" w:rsidRDefault="00140802" w:rsidP="008D1848">
      <w:pPr>
        <w:spacing w:line="276" w:lineRule="auto"/>
        <w:rPr>
          <w:rFonts w:cstheme="minorHAnsi"/>
          <w:sz w:val="24"/>
          <w:szCs w:val="24"/>
        </w:rPr>
      </w:pPr>
    </w:p>
    <w:p w14:paraId="41EC50BF" w14:textId="77777777" w:rsidR="005A54E2" w:rsidRPr="008D1848" w:rsidRDefault="005A54E2" w:rsidP="008D1848">
      <w:pPr>
        <w:spacing w:line="276" w:lineRule="auto"/>
        <w:rPr>
          <w:rFonts w:cstheme="minorHAnsi"/>
          <w:sz w:val="24"/>
          <w:szCs w:val="24"/>
        </w:rPr>
      </w:pPr>
    </w:p>
    <w:p w14:paraId="21E28315" w14:textId="790FEDFC" w:rsidR="005A54E2" w:rsidRDefault="005A54E2" w:rsidP="008D1848">
      <w:pPr>
        <w:spacing w:line="276" w:lineRule="auto"/>
        <w:rPr>
          <w:rFonts w:cstheme="minorHAnsi"/>
          <w:sz w:val="24"/>
          <w:szCs w:val="24"/>
        </w:rPr>
      </w:pPr>
    </w:p>
    <w:p w14:paraId="7329D3D4" w14:textId="26B072D0" w:rsidR="008D1848" w:rsidRDefault="008D1848" w:rsidP="008D1848">
      <w:pPr>
        <w:spacing w:line="276" w:lineRule="auto"/>
        <w:rPr>
          <w:rFonts w:cstheme="minorHAnsi"/>
          <w:sz w:val="24"/>
          <w:szCs w:val="24"/>
        </w:rPr>
      </w:pPr>
    </w:p>
    <w:p w14:paraId="5A3166B5" w14:textId="343E2318" w:rsidR="008D1848" w:rsidRDefault="008D1848" w:rsidP="008D1848">
      <w:pPr>
        <w:spacing w:line="276" w:lineRule="auto"/>
        <w:rPr>
          <w:rFonts w:cstheme="minorHAnsi"/>
          <w:sz w:val="24"/>
          <w:szCs w:val="24"/>
        </w:rPr>
      </w:pPr>
    </w:p>
    <w:p w14:paraId="4ED5146D" w14:textId="5F7D8917" w:rsidR="008D1848" w:rsidRDefault="008D1848" w:rsidP="008D1848">
      <w:pPr>
        <w:spacing w:line="276" w:lineRule="auto"/>
        <w:rPr>
          <w:rFonts w:cstheme="minorHAnsi"/>
          <w:sz w:val="24"/>
          <w:szCs w:val="24"/>
        </w:rPr>
      </w:pPr>
    </w:p>
    <w:p w14:paraId="6E011BFB" w14:textId="3B9B6A37" w:rsidR="008D1848" w:rsidRDefault="008D1848" w:rsidP="008D1848">
      <w:pPr>
        <w:spacing w:line="276" w:lineRule="auto"/>
        <w:rPr>
          <w:rFonts w:cstheme="minorHAnsi"/>
          <w:sz w:val="24"/>
          <w:szCs w:val="24"/>
        </w:rPr>
      </w:pPr>
    </w:p>
    <w:p w14:paraId="54468789" w14:textId="30CA7E85" w:rsidR="008D1848" w:rsidRDefault="008D1848" w:rsidP="008D1848">
      <w:pPr>
        <w:spacing w:line="276" w:lineRule="auto"/>
        <w:rPr>
          <w:rFonts w:cstheme="minorHAnsi"/>
          <w:sz w:val="24"/>
          <w:szCs w:val="24"/>
        </w:rPr>
      </w:pPr>
    </w:p>
    <w:p w14:paraId="63646F6F" w14:textId="1F13DB3B" w:rsidR="008D1848" w:rsidRDefault="008D1848" w:rsidP="008D1848">
      <w:pPr>
        <w:spacing w:line="276" w:lineRule="auto"/>
        <w:rPr>
          <w:rFonts w:cstheme="minorHAnsi"/>
          <w:sz w:val="24"/>
          <w:szCs w:val="24"/>
        </w:rPr>
      </w:pPr>
    </w:p>
    <w:p w14:paraId="57CE1B1B" w14:textId="451176D7" w:rsidR="008D1848" w:rsidRDefault="008D1848" w:rsidP="008D1848">
      <w:pPr>
        <w:spacing w:line="276" w:lineRule="auto"/>
        <w:rPr>
          <w:rFonts w:cstheme="minorHAnsi"/>
          <w:sz w:val="24"/>
          <w:szCs w:val="24"/>
        </w:rPr>
      </w:pPr>
    </w:p>
    <w:p w14:paraId="4A08E441" w14:textId="52297CC3" w:rsidR="008D1848" w:rsidRDefault="008D1848" w:rsidP="008D1848">
      <w:pPr>
        <w:spacing w:line="276" w:lineRule="auto"/>
        <w:rPr>
          <w:rFonts w:cstheme="minorHAnsi"/>
          <w:sz w:val="24"/>
          <w:szCs w:val="24"/>
        </w:rPr>
      </w:pPr>
    </w:p>
    <w:p w14:paraId="1CA414F1" w14:textId="5DC41BB2" w:rsidR="008D1848" w:rsidRDefault="008D1848" w:rsidP="008D1848">
      <w:pPr>
        <w:spacing w:line="276" w:lineRule="auto"/>
        <w:rPr>
          <w:rFonts w:cstheme="minorHAnsi"/>
          <w:sz w:val="24"/>
          <w:szCs w:val="24"/>
        </w:rPr>
      </w:pPr>
    </w:p>
    <w:p w14:paraId="09CB925A" w14:textId="63BA3276" w:rsidR="00561F08" w:rsidRPr="008D1848" w:rsidRDefault="008D1848" w:rsidP="008D1848">
      <w:pPr>
        <w:spacing w:line="276" w:lineRule="auto"/>
        <w:rPr>
          <w:rFonts w:cstheme="minorHAnsi"/>
          <w:sz w:val="24"/>
          <w:szCs w:val="24"/>
          <w:u w:val="single"/>
        </w:rPr>
      </w:pPr>
      <w:r w:rsidRPr="008D1848">
        <w:rPr>
          <w:rFonts w:cstheme="minorHAnsi"/>
          <w:sz w:val="24"/>
          <w:szCs w:val="24"/>
          <w:u w:val="single"/>
        </w:rPr>
        <w:lastRenderedPageBreak/>
        <w:t>Bibliography</w:t>
      </w:r>
    </w:p>
    <w:p w14:paraId="002D553A" w14:textId="77777777" w:rsidR="008D1848" w:rsidRPr="008D1848" w:rsidRDefault="008D1848" w:rsidP="008D1848">
      <w:pPr>
        <w:spacing w:line="276" w:lineRule="auto"/>
        <w:rPr>
          <w:rFonts w:cstheme="minorHAnsi"/>
          <w:sz w:val="24"/>
          <w:szCs w:val="24"/>
        </w:rPr>
      </w:pPr>
      <w:proofErr w:type="spellStart"/>
      <w:r w:rsidRPr="008D1848">
        <w:rPr>
          <w:rFonts w:cstheme="minorHAnsi"/>
          <w:sz w:val="24"/>
          <w:szCs w:val="24"/>
        </w:rPr>
        <w:t>Alkhayat</w:t>
      </w:r>
      <w:proofErr w:type="spellEnd"/>
      <w:r w:rsidRPr="008D1848">
        <w:rPr>
          <w:rFonts w:cstheme="minorHAnsi"/>
          <w:sz w:val="24"/>
          <w:szCs w:val="24"/>
        </w:rPr>
        <w:t xml:space="preserve">, L., Ernest, J. and </w:t>
      </w:r>
      <w:proofErr w:type="spellStart"/>
      <w:r w:rsidRPr="008D1848">
        <w:rPr>
          <w:rFonts w:cstheme="minorHAnsi"/>
          <w:sz w:val="24"/>
          <w:szCs w:val="24"/>
        </w:rPr>
        <w:t>LaChenaye</w:t>
      </w:r>
      <w:proofErr w:type="spellEnd"/>
      <w:r w:rsidRPr="008D1848">
        <w:rPr>
          <w:rFonts w:cstheme="minorHAnsi"/>
          <w:sz w:val="24"/>
          <w:szCs w:val="24"/>
        </w:rPr>
        <w:t>, J., 2020. Exploring Kuwaiti preservice early childhood teachers’ beliefs about using web 2.0 technologies. Early Childhood Education Journal, 48, pp.715-725.</w:t>
      </w:r>
    </w:p>
    <w:p w14:paraId="662B32AA" w14:textId="77777777" w:rsidR="008D1848" w:rsidRPr="008D1848" w:rsidRDefault="008D1848" w:rsidP="008D1848">
      <w:pPr>
        <w:spacing w:line="276" w:lineRule="auto"/>
        <w:rPr>
          <w:rFonts w:cstheme="minorHAnsi"/>
          <w:sz w:val="24"/>
          <w:szCs w:val="24"/>
        </w:rPr>
      </w:pPr>
      <w:proofErr w:type="spellStart"/>
      <w:r w:rsidRPr="008D1848">
        <w:rPr>
          <w:rFonts w:cstheme="minorHAnsi"/>
          <w:sz w:val="24"/>
          <w:szCs w:val="24"/>
        </w:rPr>
        <w:t>Furenes</w:t>
      </w:r>
      <w:proofErr w:type="spellEnd"/>
      <w:r w:rsidRPr="008D1848">
        <w:rPr>
          <w:rFonts w:cstheme="minorHAnsi"/>
          <w:sz w:val="24"/>
          <w:szCs w:val="24"/>
        </w:rPr>
        <w:t xml:space="preserve">, M.I., </w:t>
      </w:r>
      <w:proofErr w:type="spellStart"/>
      <w:r w:rsidRPr="008D1848">
        <w:rPr>
          <w:rFonts w:cstheme="minorHAnsi"/>
          <w:sz w:val="24"/>
          <w:szCs w:val="24"/>
        </w:rPr>
        <w:t>Kucirkova</w:t>
      </w:r>
      <w:proofErr w:type="spellEnd"/>
      <w:r w:rsidRPr="008D1848">
        <w:rPr>
          <w:rFonts w:cstheme="minorHAnsi"/>
          <w:sz w:val="24"/>
          <w:szCs w:val="24"/>
        </w:rPr>
        <w:t>, N. and Bus, A.G., 2021. A comparison of children’s reading on paper versus screen: A meta-analysis. Review of educational research, 91(4), pp.483-517.</w:t>
      </w:r>
    </w:p>
    <w:p w14:paraId="22437E20" w14:textId="77777777" w:rsidR="008D1848" w:rsidRPr="008D1848" w:rsidRDefault="008D1848" w:rsidP="008D1848">
      <w:pPr>
        <w:spacing w:line="276" w:lineRule="auto"/>
        <w:rPr>
          <w:rFonts w:cstheme="minorHAnsi"/>
          <w:sz w:val="24"/>
          <w:szCs w:val="24"/>
        </w:rPr>
      </w:pPr>
      <w:r w:rsidRPr="008D1848">
        <w:rPr>
          <w:rFonts w:cstheme="minorHAnsi"/>
          <w:sz w:val="24"/>
          <w:szCs w:val="24"/>
        </w:rPr>
        <w:t xml:space="preserve">Jang, M., </w:t>
      </w:r>
      <w:proofErr w:type="spellStart"/>
      <w:r w:rsidRPr="008D1848">
        <w:rPr>
          <w:rFonts w:cstheme="minorHAnsi"/>
          <w:sz w:val="24"/>
          <w:szCs w:val="24"/>
        </w:rPr>
        <w:t>Aavakare</w:t>
      </w:r>
      <w:proofErr w:type="spellEnd"/>
      <w:r w:rsidRPr="008D1848">
        <w:rPr>
          <w:rFonts w:cstheme="minorHAnsi"/>
          <w:sz w:val="24"/>
          <w:szCs w:val="24"/>
        </w:rPr>
        <w:t>, M., Nikou, S. and Kim, S., 2021. The impact of literacy on intention to use digital technology for learning: A comparative study of Korea and Finland. Telecommunications Policy, 45(7), p.102154.</w:t>
      </w:r>
    </w:p>
    <w:p w14:paraId="124A55BD" w14:textId="77777777" w:rsidR="008D1848" w:rsidRPr="008D1848" w:rsidRDefault="008D1848" w:rsidP="008D1848">
      <w:pPr>
        <w:spacing w:line="276" w:lineRule="auto"/>
        <w:rPr>
          <w:rFonts w:cstheme="minorHAnsi"/>
          <w:sz w:val="24"/>
          <w:szCs w:val="24"/>
        </w:rPr>
      </w:pPr>
      <w:r w:rsidRPr="008D1848">
        <w:rPr>
          <w:rFonts w:cstheme="minorHAnsi"/>
          <w:sz w:val="24"/>
          <w:szCs w:val="24"/>
        </w:rPr>
        <w:t>Kim, D. and Li, M. 2021. Digital storytelling: Facilitating learning and identity development. Journal of Computers in Education, 8, 33-61.</w:t>
      </w:r>
    </w:p>
    <w:p w14:paraId="48C7EB68" w14:textId="77777777" w:rsidR="008D1848" w:rsidRPr="008D1848" w:rsidRDefault="008D1848" w:rsidP="008D1848">
      <w:pPr>
        <w:spacing w:line="276" w:lineRule="auto"/>
        <w:rPr>
          <w:rFonts w:cstheme="minorHAnsi"/>
          <w:sz w:val="24"/>
          <w:szCs w:val="24"/>
        </w:rPr>
      </w:pPr>
      <w:r w:rsidRPr="008D1848">
        <w:rPr>
          <w:rFonts w:cstheme="minorHAnsi"/>
          <w:sz w:val="24"/>
          <w:szCs w:val="24"/>
        </w:rPr>
        <w:t xml:space="preserve">Maureen, I.Y., van der </w:t>
      </w:r>
      <w:proofErr w:type="spellStart"/>
      <w:r w:rsidRPr="008D1848">
        <w:rPr>
          <w:rFonts w:cstheme="minorHAnsi"/>
          <w:sz w:val="24"/>
          <w:szCs w:val="24"/>
        </w:rPr>
        <w:t>Meij</w:t>
      </w:r>
      <w:proofErr w:type="spellEnd"/>
      <w:r w:rsidRPr="008D1848">
        <w:rPr>
          <w:rFonts w:cstheme="minorHAnsi"/>
          <w:sz w:val="24"/>
          <w:szCs w:val="24"/>
        </w:rPr>
        <w:t>, H. and de Jong, T., 2020. Enhancing storytelling activities to support early (digital) literacy development in early childhood education. International Journal of Early Childhood, 52, pp.55-76.</w:t>
      </w:r>
    </w:p>
    <w:p w14:paraId="389ED404" w14:textId="77777777" w:rsidR="008D1848" w:rsidRPr="008D1848" w:rsidRDefault="008D1848" w:rsidP="008D1848">
      <w:pPr>
        <w:spacing w:line="276" w:lineRule="auto"/>
        <w:rPr>
          <w:rFonts w:cstheme="minorHAnsi"/>
          <w:sz w:val="24"/>
          <w:szCs w:val="24"/>
        </w:rPr>
      </w:pPr>
      <w:r w:rsidRPr="008D1848">
        <w:rPr>
          <w:rFonts w:cstheme="minorHAnsi"/>
          <w:sz w:val="24"/>
          <w:szCs w:val="24"/>
        </w:rPr>
        <w:t>Moradi, H. and Chen, H., 2019. Digital storytelling in language education. Behavioral Sciences, 9(12), p.147.</w:t>
      </w:r>
    </w:p>
    <w:p w14:paraId="4038721F" w14:textId="77777777" w:rsidR="008D1848" w:rsidRPr="008D1848" w:rsidRDefault="008D1848" w:rsidP="008D1848">
      <w:pPr>
        <w:spacing w:line="276" w:lineRule="auto"/>
        <w:rPr>
          <w:rFonts w:cstheme="minorHAnsi"/>
          <w:sz w:val="24"/>
          <w:szCs w:val="24"/>
        </w:rPr>
      </w:pPr>
      <w:r w:rsidRPr="008D1848">
        <w:rPr>
          <w:rFonts w:cstheme="minorHAnsi"/>
          <w:sz w:val="24"/>
          <w:szCs w:val="24"/>
        </w:rPr>
        <w:t>Nee, R.C. and Santana, A.D., 2022. Podcasting the pandemic: exploring storytelling formats and shifting journalistic norms in news podcasts related to the coronavirus. Journalism Practice, 16(8), pp.1559-1577.</w:t>
      </w:r>
    </w:p>
    <w:p w14:paraId="507EF2D7" w14:textId="77777777" w:rsidR="008D1848" w:rsidRPr="008D1848" w:rsidRDefault="008D1848" w:rsidP="008D1848">
      <w:pPr>
        <w:spacing w:line="276" w:lineRule="auto"/>
        <w:rPr>
          <w:rFonts w:cstheme="minorHAnsi"/>
          <w:sz w:val="24"/>
          <w:szCs w:val="24"/>
        </w:rPr>
      </w:pPr>
      <w:proofErr w:type="spellStart"/>
      <w:r w:rsidRPr="008D1848">
        <w:rPr>
          <w:rFonts w:cstheme="minorHAnsi"/>
          <w:sz w:val="24"/>
          <w:szCs w:val="24"/>
        </w:rPr>
        <w:t>Oranç</w:t>
      </w:r>
      <w:proofErr w:type="spellEnd"/>
      <w:r w:rsidRPr="008D1848">
        <w:rPr>
          <w:rFonts w:cstheme="minorHAnsi"/>
          <w:sz w:val="24"/>
          <w:szCs w:val="24"/>
        </w:rPr>
        <w:t xml:space="preserve">, C. and </w:t>
      </w:r>
      <w:proofErr w:type="spellStart"/>
      <w:r w:rsidRPr="008D1848">
        <w:rPr>
          <w:rFonts w:cstheme="minorHAnsi"/>
          <w:sz w:val="24"/>
          <w:szCs w:val="24"/>
        </w:rPr>
        <w:t>Küntay</w:t>
      </w:r>
      <w:proofErr w:type="spellEnd"/>
      <w:r w:rsidRPr="008D1848">
        <w:rPr>
          <w:rFonts w:cstheme="minorHAnsi"/>
          <w:sz w:val="24"/>
          <w:szCs w:val="24"/>
        </w:rPr>
        <w:t>, A.C., 2019. Learning from the real and the virtual worlds: Educational use of augmented reality in early childhood. International Journal of Child-Computer Interaction, 21, pp.104-111.</w:t>
      </w:r>
    </w:p>
    <w:p w14:paraId="31370B4E" w14:textId="77777777" w:rsidR="008D1848" w:rsidRPr="008D1848" w:rsidRDefault="008D1848" w:rsidP="008D1848">
      <w:pPr>
        <w:spacing w:line="276" w:lineRule="auto"/>
        <w:rPr>
          <w:rFonts w:cstheme="minorHAnsi"/>
          <w:sz w:val="24"/>
          <w:szCs w:val="24"/>
        </w:rPr>
      </w:pPr>
      <w:r w:rsidRPr="008D1848">
        <w:rPr>
          <w:rFonts w:cstheme="minorHAnsi"/>
          <w:sz w:val="24"/>
          <w:szCs w:val="24"/>
        </w:rPr>
        <w:t xml:space="preserve">Pangrazio, L., </w:t>
      </w:r>
      <w:proofErr w:type="spellStart"/>
      <w:r w:rsidRPr="008D1848">
        <w:rPr>
          <w:rFonts w:cstheme="minorHAnsi"/>
          <w:sz w:val="24"/>
          <w:szCs w:val="24"/>
        </w:rPr>
        <w:t>Godhe</w:t>
      </w:r>
      <w:proofErr w:type="spellEnd"/>
      <w:r w:rsidRPr="008D1848">
        <w:rPr>
          <w:rFonts w:cstheme="minorHAnsi"/>
          <w:sz w:val="24"/>
          <w:szCs w:val="24"/>
        </w:rPr>
        <w:t>, A.L. and Ledesma, A.G.L., 2020. What is digital literacy? A comparative review of publications across three language contexts. E-learning and Digital Media, 17(6), pp.442-459.</w:t>
      </w:r>
    </w:p>
    <w:p w14:paraId="27B98A13" w14:textId="77777777" w:rsidR="008D1848" w:rsidRPr="008D1848" w:rsidRDefault="008D1848" w:rsidP="008D1848">
      <w:pPr>
        <w:spacing w:line="276" w:lineRule="auto"/>
        <w:rPr>
          <w:rFonts w:cstheme="minorHAnsi"/>
          <w:sz w:val="24"/>
          <w:szCs w:val="24"/>
        </w:rPr>
      </w:pPr>
      <w:r w:rsidRPr="008D1848">
        <w:rPr>
          <w:rFonts w:cstheme="minorHAnsi"/>
          <w:sz w:val="24"/>
          <w:szCs w:val="24"/>
        </w:rPr>
        <w:t>Rahiem, M.D., 2021. Storytelling in early childhood education: Time to go digital. International Journal of Child Care and Education Policy, 15(1), pp.1-20.</w:t>
      </w:r>
    </w:p>
    <w:p w14:paraId="13F2D378" w14:textId="77777777" w:rsidR="008D1848" w:rsidRPr="008D1848" w:rsidRDefault="008D1848" w:rsidP="008D1848">
      <w:pPr>
        <w:spacing w:line="276" w:lineRule="auto"/>
        <w:rPr>
          <w:rFonts w:cstheme="minorHAnsi"/>
          <w:sz w:val="24"/>
          <w:szCs w:val="24"/>
        </w:rPr>
      </w:pPr>
      <w:r w:rsidRPr="008D1848">
        <w:rPr>
          <w:rFonts w:cstheme="minorHAnsi"/>
          <w:sz w:val="24"/>
          <w:szCs w:val="24"/>
        </w:rPr>
        <w:t>Yang, Y.T.C., Chen, Y.C. and Hung, H.T., 2022. Digital storytelling as an interdisciplinary project to improve students’ English speaking and creative thinking. Computer Assisted Language Learning, 35(4), pp.840-862.</w:t>
      </w:r>
    </w:p>
    <w:sectPr w:rsidR="008D1848" w:rsidRPr="008D1848">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421B8" w14:textId="77777777" w:rsidR="001B0082" w:rsidRDefault="001B0082">
      <w:pPr>
        <w:spacing w:after="0" w:line="240" w:lineRule="auto"/>
      </w:pPr>
      <w:r>
        <w:separator/>
      </w:r>
    </w:p>
  </w:endnote>
  <w:endnote w:type="continuationSeparator" w:id="0">
    <w:p w14:paraId="1CB039C4" w14:textId="77777777" w:rsidR="001B0082" w:rsidRDefault="001B0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321195"/>
      <w:docPartObj>
        <w:docPartGallery w:val="Page Numbers (Bottom of Page)"/>
        <w:docPartUnique/>
      </w:docPartObj>
    </w:sdtPr>
    <w:sdtEndPr>
      <w:rPr>
        <w:noProof/>
      </w:rPr>
    </w:sdtEndPr>
    <w:sdtContent>
      <w:p w14:paraId="6850945F" w14:textId="26D097CA" w:rsidR="008D1848" w:rsidRDefault="008D18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3F137D" w14:textId="77777777" w:rsidR="008D1848" w:rsidRDefault="008D1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99006" w14:textId="77777777" w:rsidR="001B0082" w:rsidRDefault="001B0082">
      <w:pPr>
        <w:spacing w:after="0" w:line="240" w:lineRule="auto"/>
      </w:pPr>
      <w:r>
        <w:separator/>
      </w:r>
    </w:p>
  </w:footnote>
  <w:footnote w:type="continuationSeparator" w:id="0">
    <w:p w14:paraId="1338D483" w14:textId="77777777" w:rsidR="001B0082" w:rsidRDefault="001B00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heme="minorHAnsi"/>
        <w:sz w:val="24"/>
        <w:szCs w:val="24"/>
      </w:rPr>
      <w:id w:val="-658686988"/>
      <w:docPartObj>
        <w:docPartGallery w:val="Page Numbers (Top of Page)"/>
        <w:docPartUnique/>
      </w:docPartObj>
    </w:sdtPr>
    <w:sdtEndPr>
      <w:rPr>
        <w:noProof/>
      </w:rPr>
    </w:sdtEndPr>
    <w:sdtContent>
      <w:p w14:paraId="1A932D1F" w14:textId="4F8D6E00" w:rsidR="0038559B" w:rsidRPr="008D1848" w:rsidRDefault="008D1848" w:rsidP="002E6E64">
        <w:pPr>
          <w:pStyle w:val="Header"/>
          <w:rPr>
            <w:rFonts w:cstheme="minorHAnsi"/>
            <w:sz w:val="24"/>
            <w:szCs w:val="24"/>
          </w:rPr>
        </w:pPr>
        <w:r w:rsidRPr="008D1848">
          <w:rPr>
            <w:rFonts w:cstheme="minorHAnsi"/>
            <w:sz w:val="24"/>
            <w:szCs w:val="24"/>
          </w:rPr>
          <w:t xml:space="preserve">Erin Lawrence                                         </w:t>
        </w:r>
        <w:r w:rsidR="002E6E64" w:rsidRPr="008D1848">
          <w:rPr>
            <w:rFonts w:cstheme="minorHAnsi"/>
            <w:sz w:val="24"/>
            <w:szCs w:val="24"/>
          </w:rPr>
          <w:t>2216689                                                          ECEY5004</w:t>
        </w:r>
      </w:p>
    </w:sdtContent>
  </w:sdt>
  <w:p w14:paraId="1B36C812" w14:textId="7B014A42" w:rsidR="0038559B" w:rsidRDefault="003855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97D8F"/>
    <w:multiLevelType w:val="multilevel"/>
    <w:tmpl w:val="3B1E7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D1321A"/>
    <w:multiLevelType w:val="multilevel"/>
    <w:tmpl w:val="BE263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741833"/>
    <w:multiLevelType w:val="multilevel"/>
    <w:tmpl w:val="0824A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E2309B"/>
    <w:multiLevelType w:val="multilevel"/>
    <w:tmpl w:val="CEF05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1A501B"/>
    <w:multiLevelType w:val="multilevel"/>
    <w:tmpl w:val="BFD03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1913534">
    <w:abstractNumId w:val="2"/>
  </w:num>
  <w:num w:numId="2" w16cid:durableId="1952397661">
    <w:abstractNumId w:val="4"/>
  </w:num>
  <w:num w:numId="3" w16cid:durableId="1517887265">
    <w:abstractNumId w:val="1"/>
  </w:num>
  <w:num w:numId="4" w16cid:durableId="1905799307">
    <w:abstractNumId w:val="0"/>
  </w:num>
  <w:num w:numId="5" w16cid:durableId="4394905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3B2C"/>
    <w:rsid w:val="00023555"/>
    <w:rsid w:val="00045268"/>
    <w:rsid w:val="000534F7"/>
    <w:rsid w:val="000658C3"/>
    <w:rsid w:val="0009405B"/>
    <w:rsid w:val="000A22CF"/>
    <w:rsid w:val="000A4D68"/>
    <w:rsid w:val="000C76B5"/>
    <w:rsid w:val="00140802"/>
    <w:rsid w:val="00152834"/>
    <w:rsid w:val="0015537A"/>
    <w:rsid w:val="00157695"/>
    <w:rsid w:val="00173F21"/>
    <w:rsid w:val="001A12D2"/>
    <w:rsid w:val="001B0082"/>
    <w:rsid w:val="001E6336"/>
    <w:rsid w:val="002629CD"/>
    <w:rsid w:val="002674D5"/>
    <w:rsid w:val="002677BA"/>
    <w:rsid w:val="002B1F8A"/>
    <w:rsid w:val="002E6E64"/>
    <w:rsid w:val="002E7CCE"/>
    <w:rsid w:val="003050CE"/>
    <w:rsid w:val="0036634C"/>
    <w:rsid w:val="0038559B"/>
    <w:rsid w:val="0039321A"/>
    <w:rsid w:val="003A0FD0"/>
    <w:rsid w:val="003A3F25"/>
    <w:rsid w:val="003C7816"/>
    <w:rsid w:val="003F7A2E"/>
    <w:rsid w:val="00423CE6"/>
    <w:rsid w:val="00434A75"/>
    <w:rsid w:val="004720A5"/>
    <w:rsid w:val="00473AC2"/>
    <w:rsid w:val="00494A0F"/>
    <w:rsid w:val="00495231"/>
    <w:rsid w:val="00524601"/>
    <w:rsid w:val="005300E9"/>
    <w:rsid w:val="00561F08"/>
    <w:rsid w:val="00597703"/>
    <w:rsid w:val="005A13B8"/>
    <w:rsid w:val="005A3C55"/>
    <w:rsid w:val="005A4E19"/>
    <w:rsid w:val="005A54E2"/>
    <w:rsid w:val="005B0E71"/>
    <w:rsid w:val="005B3715"/>
    <w:rsid w:val="005B50D9"/>
    <w:rsid w:val="005C1194"/>
    <w:rsid w:val="005D1EE4"/>
    <w:rsid w:val="005E707C"/>
    <w:rsid w:val="005F7DEC"/>
    <w:rsid w:val="00620030"/>
    <w:rsid w:val="00621F59"/>
    <w:rsid w:val="006242FC"/>
    <w:rsid w:val="00631385"/>
    <w:rsid w:val="006529B9"/>
    <w:rsid w:val="00671CB8"/>
    <w:rsid w:val="0068519A"/>
    <w:rsid w:val="006914F1"/>
    <w:rsid w:val="0069386C"/>
    <w:rsid w:val="006A102E"/>
    <w:rsid w:val="006A52A8"/>
    <w:rsid w:val="006C796F"/>
    <w:rsid w:val="006E33B1"/>
    <w:rsid w:val="006E6365"/>
    <w:rsid w:val="006E6F53"/>
    <w:rsid w:val="006F25F2"/>
    <w:rsid w:val="00743B2C"/>
    <w:rsid w:val="00751FD5"/>
    <w:rsid w:val="007521E1"/>
    <w:rsid w:val="007721C8"/>
    <w:rsid w:val="0077229B"/>
    <w:rsid w:val="0079276C"/>
    <w:rsid w:val="007F1468"/>
    <w:rsid w:val="00804F86"/>
    <w:rsid w:val="00826401"/>
    <w:rsid w:val="00857C45"/>
    <w:rsid w:val="00866572"/>
    <w:rsid w:val="008A3B47"/>
    <w:rsid w:val="008A4F2B"/>
    <w:rsid w:val="008C3E2B"/>
    <w:rsid w:val="008D1848"/>
    <w:rsid w:val="008D2E1D"/>
    <w:rsid w:val="008D35FE"/>
    <w:rsid w:val="008D73D7"/>
    <w:rsid w:val="008F132F"/>
    <w:rsid w:val="00900206"/>
    <w:rsid w:val="00900DF6"/>
    <w:rsid w:val="00904C88"/>
    <w:rsid w:val="00911FAF"/>
    <w:rsid w:val="00916E2D"/>
    <w:rsid w:val="009174A8"/>
    <w:rsid w:val="009203CA"/>
    <w:rsid w:val="00936629"/>
    <w:rsid w:val="00972B1E"/>
    <w:rsid w:val="00975A31"/>
    <w:rsid w:val="009A6D87"/>
    <w:rsid w:val="009E4BD2"/>
    <w:rsid w:val="009E522C"/>
    <w:rsid w:val="009F0735"/>
    <w:rsid w:val="00A0484A"/>
    <w:rsid w:val="00A74CFD"/>
    <w:rsid w:val="00A85897"/>
    <w:rsid w:val="00A86C80"/>
    <w:rsid w:val="00A905DF"/>
    <w:rsid w:val="00A96319"/>
    <w:rsid w:val="00AF62D0"/>
    <w:rsid w:val="00B02E60"/>
    <w:rsid w:val="00B05DB5"/>
    <w:rsid w:val="00B256DE"/>
    <w:rsid w:val="00B5440C"/>
    <w:rsid w:val="00B91002"/>
    <w:rsid w:val="00B94F60"/>
    <w:rsid w:val="00BB06FF"/>
    <w:rsid w:val="00BD222C"/>
    <w:rsid w:val="00BE5A76"/>
    <w:rsid w:val="00BF0734"/>
    <w:rsid w:val="00C32CBD"/>
    <w:rsid w:val="00C50D9B"/>
    <w:rsid w:val="00C51708"/>
    <w:rsid w:val="00CA355A"/>
    <w:rsid w:val="00CA7111"/>
    <w:rsid w:val="00CB1AB5"/>
    <w:rsid w:val="00CB7640"/>
    <w:rsid w:val="00CC06A5"/>
    <w:rsid w:val="00CD2480"/>
    <w:rsid w:val="00D45605"/>
    <w:rsid w:val="00D50466"/>
    <w:rsid w:val="00D54E13"/>
    <w:rsid w:val="00D7174B"/>
    <w:rsid w:val="00DB5E73"/>
    <w:rsid w:val="00DF2531"/>
    <w:rsid w:val="00DF7238"/>
    <w:rsid w:val="00E029C7"/>
    <w:rsid w:val="00E03B4F"/>
    <w:rsid w:val="00E05BC4"/>
    <w:rsid w:val="00E43791"/>
    <w:rsid w:val="00E446D9"/>
    <w:rsid w:val="00E526CA"/>
    <w:rsid w:val="00E64A52"/>
    <w:rsid w:val="00EB1790"/>
    <w:rsid w:val="00ED3B6E"/>
    <w:rsid w:val="00ED68EE"/>
    <w:rsid w:val="00ED72CF"/>
    <w:rsid w:val="00EF04EF"/>
    <w:rsid w:val="00F2650E"/>
    <w:rsid w:val="00F37427"/>
    <w:rsid w:val="00F45718"/>
    <w:rsid w:val="00F77F4C"/>
    <w:rsid w:val="00F82178"/>
    <w:rsid w:val="00F87859"/>
    <w:rsid w:val="00FA2B86"/>
    <w:rsid w:val="00FC33D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D928F5"/>
  <w15:docId w15:val="{41D67305-EA89-446A-B234-0E8FB887A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55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559B"/>
  </w:style>
  <w:style w:type="paragraph" w:styleId="Footer">
    <w:name w:val="footer"/>
    <w:basedOn w:val="Normal"/>
    <w:link w:val="FooterChar"/>
    <w:uiPriority w:val="99"/>
    <w:unhideWhenUsed/>
    <w:rsid w:val="003855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55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2883</Words>
  <Characters>16434</Characters>
  <Application>Microsoft Office Word</Application>
  <DocSecurity>4</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dc:creator>
  <cp:lastModifiedBy>Alison Rees-Edwards</cp:lastModifiedBy>
  <cp:revision>2</cp:revision>
  <dcterms:created xsi:type="dcterms:W3CDTF">2023-12-13T11:18:00Z</dcterms:created>
  <dcterms:modified xsi:type="dcterms:W3CDTF">2023-12-13T11:18:00Z</dcterms:modified>
</cp:coreProperties>
</file>