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657C6" w14:textId="77777777" w:rsidR="00446CFD" w:rsidRPr="00446CFD" w:rsidRDefault="00A61F95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28"/>
        </w:rPr>
      </w:pPr>
      <w:r w:rsidRPr="00446CFD">
        <w:rPr>
          <w:rFonts w:ascii="Arial" w:hAnsi="Arial" w:cs="Arial"/>
          <w:color w:val="000000" w:themeColor="text1"/>
          <w:sz w:val="28"/>
        </w:rPr>
        <w:t>Empowering the Older Person BMHP6027</w:t>
      </w:r>
    </w:p>
    <w:p w14:paraId="6AD21291" w14:textId="77777777" w:rsidR="00446CFD" w:rsidRPr="00446CFD" w:rsidRDefault="00A61F95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28"/>
        </w:rPr>
      </w:pPr>
      <w:r w:rsidRPr="00446CFD">
        <w:rPr>
          <w:rFonts w:ascii="Arial" w:hAnsi="Arial" w:cs="Arial"/>
          <w:color w:val="000000" w:themeColor="text1"/>
          <w:sz w:val="28"/>
        </w:rPr>
        <w:t>Component 2: Debate / Discussion</w:t>
      </w:r>
    </w:p>
    <w:p w14:paraId="181F3FC0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28"/>
        </w:rPr>
      </w:pPr>
    </w:p>
    <w:p w14:paraId="01DD5663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2347B8D5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118A84F2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0A1AFFEC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48D8C991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3FB9886E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4BB3CC1C" w14:textId="77777777" w:rsidR="00446CFD" w:rsidRPr="00446CFD" w:rsidRDefault="00907AD5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  <w:r>
        <w:rPr>
          <w:rFonts w:ascii="Arial" w:hAnsi="Arial" w:cs="Arial"/>
          <w:b/>
          <w:noProof/>
          <w:sz w:val="28"/>
        </w:rPr>
        <w:drawing>
          <wp:inline distT="0" distB="0" distL="0" distR="0" wp14:anchorId="1EB732E4" wp14:editId="752828F8">
            <wp:extent cx="5528945" cy="1414145"/>
            <wp:effectExtent l="1905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8945" cy="14141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BAA3A71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5C90ECF2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3EDEEF55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09906D8B" w14:textId="41C1B363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04C722ED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66937EC4" w14:textId="77777777" w:rsidR="00446CFD" w:rsidRPr="00446CFD" w:rsidRDefault="00446CFD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36"/>
        </w:rPr>
      </w:pPr>
    </w:p>
    <w:p w14:paraId="43730689" w14:textId="49C77BB4" w:rsidR="00446CFD" w:rsidRPr="00160AA8" w:rsidRDefault="003911A9" w:rsidP="003911A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36"/>
        </w:rPr>
        <w:t xml:space="preserve">                             </w:t>
      </w:r>
      <w:r w:rsidR="00160AA8">
        <w:rPr>
          <w:rFonts w:ascii="Arial" w:hAnsi="Arial" w:cs="Arial"/>
          <w:color w:val="000000" w:themeColor="text1"/>
          <w:sz w:val="24"/>
          <w:szCs w:val="24"/>
        </w:rPr>
        <w:t>Component 2</w:t>
      </w:r>
      <w:r w:rsidR="0073788E">
        <w:rPr>
          <w:rFonts w:ascii="Arial" w:hAnsi="Arial" w:cs="Arial"/>
          <w:color w:val="000000" w:themeColor="text1"/>
          <w:sz w:val="24"/>
          <w:szCs w:val="24"/>
        </w:rPr>
        <w:t>: Debate / Discussion</w:t>
      </w:r>
    </w:p>
    <w:p w14:paraId="2ECE8DBD" w14:textId="5108812C" w:rsidR="00323D7F" w:rsidRDefault="00A61F95" w:rsidP="00446CFD">
      <w:pPr>
        <w:spacing w:line="360" w:lineRule="auto"/>
        <w:jc w:val="center"/>
        <w:rPr>
          <w:rFonts w:ascii="Arial" w:hAnsi="Arial" w:cs="Arial"/>
          <w:color w:val="000000" w:themeColor="text1"/>
          <w:sz w:val="28"/>
        </w:rPr>
      </w:pPr>
      <w:r w:rsidRPr="00446CFD">
        <w:rPr>
          <w:rFonts w:ascii="Arial" w:hAnsi="Arial" w:cs="Arial"/>
          <w:color w:val="000000" w:themeColor="text1"/>
          <w:sz w:val="28"/>
        </w:rPr>
        <w:t xml:space="preserve">Student </w:t>
      </w:r>
      <w:r>
        <w:rPr>
          <w:rFonts w:ascii="Arial" w:hAnsi="Arial" w:cs="Arial"/>
          <w:color w:val="000000" w:themeColor="text1"/>
          <w:sz w:val="28"/>
        </w:rPr>
        <w:t>Number</w:t>
      </w:r>
      <w:r w:rsidR="00BC3834">
        <w:rPr>
          <w:rFonts w:ascii="Arial" w:hAnsi="Arial" w:cs="Arial"/>
          <w:color w:val="000000" w:themeColor="text1"/>
          <w:sz w:val="28"/>
        </w:rPr>
        <w:t>: 2214675</w:t>
      </w:r>
    </w:p>
    <w:p w14:paraId="54FFFCC7" w14:textId="75A88CD0" w:rsidR="00031D09" w:rsidRDefault="00031D09" w:rsidP="00031D09">
      <w:pPr>
        <w:spacing w:line="360" w:lineRule="auto"/>
        <w:rPr>
          <w:rFonts w:ascii="Arial" w:hAnsi="Arial" w:cs="Arial"/>
          <w:color w:val="000000" w:themeColor="text1"/>
          <w:sz w:val="28"/>
        </w:rPr>
      </w:pPr>
      <w:r>
        <w:rPr>
          <w:rFonts w:ascii="Arial" w:hAnsi="Arial" w:cs="Arial"/>
          <w:color w:val="000000" w:themeColor="text1"/>
          <w:sz w:val="28"/>
        </w:rPr>
        <w:t xml:space="preserve">                                     N</w:t>
      </w:r>
      <w:r w:rsidR="00CF00C4">
        <w:rPr>
          <w:rFonts w:ascii="Arial" w:hAnsi="Arial" w:cs="Arial"/>
          <w:color w:val="000000" w:themeColor="text1"/>
          <w:sz w:val="28"/>
        </w:rPr>
        <w:t>ame: Amreen Akhtar</w:t>
      </w:r>
    </w:p>
    <w:p w14:paraId="45204894" w14:textId="77777777" w:rsidR="00323D7F" w:rsidRDefault="00A61F95">
      <w:pPr>
        <w:spacing w:after="200" w:line="276" w:lineRule="auto"/>
        <w:rPr>
          <w:rFonts w:ascii="Arial" w:hAnsi="Arial" w:cs="Arial"/>
          <w:color w:val="000000" w:themeColor="text1"/>
          <w:sz w:val="28"/>
        </w:rPr>
      </w:pPr>
      <w:r>
        <w:rPr>
          <w:rFonts w:ascii="Arial" w:hAnsi="Arial" w:cs="Arial"/>
          <w:color w:val="000000" w:themeColor="text1"/>
          <w:sz w:val="28"/>
        </w:rPr>
        <w:br w:type="page"/>
      </w:r>
    </w:p>
    <w:p w14:paraId="3C01AC90" w14:textId="77777777" w:rsidR="00FA0545" w:rsidRPr="00FA0545" w:rsidRDefault="0043157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</w:rPr>
        <w:lastRenderedPageBreak/>
        <w:fldChar w:fldCharType="begin"/>
      </w:r>
      <w:r w:rsidR="00B2057C" w:rsidRPr="00FA0545">
        <w:rPr>
          <w:rFonts w:ascii="Arial" w:hAnsi="Arial" w:cs="Arial"/>
          <w:lang w:val="en-US"/>
        </w:rPr>
        <w:instrText xml:space="preserve"> BIBLIOGRAPHY  \l 1033 </w:instrText>
      </w:r>
      <w:r w:rsidRPr="00FA0545">
        <w:rPr>
          <w:rFonts w:ascii="Arial" w:hAnsi="Arial" w:cs="Arial"/>
        </w:rPr>
        <w:fldChar w:fldCharType="separate"/>
      </w:r>
      <w:r w:rsidR="00FA0545" w:rsidRPr="00FA0545">
        <w:rPr>
          <w:rFonts w:ascii="Arial" w:hAnsi="Arial" w:cs="Arial"/>
          <w:noProof/>
        </w:rPr>
        <w:t xml:space="preserve">Bach-Mortensen, A., Goodair, B. &amp; Esposti, M.D., 2024. Involuntary closures of for-profit care homes in England by the Care Quality Commission. </w:t>
      </w:r>
      <w:r w:rsidR="00FA0545" w:rsidRPr="00FA0545">
        <w:rPr>
          <w:rFonts w:ascii="Arial" w:hAnsi="Arial" w:cs="Arial"/>
          <w:i/>
          <w:iCs/>
          <w:noProof/>
        </w:rPr>
        <w:t>The Lancet Healthy Longevity</w:t>
      </w:r>
      <w:r w:rsidR="00FA0545" w:rsidRPr="00FA0545">
        <w:rPr>
          <w:rFonts w:ascii="Arial" w:hAnsi="Arial" w:cs="Arial"/>
          <w:noProof/>
        </w:rPr>
        <w:t>, 5(4), pp.e297-302.</w:t>
      </w:r>
    </w:p>
    <w:p w14:paraId="2745EE59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Bernstein, G., 2023. </w:t>
      </w:r>
      <w:r w:rsidRPr="00FA0545">
        <w:rPr>
          <w:rFonts w:ascii="Arial" w:hAnsi="Arial" w:cs="Arial"/>
          <w:i/>
          <w:iCs/>
          <w:noProof/>
        </w:rPr>
        <w:t>Unwired: Gaining control over addictive technologies</w:t>
      </w:r>
      <w:r w:rsidRPr="00FA0545">
        <w:rPr>
          <w:rFonts w:ascii="Arial" w:hAnsi="Arial" w:cs="Arial"/>
          <w:noProof/>
        </w:rPr>
        <w:t>. Cambridge University Press.</w:t>
      </w:r>
    </w:p>
    <w:p w14:paraId="40D5A499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Callaghan, L. &amp; Towers, A.-M., 2014. Feeling in control: Comparing older people's experiences in different care settings. </w:t>
      </w:r>
      <w:r w:rsidRPr="00FA0545">
        <w:rPr>
          <w:rFonts w:ascii="Arial" w:hAnsi="Arial" w:cs="Arial"/>
          <w:i/>
          <w:iCs/>
          <w:noProof/>
        </w:rPr>
        <w:t>Ageing &amp; Society</w:t>
      </w:r>
      <w:r w:rsidRPr="00FA0545">
        <w:rPr>
          <w:rFonts w:ascii="Arial" w:hAnsi="Arial" w:cs="Arial"/>
          <w:noProof/>
        </w:rPr>
        <w:t>, 34(8), pp.1427-51.</w:t>
      </w:r>
    </w:p>
    <w:p w14:paraId="5F185A5F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Chu, C.H. et al., 2021. Technology recommendations to support person-centered care in long-term care homes during the COVID-19 pandemic and beyond. </w:t>
      </w:r>
      <w:r w:rsidRPr="00FA0545">
        <w:rPr>
          <w:rFonts w:ascii="Arial" w:hAnsi="Arial" w:cs="Arial"/>
          <w:i/>
          <w:iCs/>
          <w:noProof/>
        </w:rPr>
        <w:t>Journal of aging &amp; social policy</w:t>
      </w:r>
      <w:r w:rsidRPr="00FA0545">
        <w:rPr>
          <w:rFonts w:ascii="Arial" w:hAnsi="Arial" w:cs="Arial"/>
          <w:noProof/>
        </w:rPr>
        <w:t>, 33(4-5), pp.539-54.</w:t>
      </w:r>
    </w:p>
    <w:p w14:paraId="444FD1B8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D’ascanio, M. et al., 2021. Age is not the only risk factor in COVID-19: the role of comorbidities and of long staying in residential care homes. </w:t>
      </w:r>
      <w:r w:rsidRPr="00FA0545">
        <w:rPr>
          <w:rFonts w:ascii="Arial" w:hAnsi="Arial" w:cs="Arial"/>
          <w:i/>
          <w:iCs/>
          <w:noProof/>
        </w:rPr>
        <w:t>BMC</w:t>
      </w:r>
      <w:r w:rsidRPr="00FA0545">
        <w:rPr>
          <w:rFonts w:ascii="Arial" w:hAnsi="Arial" w:cs="Arial"/>
          <w:noProof/>
        </w:rPr>
        <w:t>, 21(1), p.63.</w:t>
      </w:r>
    </w:p>
    <w:p w14:paraId="452D4634" w14:textId="2E200D3C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Essex County Council, 2023. </w:t>
      </w:r>
      <w:r w:rsidRPr="00FA0545">
        <w:rPr>
          <w:rFonts w:ascii="Arial" w:hAnsi="Arial" w:cs="Arial"/>
          <w:i/>
          <w:iCs/>
          <w:noProof/>
        </w:rPr>
        <w:t>My Home Life</w:t>
      </w:r>
      <w:r w:rsidRPr="00FA0545">
        <w:rPr>
          <w:rFonts w:ascii="Arial" w:hAnsi="Arial" w:cs="Arial"/>
          <w:noProof/>
        </w:rPr>
        <w:t xml:space="preserve">. [Online] Available at: </w:t>
      </w:r>
      <w:r w:rsidRPr="00502E93">
        <w:rPr>
          <w:rFonts w:ascii="Arial" w:hAnsi="Arial" w:cs="Arial"/>
          <w:noProof/>
        </w:rPr>
        <w:t>https://www.essexproviderhub.org/quality/quality-innovation-team/my-home-life/my-home-life/</w:t>
      </w:r>
      <w:r w:rsidRPr="00FA0545">
        <w:rPr>
          <w:rFonts w:ascii="Arial" w:hAnsi="Arial" w:cs="Arial"/>
          <w:noProof/>
        </w:rPr>
        <w:t xml:space="preserve"> [Accessed </w:t>
      </w:r>
      <w:r w:rsidR="00502E93">
        <w:rPr>
          <w:rFonts w:ascii="Arial" w:hAnsi="Arial" w:cs="Arial"/>
          <w:noProof/>
        </w:rPr>
        <w:t>18th</w:t>
      </w:r>
      <w:r w:rsidRPr="00FA0545">
        <w:rPr>
          <w:rFonts w:ascii="Arial" w:hAnsi="Arial" w:cs="Arial"/>
          <w:noProof/>
        </w:rPr>
        <w:t xml:space="preserve"> October 2025].</w:t>
      </w:r>
    </w:p>
    <w:p w14:paraId="74EB01DE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Hakverdioğlu Yönt, G., Kisa, S. &amp; Princeton, D.M., 2023. </w:t>
      </w:r>
      <w:r w:rsidRPr="00FA0545">
        <w:rPr>
          <w:rFonts w:ascii="Arial" w:hAnsi="Arial" w:cs="Arial"/>
          <w:i/>
          <w:iCs/>
          <w:noProof/>
        </w:rPr>
        <w:t>Physical restraint use in nursing homes—regional variances and ethical considerations: A scoping review of empirical studies</w:t>
      </w:r>
      <w:r w:rsidRPr="00FA0545">
        <w:rPr>
          <w:rFonts w:ascii="Arial" w:hAnsi="Arial" w:cs="Arial"/>
          <w:noProof/>
        </w:rPr>
        <w:t>. MDPI.</w:t>
      </w:r>
    </w:p>
    <w:p w14:paraId="76B39EB3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>Hodge, G., Lang, I., Byng, R. &amp; Pearce, S., 2024. Older peoples' lived experiences of personalised care in care homes: A meta</w:t>
      </w:r>
      <w:r w:rsidRPr="00FA0545">
        <w:rPr>
          <w:rFonts w:cs="Arial"/>
          <w:noProof/>
        </w:rPr>
        <w:t>‐</w:t>
      </w:r>
      <w:r w:rsidRPr="00FA0545">
        <w:rPr>
          <w:rFonts w:ascii="Arial" w:hAnsi="Arial" w:cs="Arial"/>
          <w:noProof/>
        </w:rPr>
        <w:t xml:space="preserve">ethnography. </w:t>
      </w:r>
      <w:r w:rsidRPr="00FA0545">
        <w:rPr>
          <w:rFonts w:ascii="Arial" w:hAnsi="Arial" w:cs="Arial"/>
          <w:i/>
          <w:iCs/>
          <w:noProof/>
        </w:rPr>
        <w:t>International journal of older people nursing</w:t>
      </w:r>
      <w:r w:rsidRPr="00FA0545">
        <w:rPr>
          <w:rFonts w:ascii="Arial" w:hAnsi="Arial" w:cs="Arial"/>
          <w:noProof/>
        </w:rPr>
        <w:t>, 19(1), p.e12585.</w:t>
      </w:r>
    </w:p>
    <w:p w14:paraId="63DC3F5F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Jensen, M.C.F. et al., 2025. Autonomy and Human Rights Dilemmas in Supported Housing for People With Intellectual Disabilities. </w:t>
      </w:r>
      <w:r w:rsidRPr="00FA0545">
        <w:rPr>
          <w:rFonts w:ascii="Arial" w:hAnsi="Arial" w:cs="Arial"/>
          <w:i/>
          <w:iCs/>
          <w:noProof/>
        </w:rPr>
        <w:t>Social Inclusion</w:t>
      </w:r>
      <w:r w:rsidRPr="00FA0545">
        <w:rPr>
          <w:rFonts w:ascii="Arial" w:hAnsi="Arial" w:cs="Arial"/>
          <w:noProof/>
        </w:rPr>
        <w:t>, 13.</w:t>
      </w:r>
    </w:p>
    <w:p w14:paraId="13781394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Logan, P.A. et al., 2021. Multifactorial falls prevention programme compared with usual care in UK care homes for older people: multicentre cluster randomised controlled trial with economic evaluation. </w:t>
      </w:r>
      <w:r w:rsidRPr="00FA0545">
        <w:rPr>
          <w:rFonts w:ascii="Arial" w:hAnsi="Arial" w:cs="Arial"/>
          <w:i/>
          <w:iCs/>
          <w:noProof/>
        </w:rPr>
        <w:t>bmj</w:t>
      </w:r>
      <w:r w:rsidRPr="00FA0545">
        <w:rPr>
          <w:rFonts w:ascii="Arial" w:hAnsi="Arial" w:cs="Arial"/>
          <w:noProof/>
        </w:rPr>
        <w:t>, p.375.</w:t>
      </w:r>
    </w:p>
    <w:p w14:paraId="0093D61B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McKee, M. et al., 2021. The changing health needs of the UK population. </w:t>
      </w:r>
      <w:r w:rsidRPr="00FA0545">
        <w:rPr>
          <w:rFonts w:ascii="Arial" w:hAnsi="Arial" w:cs="Arial"/>
          <w:i/>
          <w:iCs/>
          <w:noProof/>
        </w:rPr>
        <w:t>The Lancet</w:t>
      </w:r>
      <w:r w:rsidRPr="00FA0545">
        <w:rPr>
          <w:rFonts w:ascii="Arial" w:hAnsi="Arial" w:cs="Arial"/>
          <w:noProof/>
        </w:rPr>
        <w:t>, 397(10288), pp.1979-91.</w:t>
      </w:r>
    </w:p>
    <w:p w14:paraId="42898C45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Moilanen, T. et al., 2021. Older people’s perceived autonomy in residential care: An integrative review. </w:t>
      </w:r>
      <w:r w:rsidRPr="00FA0545">
        <w:rPr>
          <w:rFonts w:ascii="Arial" w:hAnsi="Arial" w:cs="Arial"/>
          <w:i/>
          <w:iCs/>
          <w:noProof/>
        </w:rPr>
        <w:t>Nursing ethics</w:t>
      </w:r>
      <w:r w:rsidRPr="00FA0545">
        <w:rPr>
          <w:rFonts w:ascii="Arial" w:hAnsi="Arial" w:cs="Arial"/>
          <w:noProof/>
        </w:rPr>
        <w:t>, 28(3), pp.414-34.</w:t>
      </w:r>
    </w:p>
    <w:p w14:paraId="31D71154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Moilanen, T., Suhonen, R. &amp; Kangasniemi, M., 2022. Nursing support for older people's autonomy in residential care: An integrative review. </w:t>
      </w:r>
      <w:r w:rsidRPr="00FA0545">
        <w:rPr>
          <w:rFonts w:ascii="Arial" w:hAnsi="Arial" w:cs="Arial"/>
          <w:i/>
          <w:iCs/>
          <w:noProof/>
        </w:rPr>
        <w:t>International journal of older people nursing</w:t>
      </w:r>
      <w:r w:rsidRPr="00FA0545">
        <w:rPr>
          <w:rFonts w:ascii="Arial" w:hAnsi="Arial" w:cs="Arial"/>
          <w:noProof/>
        </w:rPr>
        <w:t>, 17(2), p.e12428.</w:t>
      </w:r>
    </w:p>
    <w:p w14:paraId="22C095CA" w14:textId="77777777" w:rsidR="00FA0545" w:rsidRPr="00E6650F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  <w:lang w:val="it-IT"/>
        </w:rPr>
      </w:pPr>
      <w:r w:rsidRPr="00FA0545">
        <w:rPr>
          <w:rFonts w:ascii="Arial" w:hAnsi="Arial" w:cs="Arial"/>
          <w:noProof/>
        </w:rPr>
        <w:t xml:space="preserve">Morciano, M. et al., 2021. Excess mortality for care home residents during the first 23 weeks of the COVID-19 pandemic in England: a national cohort study. </w:t>
      </w:r>
      <w:r w:rsidRPr="00E6650F">
        <w:rPr>
          <w:rFonts w:ascii="Arial" w:hAnsi="Arial" w:cs="Arial"/>
          <w:i/>
          <w:iCs/>
          <w:noProof/>
          <w:lang w:val="it-IT"/>
        </w:rPr>
        <w:t>BMC medicine</w:t>
      </w:r>
      <w:r w:rsidRPr="00E6650F">
        <w:rPr>
          <w:rFonts w:ascii="Arial" w:hAnsi="Arial" w:cs="Arial"/>
          <w:noProof/>
          <w:lang w:val="it-IT"/>
        </w:rPr>
        <w:t>, 19(1), p.71.</w:t>
      </w:r>
    </w:p>
    <w:p w14:paraId="513F2ACB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E6650F">
        <w:rPr>
          <w:rFonts w:ascii="Arial" w:hAnsi="Arial" w:cs="Arial"/>
          <w:noProof/>
          <w:lang w:val="it-IT"/>
        </w:rPr>
        <w:t xml:space="preserve">Piacentini, T., Gilmour, M., Joy, A. &amp; Aksu, P., 2023. </w:t>
      </w:r>
      <w:r w:rsidRPr="00FA0545">
        <w:rPr>
          <w:rFonts w:ascii="Arial" w:hAnsi="Arial" w:cs="Arial"/>
          <w:noProof/>
        </w:rPr>
        <w:t xml:space="preserve">“How about Asylum Seekers who are Homeless?” The Racialised Logics Behind State Designed Strategies of Containment and Control During Covid-19 and Anti-Racist Alternatives: A Glasgow Case Study. </w:t>
      </w:r>
      <w:r w:rsidRPr="00FA0545">
        <w:rPr>
          <w:rFonts w:ascii="Arial" w:hAnsi="Arial" w:cs="Arial"/>
          <w:i/>
          <w:iCs/>
          <w:noProof/>
        </w:rPr>
        <w:t>International Journal on Homelessness</w:t>
      </w:r>
      <w:r w:rsidRPr="00FA0545">
        <w:rPr>
          <w:rFonts w:ascii="Arial" w:hAnsi="Arial" w:cs="Arial"/>
          <w:noProof/>
        </w:rPr>
        <w:t>, 3(1), pp.2-16.</w:t>
      </w:r>
    </w:p>
    <w:p w14:paraId="7F59815D" w14:textId="4E70E2B9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SCIE, 2022. </w:t>
      </w:r>
      <w:r w:rsidRPr="00FA0545">
        <w:rPr>
          <w:rFonts w:ascii="Arial" w:hAnsi="Arial" w:cs="Arial"/>
          <w:i/>
          <w:iCs/>
          <w:noProof/>
        </w:rPr>
        <w:t>The Social Care Institute for Excellence (SCIE) is a not-for-profit independent social care charity.</w:t>
      </w:r>
      <w:r w:rsidRPr="00FA0545">
        <w:rPr>
          <w:rFonts w:ascii="Arial" w:hAnsi="Arial" w:cs="Arial"/>
          <w:noProof/>
        </w:rPr>
        <w:t xml:space="preserve"> [Online] Available at: </w:t>
      </w:r>
      <w:r w:rsidRPr="00502E93">
        <w:rPr>
          <w:rFonts w:ascii="Arial" w:hAnsi="Arial" w:cs="Arial"/>
          <w:noProof/>
        </w:rPr>
        <w:t>https://www.scie.org.uk/</w:t>
      </w:r>
      <w:r w:rsidRPr="00FA0545">
        <w:rPr>
          <w:rFonts w:ascii="Arial" w:hAnsi="Arial" w:cs="Arial"/>
          <w:noProof/>
        </w:rPr>
        <w:t xml:space="preserve"> [Accessed </w:t>
      </w:r>
      <w:r w:rsidR="00502E93">
        <w:rPr>
          <w:rFonts w:ascii="Arial" w:hAnsi="Arial" w:cs="Arial"/>
          <w:noProof/>
        </w:rPr>
        <w:t>20th</w:t>
      </w:r>
      <w:r w:rsidRPr="00FA0545">
        <w:rPr>
          <w:rFonts w:ascii="Arial" w:hAnsi="Arial" w:cs="Arial"/>
          <w:noProof/>
        </w:rPr>
        <w:t xml:space="preserve"> October 2025].</w:t>
      </w:r>
    </w:p>
    <w:p w14:paraId="27C4C1E6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Shen, K., McGarry, B.E. &amp; Gandhi, A.D., 2023. Health care staff turnover and quality of care at nursing homes. </w:t>
      </w:r>
      <w:r w:rsidRPr="00FA0545">
        <w:rPr>
          <w:rFonts w:ascii="Arial" w:hAnsi="Arial" w:cs="Arial"/>
          <w:i/>
          <w:iCs/>
          <w:noProof/>
        </w:rPr>
        <w:t>JAMA internal medicine</w:t>
      </w:r>
      <w:r w:rsidRPr="00FA0545">
        <w:rPr>
          <w:rFonts w:ascii="Arial" w:hAnsi="Arial" w:cs="Arial"/>
          <w:noProof/>
        </w:rPr>
        <w:t>, 183(11), pp.1247-54.</w:t>
      </w:r>
    </w:p>
    <w:p w14:paraId="424F6ACC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Sturmberg, J.P., Gainsford, L., Goodwin, N. &amp; Pond, D., 2024. Systemic failures in nursing home care—A scoping study. </w:t>
      </w:r>
      <w:r w:rsidRPr="00FA0545">
        <w:rPr>
          <w:rFonts w:ascii="Arial" w:hAnsi="Arial" w:cs="Arial"/>
          <w:i/>
          <w:iCs/>
          <w:noProof/>
        </w:rPr>
        <w:t>Journal of Evaluation in Clinical Practice</w:t>
      </w:r>
      <w:r w:rsidRPr="00FA0545">
        <w:rPr>
          <w:rFonts w:ascii="Arial" w:hAnsi="Arial" w:cs="Arial"/>
          <w:noProof/>
        </w:rPr>
        <w:t>, 30(3), pp.484-96.</w:t>
      </w:r>
    </w:p>
    <w:p w14:paraId="7BC0F091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lastRenderedPageBreak/>
        <w:t xml:space="preserve">Todic, J. et al., 2022. Critical theory, culture change, and achieving health equity in health care settings. </w:t>
      </w:r>
      <w:r w:rsidRPr="00FA0545">
        <w:rPr>
          <w:rFonts w:ascii="Arial" w:hAnsi="Arial" w:cs="Arial"/>
          <w:i/>
          <w:iCs/>
          <w:noProof/>
        </w:rPr>
        <w:t>Academic Medicine</w:t>
      </w:r>
      <w:r w:rsidRPr="00FA0545">
        <w:rPr>
          <w:rFonts w:ascii="Arial" w:hAnsi="Arial" w:cs="Arial"/>
          <w:noProof/>
        </w:rPr>
        <w:t>, 97(7), pp.977-88.</w:t>
      </w:r>
    </w:p>
    <w:p w14:paraId="33D9F06D" w14:textId="77777777" w:rsidR="00FA0545" w:rsidRPr="00FA0545" w:rsidRDefault="00FA0545" w:rsidP="00FA0545">
      <w:pPr>
        <w:pStyle w:val="Bibliography"/>
        <w:spacing w:after="240"/>
        <w:jc w:val="both"/>
        <w:rPr>
          <w:rFonts w:ascii="Arial" w:hAnsi="Arial" w:cs="Arial"/>
          <w:noProof/>
        </w:rPr>
      </w:pPr>
      <w:r w:rsidRPr="00FA0545">
        <w:rPr>
          <w:rFonts w:ascii="Arial" w:hAnsi="Arial" w:cs="Arial"/>
          <w:noProof/>
        </w:rPr>
        <w:t xml:space="preserve">Walker, C.C., Druckman, A. &amp; Jackson, T., 2022. A critique of the marketisation of long-term residential and nursing home care. </w:t>
      </w:r>
      <w:r w:rsidRPr="00FA0545">
        <w:rPr>
          <w:rFonts w:ascii="Arial" w:hAnsi="Arial" w:cs="Arial"/>
          <w:i/>
          <w:iCs/>
          <w:noProof/>
        </w:rPr>
        <w:t>The Lancet Healthy Longevity</w:t>
      </w:r>
      <w:r w:rsidRPr="00FA0545">
        <w:rPr>
          <w:rFonts w:ascii="Arial" w:hAnsi="Arial" w:cs="Arial"/>
          <w:noProof/>
        </w:rPr>
        <w:t>, 3(4), pp.e298-306.</w:t>
      </w:r>
    </w:p>
    <w:p w14:paraId="4AE941EA" w14:textId="77777777" w:rsidR="006E3078" w:rsidRPr="006E3078" w:rsidRDefault="00431575" w:rsidP="00FA0545">
      <w:pPr>
        <w:spacing w:after="240"/>
        <w:jc w:val="both"/>
      </w:pPr>
      <w:r w:rsidRPr="00FA0545">
        <w:rPr>
          <w:rFonts w:ascii="Arial" w:hAnsi="Arial" w:cs="Arial"/>
        </w:rPr>
        <w:fldChar w:fldCharType="end"/>
      </w:r>
    </w:p>
    <w:p w14:paraId="71929050" w14:textId="77777777" w:rsidR="006B565A" w:rsidRDefault="006B565A" w:rsidP="00907AD5">
      <w:pPr>
        <w:spacing w:after="240"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sectPr w:rsidR="006B565A" w:rsidSect="0062640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U3tDA3MjE1NDM2NjdS0lEKTi0uzszPAykwrAUA5tvKHCwAAAA="/>
  </w:docVars>
  <w:rsids>
    <w:rsidRoot w:val="00686678"/>
    <w:rsid w:val="00000A78"/>
    <w:rsid w:val="00031D09"/>
    <w:rsid w:val="00046B24"/>
    <w:rsid w:val="00050337"/>
    <w:rsid w:val="001546A1"/>
    <w:rsid w:val="00160AA8"/>
    <w:rsid w:val="001F4B0B"/>
    <w:rsid w:val="00200CA9"/>
    <w:rsid w:val="00206862"/>
    <w:rsid w:val="00226292"/>
    <w:rsid w:val="002420BE"/>
    <w:rsid w:val="00256301"/>
    <w:rsid w:val="002D0B32"/>
    <w:rsid w:val="00323D7F"/>
    <w:rsid w:val="00364307"/>
    <w:rsid w:val="00370A5B"/>
    <w:rsid w:val="003911A9"/>
    <w:rsid w:val="003B1BE2"/>
    <w:rsid w:val="00431575"/>
    <w:rsid w:val="00446CFD"/>
    <w:rsid w:val="004714DB"/>
    <w:rsid w:val="00502E93"/>
    <w:rsid w:val="00586689"/>
    <w:rsid w:val="005A43FC"/>
    <w:rsid w:val="005F3768"/>
    <w:rsid w:val="00626408"/>
    <w:rsid w:val="0068129D"/>
    <w:rsid w:val="0068303F"/>
    <w:rsid w:val="00686678"/>
    <w:rsid w:val="006B565A"/>
    <w:rsid w:val="006C5349"/>
    <w:rsid w:val="006E3078"/>
    <w:rsid w:val="0073788E"/>
    <w:rsid w:val="007D4BF7"/>
    <w:rsid w:val="00833A5E"/>
    <w:rsid w:val="00865EFA"/>
    <w:rsid w:val="008C40EA"/>
    <w:rsid w:val="00903CF3"/>
    <w:rsid w:val="00907AD5"/>
    <w:rsid w:val="00927F2F"/>
    <w:rsid w:val="00932CE4"/>
    <w:rsid w:val="0097207C"/>
    <w:rsid w:val="009C33F2"/>
    <w:rsid w:val="009F66F7"/>
    <w:rsid w:val="00A21F22"/>
    <w:rsid w:val="00A406BC"/>
    <w:rsid w:val="00A61F95"/>
    <w:rsid w:val="00AC0C3F"/>
    <w:rsid w:val="00AE3C0C"/>
    <w:rsid w:val="00B2057C"/>
    <w:rsid w:val="00BB2C7A"/>
    <w:rsid w:val="00BC3834"/>
    <w:rsid w:val="00C24172"/>
    <w:rsid w:val="00CA1FBD"/>
    <w:rsid w:val="00CF00C4"/>
    <w:rsid w:val="00D23D10"/>
    <w:rsid w:val="00D45007"/>
    <w:rsid w:val="00D65CCE"/>
    <w:rsid w:val="00D748C0"/>
    <w:rsid w:val="00D869B8"/>
    <w:rsid w:val="00D95F0F"/>
    <w:rsid w:val="00DA25C4"/>
    <w:rsid w:val="00DD5DEB"/>
    <w:rsid w:val="00DF34B7"/>
    <w:rsid w:val="00E23ACB"/>
    <w:rsid w:val="00E6650F"/>
    <w:rsid w:val="00EC310F"/>
    <w:rsid w:val="00F5011E"/>
    <w:rsid w:val="00F724BA"/>
    <w:rsid w:val="00F8213C"/>
    <w:rsid w:val="00FA0545"/>
    <w:rsid w:val="00FB495F"/>
    <w:rsid w:val="00FD2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96190B"/>
  <w15:docId w15:val="{B383C393-5668-48DA-A352-2F6C14992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6CF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3D7F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link w:val="Heading3Char"/>
    <w:uiPriority w:val="9"/>
    <w:qFormat/>
    <w:rsid w:val="00323D7F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23D7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23D7F"/>
    <w:pPr>
      <w:spacing w:before="100" w:beforeAutospacing="1" w:after="100" w:afterAutospacing="1"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323D7F"/>
    <w:rPr>
      <w:b/>
      <w:bCs/>
    </w:rPr>
  </w:style>
  <w:style w:type="character" w:styleId="Emphasis">
    <w:name w:val="Emphasis"/>
    <w:basedOn w:val="DefaultParagraphFont"/>
    <w:uiPriority w:val="20"/>
    <w:qFormat/>
    <w:rsid w:val="00323D7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323D7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2C7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2C7A"/>
    <w:rPr>
      <w:rFonts w:ascii="Tahoma" w:eastAsia="Times New Roman" w:hAnsi="Tahoma" w:cs="Tahoma"/>
      <w:sz w:val="16"/>
      <w:szCs w:val="16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B2057C"/>
  </w:style>
  <w:style w:type="character" w:styleId="Hyperlink">
    <w:name w:val="Hyperlink"/>
    <w:basedOn w:val="DefaultParagraphFont"/>
    <w:uiPriority w:val="99"/>
    <w:semiHidden/>
    <w:unhideWhenUsed/>
    <w:rsid w:val="00B2057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McK211</b:Tag>
    <b:SourceType>JournalArticle</b:SourceType>
    <b:Guid>{D57972B0-6941-428E-8642-817847E942F6}</b:Guid>
    <b:LCID>0</b:LCID>
    <b:Author>
      <b:Author>
        <b:NameList>
          <b:Person>
            <b:Last>McKee</b:Last>
            <b:First>Martin</b:First>
          </b:Person>
          <b:Person>
            <b:Last>Dunnell</b:Last>
            <b:First>Karen</b:First>
          </b:Person>
          <b:Person>
            <b:Last>Anderson</b:Last>
            <b:First>Michael</b:First>
          </b:Person>
          <b:Person>
            <b:Last>Brayne</b:Last>
            <b:First>Carol</b:First>
          </b:Person>
          <b:Person>
            <b:Last>Charlesworth</b:Last>
            <b:First>Anita</b:First>
          </b:Person>
          <b:Person>
            <b:Last>Johnston-Webber</b:Last>
            <b:First>Charlotte</b:First>
          </b:Person>
          <b:Person>
            <b:Last>Knapp</b:Last>
            <b:First>Martin</b:First>
          </b:Person>
        </b:NameList>
      </b:Author>
    </b:Author>
    <b:Title>The changing health needs of the UK population</b:Title>
    <b:Year>2021</b:Year>
    <b:JournalName>The Lancet</b:JournalName>
    <b:Pages>1979-1991</b:Pages>
    <b:Volume>397</b:Volume>
    <b:Issue>10288</b:Issue>
    <b:RefOrder>1</b:RefOrder>
  </b:Source>
  <b:Source>
    <b:Tag>Hod24</b:Tag>
    <b:SourceType>JournalArticle</b:SourceType>
    <b:Guid>{D4034BA9-389A-4B56-97F6-BA6394E0BD9E}</b:Guid>
    <b:LCID>0</b:LCID>
    <b:Author>
      <b:Author>
        <b:NameList>
          <b:Person>
            <b:Last>Hodge</b:Last>
            <b:First>Gary</b:First>
          </b:Person>
          <b:Person>
            <b:Last>Lang</b:Last>
            <b:First>Iain</b:First>
          </b:Person>
          <b:Person>
            <b:Last>Byng</b:Last>
            <b:First>Richard</b:First>
          </b:Person>
          <b:Person>
            <b:Last>Pearce</b:Last>
            <b:First>Susie</b:First>
          </b:Person>
        </b:NameList>
      </b:Author>
    </b:Author>
    <b:Title>Older peoples' lived experiences of personalised care in care homes: A meta‐ethnography</b:Title>
    <b:JournalName>International journal of older people nursing</b:JournalName>
    <b:Year>2024</b:Year>
    <b:Pages>e12585</b:Pages>
    <b:Volume>19</b:Volume>
    <b:Issue>1</b:Issue>
    <b:RefOrder>2</b:RefOrder>
  </b:Source>
  <b:Source>
    <b:Tag>Bac24</b:Tag>
    <b:SourceType>JournalArticle</b:SourceType>
    <b:Guid>{AE24C619-A545-4E39-84E6-5EEA9086E3FB}</b:Guid>
    <b:LCID>0</b:LCID>
    <b:Author>
      <b:Author>
        <b:NameList>
          <b:Person>
            <b:Last>Bach-Mortensen</b:Last>
            <b:First>Anders</b:First>
          </b:Person>
          <b:Person>
            <b:Last>Goodair</b:Last>
            <b:First>Benjamin</b:First>
          </b:Person>
          <b:Person>
            <b:Last>Esposti</b:Last>
            <b:First>Michelle</b:First>
            <b:Middle>Degli</b:Middle>
          </b:Person>
        </b:NameList>
      </b:Author>
    </b:Author>
    <b:Title>Involuntary closures of for-profit care homes in England by the Care Quality Commission</b:Title>
    <b:JournalName>The Lancet Healthy Longevity</b:JournalName>
    <b:Year>2024</b:Year>
    <b:Pages>e297-e302</b:Pages>
    <b:Volume>5</b:Volume>
    <b:Issue>4</b:Issue>
    <b:RefOrder>5</b:RefOrder>
  </b:Source>
  <b:Source>
    <b:Tag>SCI22</b:Tag>
    <b:SourceType>InternetSite</b:SourceType>
    <b:Guid>{0C1D3A73-B24F-4D65-BA4D-BCC04386BB55}</b:Guid>
    <b:LCID>0</b:LCID>
    <b:Author>
      <b:Author>
        <b:Corporate>SCIE</b:Corporate>
      </b:Author>
    </b:Author>
    <b:Title>The Social Care Institute for Excellence (SCIE) is a not-for-profit independent social care charity.</b:Title>
    <b:Year>2022</b:Year>
    <b:YearAccessed>2025</b:YearAccessed>
    <b:MonthAccessed>October</b:MonthAccessed>
    <b:DayAccessed>22nd</b:DayAccessed>
    <b:URL>https://www.scie.org.uk/</b:URL>
    <b:RefOrder>7</b:RefOrder>
  </b:Source>
  <b:Source>
    <b:Tag>Ess23</b:Tag>
    <b:SourceType>InternetSite</b:SourceType>
    <b:Guid>{D63CF46A-11F0-4719-9FBA-A89B4C644E85}</b:Guid>
    <b:LCID>0</b:LCID>
    <b:Author>
      <b:Author>
        <b:Corporate>Essex County Council</b:Corporate>
      </b:Author>
    </b:Author>
    <b:Title>My Home Life</b:Title>
    <b:Year>2023</b:Year>
    <b:YearAccessed>2025</b:YearAccessed>
    <b:MonthAccessed>October</b:MonthAccessed>
    <b:DayAccessed>22nd</b:DayAccessed>
    <b:URL>https://www.essexproviderhub.org/quality/quality-innovation-team/my-home-life/my-home-life/</b:URL>
    <b:RefOrder>12</b:RefOrder>
  </b:Source>
  <b:Source>
    <b:Tag>Pia23</b:Tag>
    <b:SourceType>JournalArticle</b:SourceType>
    <b:Guid>{EE328733-F4F2-421A-A6D8-00EE26793A25}</b:Guid>
    <b:LCID>0</b:LCID>
    <b:Author>
      <b:Author>
        <b:NameList>
          <b:Person>
            <b:Last>Piacentini</b:Last>
            <b:First>Teresa</b:First>
          </b:Person>
          <b:Person>
            <b:Last>Gilmour</b:Last>
            <b:First>Molly</b:First>
          </b:Person>
          <b:Person>
            <b:Last>Joy</b:Last>
            <b:First>Annika</b:First>
          </b:Person>
          <b:Person>
            <b:Last>Aksu</b:Last>
            <b:First>Pinar</b:First>
          </b:Person>
        </b:NameList>
      </b:Author>
    </b:Author>
    <b:Title>“How about Asylum Seekers who are Homeless?” The Racialised Logics Behind State Designed Strategies of Containment and Control During Covid-19 and Anti-Racist Alternatives: A Glasgow Case Study</b:Title>
    <b:Year>2023</b:Year>
    <b:JournalName>International Journal on Homelessness</b:JournalName>
    <b:Pages>2-16</b:Pages>
    <b:Volume>3</b:Volume>
    <b:Issue>1</b:Issue>
    <b:RefOrder>9</b:RefOrder>
  </b:Source>
  <b:Source>
    <b:Tag>She231</b:Tag>
    <b:SourceType>JournalArticle</b:SourceType>
    <b:Guid>{53D7D8D0-F0AC-425B-B1E2-2070AF935B3C}</b:Guid>
    <b:LCID>0</b:LCID>
    <b:Author>
      <b:Author>
        <b:NameList>
          <b:Person>
            <b:Last>Shen</b:Last>
            <b:First>Karen</b:First>
          </b:Person>
          <b:Person>
            <b:Last>McGarry</b:Last>
            <b:First>Brian</b:First>
            <b:Middle>E.</b:Middle>
          </b:Person>
          <b:Person>
            <b:Last>Gandhi</b:Last>
            <b:First>Ashvin</b:First>
            <b:Middle>D.</b:Middle>
          </b:Person>
        </b:NameList>
      </b:Author>
    </b:Author>
    <b:Title>Health care staff turnover and quality of care at nursing homes</b:Title>
    <b:JournalName>JAMA internal medicine</b:JournalName>
    <b:Year>2023</b:Year>
    <b:Pages>1247-1254</b:Pages>
    <b:Volume>183</b:Volume>
    <b:Issue>11</b:Issue>
    <b:RefOrder>10</b:RefOrder>
  </b:Source>
  <b:Source>
    <b:Tag>Cal14</b:Tag>
    <b:SourceType>JournalArticle</b:SourceType>
    <b:Guid>{CA269338-A9BB-4A30-ACAA-41FEDA4A8107}</b:Guid>
    <b:LCID>0</b:LCID>
    <b:Author>
      <b:Author>
        <b:NameList>
          <b:Person>
            <b:Last>Callaghan</b:Last>
            <b:First>Lisa</b:First>
          </b:Person>
          <b:Person>
            <b:Last>Towers</b:Last>
            <b:First>Ann-Marie</b:First>
          </b:Person>
        </b:NameList>
      </b:Author>
    </b:Author>
    <b:Title>Feeling in control: Comparing older people's experiences in different care settings</b:Title>
    <b:JournalName>Ageing &amp; Society</b:JournalName>
    <b:Year>2014</b:Year>
    <b:Pages>1427-1451</b:Pages>
    <b:Volume>34</b:Volume>
    <b:Issue>8</b:Issue>
    <b:RefOrder>16</b:RefOrder>
  </b:Source>
  <b:Source>
    <b:Tag>Das21</b:Tag>
    <b:SourceType>JournalArticle</b:SourceType>
    <b:Guid>{0E59F899-82D7-4D70-80B4-5D684FAAD87E}</b:Guid>
    <b:LCID>0</b:LCID>
    <b:Author>
      <b:Author>
        <b:NameList>
          <b:Person>
            <b:Last>D’ascanio</b:Last>
            <b:First>Michela</b:First>
          </b:Person>
          <b:Person>
            <b:Last>Innammorato</b:Last>
            <b:First>Marta</b:First>
          </b:Person>
          <b:Person>
            <b:Last>Pasquariello</b:Last>
            <b:First>Lara</b:First>
          </b:Person>
          <b:Person>
            <b:Last>Pizzirusso</b:Last>
            <b:First>Dario</b:First>
          </b:Person>
          <b:Person>
            <b:Last>Guerrieri</b:Last>
            <b:First>Giulio</b:First>
          </b:Person>
          <b:Person>
            <b:Last>Castelli</b:Last>
            <b:First>Silvia</b:First>
          </b:Person>
          <b:Person>
            <b:Last>Pezzuto</b:Last>
            <b:First>Aldo</b:First>
          </b:Person>
        </b:NameList>
      </b:Author>
    </b:Author>
    <b:Title>Age is not the only risk factor in COVID-19: the role of comorbidities and of long staying in residential care homes</b:Title>
    <b:JournalName>BMC</b:JournalName>
    <b:Year>2021</b:Year>
    <b:Pages>63</b:Pages>
    <b:Volume>21</b:Volume>
    <b:Issue>1</b:Issue>
    <b:RefOrder>13</b:RefOrder>
  </b:Source>
  <b:Source>
    <b:Tag>Log21</b:Tag>
    <b:SourceType>JournalArticle</b:SourceType>
    <b:Guid>{5B309EF8-B6EA-4922-9801-FF1DB86CAA02}</b:Guid>
    <b:LCID>0</b:LCID>
    <b:Author>
      <b:Author>
        <b:NameList>
          <b:Person>
            <b:Last>Logan</b:Last>
            <b:First>Pip</b:First>
            <b:Middle>A</b:Middle>
          </b:Person>
          <b:Person>
            <b:Last>Horne</b:Last>
            <b:First>Jane</b:First>
            <b:Middle>C.</b:Middle>
          </b:Person>
          <b:Person>
            <b:Last>Gladman</b:Last>
            <b:First>John</b:First>
            <b:Middle>RF</b:Middle>
          </b:Person>
          <b:Person>
            <b:Last>Gordon</b:Last>
            <b:First>Adam</b:First>
            <b:Middle>L.</b:Middle>
          </b:Person>
          <b:Person>
            <b:Last>Sach</b:Last>
            <b:First>Tracey</b:First>
          </b:Person>
          <b:Person>
            <b:Last>Clark</b:Last>
            <b:First>Allan</b:First>
          </b:Person>
          <b:Person>
            <b:Last>Robinson</b:Last>
            <b:First>Katie</b:First>
          </b:Person>
        </b:NameList>
      </b:Author>
    </b:Author>
    <b:Title>Multifactorial falls prevention programme compared with usual care in UK care homes for older people: multicentre cluster randomised controlled trial with economic evaluation</b:Title>
    <b:JournalName>bmj</b:JournalName>
    <b:Year>2021</b:Year>
    <b:Pages>375</b:Pages>
    <b:RefOrder>6</b:RefOrder>
  </b:Source>
  <b:Source>
    <b:Tag>Chu21</b:Tag>
    <b:SourceType>JournalArticle</b:SourceType>
    <b:Guid>{0DA26711-30C2-478F-BF9B-E53D50777656}</b:Guid>
    <b:LCID>0</b:LCID>
    <b:Author>
      <b:Author>
        <b:NameList>
          <b:Person>
            <b:Last>Chu</b:Last>
            <b:First>Charlene</b:First>
            <b:Middle>H</b:Middle>
          </b:Person>
          <b:Person>
            <b:Last>Ronquillo</b:Last>
            <b:First>Charlene</b:First>
          </b:Person>
          <b:Person>
            <b:Last>Khan</b:Last>
            <b:First>Shehroz</b:First>
          </b:Person>
          <b:Person>
            <b:Last>Hung</b:Last>
            <b:First>Lillian</b:First>
          </b:Person>
          <b:Person>
            <b:Last>Boscart</b:Last>
            <b:First>Veronique</b:First>
          </b:Person>
        </b:NameList>
      </b:Author>
    </b:Author>
    <b:Title>Technology recommendations to support person-centered care in long-term care homes during the COVID-19 pandemic and beyond</b:Title>
    <b:JournalName>Journal of aging &amp; social policy</b:JournalName>
    <b:Year>2021</b:Year>
    <b:Pages>539-554</b:Pages>
    <b:Volume>33</b:Volume>
    <b:Issue>4-5</b:Issue>
    <b:RefOrder>14</b:RefOrder>
  </b:Source>
  <b:Source>
    <b:Tag>Mor21</b:Tag>
    <b:SourceType>JournalArticle</b:SourceType>
    <b:Guid>{51A09A2C-BD49-4F91-BA29-B62197D04058}</b:Guid>
    <b:LCID>0</b:LCID>
    <b:Author>
      <b:Author>
        <b:NameList>
          <b:Person>
            <b:Last>Morciano</b:Last>
            <b:First>Marcello</b:First>
          </b:Person>
          <b:Person>
            <b:Last>Stokes</b:Last>
            <b:First>Jonathan</b:First>
          </b:Person>
          <b:Person>
            <b:Last>Kontopantelis</b:Last>
            <b:First>Evangelos</b:First>
          </b:Person>
          <b:Person>
            <b:Last>Hall</b:Last>
            <b:First>Ian</b:First>
          </b:Person>
          <b:Person>
            <b:Last>Turner</b:Last>
            <b:First>Alex</b:First>
            <b:Middle>J.</b:Middle>
          </b:Person>
        </b:NameList>
      </b:Author>
    </b:Author>
    <b:Title>Excess mortality for care home residents during the first 23 weeks of the COVID-19 pandemic in England: a national cohort study</b:Title>
    <b:JournalName>BMC medicine</b:JournalName>
    <b:Year>2021</b:Year>
    <b:Pages>71</b:Pages>
    <b:Volume>19</b:Volume>
    <b:Issue>1</b:Issue>
    <b:RefOrder>15</b:RefOrder>
  </b:Source>
  <b:Source>
    <b:Tag>Moi21</b:Tag>
    <b:SourceType>JournalArticle</b:SourceType>
    <b:Guid>{526FF123-F3BA-48F7-966F-F21C9EDFE1B4}</b:Guid>
    <b:LCID>0</b:LCID>
    <b:Author>
      <b:Author>
        <b:NameList>
          <b:Person>
            <b:Last>Moilanen</b:Last>
            <b:First>Tanja</b:First>
          </b:Person>
          <b:Person>
            <b:Last>Kangasniemi</b:Last>
            <b:First>Mari</b:First>
          </b:Person>
          <b:Person>
            <b:Last>Papinaho</b:Last>
            <b:First>Oili</b:First>
          </b:Person>
          <b:Person>
            <b:Last>Mynttinen</b:Last>
            <b:First>Mari</b:First>
          </b:Person>
          <b:Person>
            <b:Last>Siipi</b:Last>
            <b:First>Helena</b:First>
          </b:Person>
          <b:Person>
            <b:Last>Suominen</b:Last>
            <b:First>Sakari</b:First>
          </b:Person>
          <b:Person>
            <b:Last>Suhonen</b:Last>
            <b:First>Riitta</b:First>
          </b:Person>
        </b:NameList>
      </b:Author>
    </b:Author>
    <b:Title>Older people’s perceived autonomy in residential care: An integrative review</b:Title>
    <b:JournalName>Nursing ethics</b:JournalName>
    <b:Year>2021</b:Year>
    <b:Pages>414-434</b:Pages>
    <b:Volume>28</b:Volume>
    <b:Issue>3</b:Issue>
    <b:RefOrder>3</b:RefOrder>
  </b:Source>
  <b:Source>
    <b:Tag>Moi22</b:Tag>
    <b:SourceType>JournalArticle</b:SourceType>
    <b:Guid>{201FBB5E-46CC-41B0-B369-168B39DD7AD3}</b:Guid>
    <b:LCID>0</b:LCID>
    <b:Author>
      <b:Author>
        <b:NameList>
          <b:Person>
            <b:Last>Moilanen</b:Last>
            <b:First>Tanja</b:First>
          </b:Person>
          <b:Person>
            <b:Last>Suhonen</b:Last>
            <b:First>Riitta</b:First>
          </b:Person>
          <b:Person>
            <b:Last>Kangasniemi</b:Last>
            <b:First>Mari</b:First>
          </b:Person>
        </b:NameList>
      </b:Author>
    </b:Author>
    <b:Title>Nursing support for older people's autonomy in residential care: An integrative review</b:Title>
    <b:JournalName>International journal of older people nursing</b:JournalName>
    <b:Year>2022</b:Year>
    <b:Pages>e12428</b:Pages>
    <b:Volume>17</b:Volume>
    <b:Issue>2</b:Issue>
    <b:RefOrder>4</b:RefOrder>
  </b:Source>
  <b:Source>
    <b:Tag>Jen25</b:Tag>
    <b:SourceType>JournalArticle</b:SourceType>
    <b:Guid>{4C7F6612-DF0C-4912-8370-210917F22EE4}</b:Guid>
    <b:LCID>0</b:LCID>
    <b:Author>
      <b:Author>
        <b:NameList>
          <b:Person>
            <b:Last>Jensen</b:Last>
            <b:First>Maya</b:First>
            <b:Middle>Christiane Flensborg</b:Middle>
          </b:Person>
          <b:Person>
            <b:Last>Berger</b:Last>
            <b:First>Nichlas</b:First>
            <b:Middle>Permin</b:Middle>
          </b:Person>
          <b:Person>
            <b:Last>Røgeskov</b:Last>
            <b:First>Maria</b:First>
          </b:Person>
          <b:Person>
            <b:Last>Rasmussen</b:Last>
            <b:First>Pernille</b:First>
            <b:Middle>Skovbo</b:Middle>
          </b:Person>
          <b:Person>
            <b:Last>Olsen</b:Last>
            <b:First>Leif</b:First>
          </b:Person>
        </b:NameList>
      </b:Author>
    </b:Author>
    <b:Title>Autonomy and Human Rights Dilemmas in Supported Housing for People With Intellectual Disabilities</b:Title>
    <b:JournalName>Social Inclusion</b:JournalName>
    <b:Year>2025</b:Year>
    <b:Volume>13</b:Volume>
    <b:RefOrder>8</b:RefOrder>
  </b:Source>
  <b:Source>
    <b:Tag>Ber23</b:Tag>
    <b:SourceType>Book</b:SourceType>
    <b:Guid>{86C9F7B2-9B7D-460C-B4CD-B58424EBD7B7}</b:Guid>
    <b:LCID>0</b:LCID>
    <b:Author>
      <b:Author>
        <b:NameList>
          <b:Person>
            <b:Last>Bernstein</b:Last>
            <b:First>Gaia</b:First>
          </b:Person>
        </b:NameList>
      </b:Author>
    </b:Author>
    <b:Title>Unwired: Gaining control over addictive technologies</b:Title>
    <b:Year>2023</b:Year>
    <b:Publisher>Cambridge University Press</b:Publisher>
    <b:RefOrder>17</b:RefOrder>
  </b:Source>
  <b:Source>
    <b:Tag>Stu24</b:Tag>
    <b:SourceType>JournalArticle</b:SourceType>
    <b:Guid>{69852C9E-DA2E-4499-817F-957687E9E17C}</b:Guid>
    <b:LCID>0</b:LCID>
    <b:Author>
      <b:Author>
        <b:NameList>
          <b:Person>
            <b:Last>Sturmberg</b:Last>
            <b:First>Joachim</b:First>
            <b:Middle>P</b:Middle>
          </b:Person>
          <b:Person>
            <b:Last>Gainsford</b:Last>
            <b:First>Len</b:First>
          </b:Person>
          <b:Person>
            <b:Last>Goodwin</b:Last>
            <b:First>Nicholas</b:First>
          </b:Person>
          <b:Person>
            <b:Last>Pond</b:Last>
            <b:First>Dimity</b:First>
          </b:Person>
        </b:NameList>
      </b:Author>
    </b:Author>
    <b:Title>Systemic failures in nursing home care—A scoping study</b:Title>
    <b:Year>2024</b:Year>
    <b:JournalName>Journal of Evaluation in Clinical Practice</b:JournalName>
    <b:Pages>484-496</b:Pages>
    <b:Volume>30</b:Volume>
    <b:Issue>3</b:Issue>
    <b:RefOrder>20</b:RefOrder>
  </b:Source>
  <b:Source>
    <b:Tag>Tod22</b:Tag>
    <b:SourceType>JournalArticle</b:SourceType>
    <b:Guid>{4F98A998-6FD1-41EB-9245-3BF75C80E38F}</b:Guid>
    <b:LCID>0</b:LCID>
    <b:Author>
      <b:Author>
        <b:NameList>
          <b:Person>
            <b:Last>Todic</b:Last>
            <b:First>Jelena</b:First>
          </b:Person>
          <b:Person>
            <b:Last>Cook</b:Last>
            <b:First>Scott</b:First>
            <b:Middle>C.</b:Middle>
          </b:Person>
          <b:Person>
            <b:Last>Spitzer-Shohat</b:Last>
            <b:First>Sivan</b:First>
          </b:Person>
          <b:Person>
            <b:Last>Jr</b:Last>
            <b:First>James</b:First>
            <b:Middle>S. Williams</b:Middle>
          </b:Person>
          <b:Person>
            <b:Last>Battle</b:Last>
            <b:First>Brenda</b:First>
            <b:Middle>A.</b:Middle>
          </b:Person>
          <b:Person>
            <b:Last>Jackson</b:Last>
            <b:First>Joel</b:First>
          </b:Person>
          <b:Person>
            <b:Last>Chin</b:Last>
            <b:First>Marshall</b:First>
            <b:Middle>H.</b:Middle>
          </b:Person>
        </b:NameList>
      </b:Author>
    </b:Author>
    <b:Title>Critical theory, culture change, and achieving health equity in health care settings</b:Title>
    <b:JournalName>Academic Medicine</b:JournalName>
    <b:Year>2022</b:Year>
    <b:Pages>977-988</b:Pages>
    <b:Volume>97</b:Volume>
    <b:Issue>7</b:Issue>
    <b:RefOrder>18</b:RefOrder>
  </b:Source>
  <b:Source>
    <b:Tag>Hak23</b:Tag>
    <b:SourceType>Report</b:SourceType>
    <b:Guid>{AC05E865-67D6-43DC-9C15-DC3DDEC5A3E3}</b:Guid>
    <b:LCID>0</b:LCID>
    <b:Author>
      <b:Author>
        <b:NameList>
          <b:Person>
            <b:Last>Hakverdioğlu Yönt</b:Last>
            <b:First>Gülendam</b:First>
          </b:Person>
          <b:Person>
            <b:Last>Kisa</b:Last>
            <b:First>Sezer</b:First>
          </b:Person>
          <b:Person>
            <b:Last>Princeton</b:Last>
            <b:First>Daisy</b:First>
            <b:Middle>Michelle</b:Middle>
          </b:Person>
        </b:NameList>
      </b:Author>
    </b:Author>
    <b:Title>Physical restraint use in nursing homes—regional variances and ethical considerations: A scoping review of empirical studies</b:Title>
    <b:Year>2023</b:Year>
    <b:Institution>MDPI</b:Institution>
    <b:Publisher>MDPI</b:Publisher>
    <b:RefOrder>19</b:RefOrder>
  </b:Source>
  <b:Source>
    <b:Tag>Wal223</b:Tag>
    <b:SourceType>JournalArticle</b:SourceType>
    <b:Guid>{CA3CF060-B2B4-4FC6-BB21-836BA8C43CB7}</b:Guid>
    <b:LCID>0</b:LCID>
    <b:Author>
      <b:Author>
        <b:NameList>
          <b:Person>
            <b:Last>Walker</b:Last>
            <b:First>Christine</b:First>
            <b:Middle>Corlet</b:Middle>
          </b:Person>
          <b:Person>
            <b:Last>Druckman</b:Last>
            <b:First>Angela</b:First>
          </b:Person>
          <b:Person>
            <b:Last>Jackson</b:Last>
            <b:First>Tim</b:First>
          </b:Person>
        </b:NameList>
      </b:Author>
    </b:Author>
    <b:Title>A critique of the marketisation of long-term residential and nursing home care</b:Title>
    <b:Year>2022</b:Year>
    <b:JournalName>The Lancet Healthy Longevity</b:JournalName>
    <b:Pages>e298-e306</b:Pages>
    <b:Volume>3</b:Volume>
    <b:Issue>4</b:Issue>
    <b:RefOrder>11</b:RefOrder>
  </b:Source>
</b:Sources>
</file>

<file path=customXml/itemProps1.xml><?xml version="1.0" encoding="utf-8"?>
<ds:datastoreItem xmlns:ds="http://schemas.openxmlformats.org/officeDocument/2006/customXml" ds:itemID="{34D9CAFB-95BA-4D04-89DE-B3C6FB52C2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568</Words>
  <Characters>3242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Amreen Akhtar (2214675)</cp:lastModifiedBy>
  <cp:revision>14</cp:revision>
  <dcterms:created xsi:type="dcterms:W3CDTF">2025-10-22T17:10:00Z</dcterms:created>
  <dcterms:modified xsi:type="dcterms:W3CDTF">2025-11-06T23:47:00Z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88ec08f7-8924-4888-998c-d05f08327152</vt:lpwstr>
  </property>
</Properties>
</file>