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drawing>
          <wp:inline distT="0" distB="0" distL="0" distR="0">
            <wp:extent cx="2216150" cy="1108075"/>
            <wp:effectExtent l="0" t="0" r="0" b="0"/>
            <wp:docPr id="1" name="Picture 5276148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27614896" descr=""/>
                    <pic:cNvPicPr>
                      <a:picLocks noChangeAspect="1" noChangeArrowheads="1"/>
                    </pic:cNvPicPr>
                  </pic:nvPicPr>
                  <pic:blipFill>
                    <a:blip r:embed="rId2"/>
                    <a:stretch>
                      <a:fillRect/>
                    </a:stretch>
                  </pic:blipFill>
                  <pic:spPr bwMode="auto">
                    <a:xfrm>
                      <a:off x="0" y="0"/>
                      <a:ext cx="2216150" cy="1108075"/>
                    </a:xfrm>
                    <a:prstGeom prst="rect">
                      <a:avLst/>
                    </a:prstGeom>
                  </pic:spPr>
                </pic:pic>
              </a:graphicData>
            </a:graphic>
          </wp:inline>
        </w:drawing>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jc w:val="center"/>
        <w:rPr/>
      </w:pPr>
      <w:r>
        <w:rPr>
          <w:rFonts w:cs="Times New Roman"/>
          <w:b/>
          <w:sz w:val="32"/>
        </w:rPr>
        <w:t>Effective Reading and note-making</w:t>
      </w:r>
    </w:p>
    <w:p>
      <w:pPr>
        <w:pStyle w:val="Normal"/>
        <w:rPr/>
      </w:pPr>
      <w:r>
        <w:rPr/>
      </w:r>
    </w:p>
    <w:p>
      <w:pPr>
        <w:pStyle w:val="Normal"/>
        <w:rPr/>
      </w:pPr>
      <w:r>
        <w:rPr/>
      </w:r>
    </w:p>
    <w:p>
      <w:pPr>
        <w:pStyle w:val="Normal"/>
        <w:rPr/>
      </w:pPr>
      <w:r>
        <w:rPr/>
      </w:r>
    </w:p>
    <w:p>
      <w:pPr>
        <w:pStyle w:val="Normal"/>
        <w:rPr/>
      </w:pPr>
      <w:r>
        <w:rPr/>
      </w:r>
    </w:p>
    <w:p>
      <w:pPr>
        <w:pStyle w:val="Normal"/>
        <w:rPr>
          <w:rFonts w:cs="Times New Roman"/>
          <w:sz w:val="28"/>
          <w:szCs w:val="32"/>
        </w:rPr>
      </w:pPr>
      <w:r>
        <w:rPr>
          <w:rFonts w:cs="Times New Roman"/>
          <w:sz w:val="28"/>
          <w:szCs w:val="32"/>
        </w:rPr>
        <w:t xml:space="preserve">Name: Georgiana Piticas </w:t>
      </w:r>
    </w:p>
    <w:p>
      <w:pPr>
        <w:pStyle w:val="Normal"/>
        <w:rPr>
          <w:rFonts w:cs="Times New Roman"/>
          <w:sz w:val="28"/>
          <w:szCs w:val="32"/>
        </w:rPr>
      </w:pPr>
      <w:r>
        <w:rPr>
          <w:rFonts w:cs="Times New Roman"/>
          <w:sz w:val="28"/>
          <w:szCs w:val="32"/>
        </w:rPr>
        <w:t>Student ID: 2315601</w:t>
      </w:r>
    </w:p>
    <w:p>
      <w:pPr>
        <w:pStyle w:val="Normal"/>
        <w:rPr>
          <w:rFonts w:cs="Times New Roman"/>
          <w:sz w:val="28"/>
          <w:szCs w:val="32"/>
        </w:rPr>
      </w:pPr>
      <w:r>
        <w:rPr>
          <w:rFonts w:cs="Times New Roman"/>
          <w:sz w:val="28"/>
          <w:szCs w:val="32"/>
        </w:rPr>
        <w:t>Module code: LCBB4006</w:t>
      </w:r>
    </w:p>
    <w:p>
      <w:pPr>
        <w:pStyle w:val="Normal"/>
        <w:rPr>
          <w:rFonts w:cs="Times New Roman"/>
          <w:sz w:val="28"/>
          <w:szCs w:val="32"/>
        </w:rPr>
      </w:pPr>
      <w:r>
        <w:rPr>
          <w:rFonts w:cs="Times New Roman"/>
          <w:sz w:val="28"/>
          <w:szCs w:val="32"/>
        </w:rPr>
        <w:t xml:space="preserve">Module name: Academic Skills </w:t>
      </w:r>
    </w:p>
    <w:p>
      <w:pPr>
        <w:pStyle w:val="Normal"/>
        <w:rPr>
          <w:rFonts w:cs="Times New Roman"/>
          <w:sz w:val="28"/>
          <w:szCs w:val="32"/>
        </w:rPr>
      </w:pPr>
      <w:r>
        <w:rPr>
          <w:rFonts w:cs="Times New Roman"/>
          <w:sz w:val="28"/>
          <w:szCs w:val="32"/>
        </w:rPr>
        <w:t>Lecturer: Natalia Zajaczkowska</w:t>
      </w:r>
    </w:p>
    <w:p>
      <w:pPr>
        <w:pStyle w:val="Normal"/>
        <w:rPr/>
      </w:pPr>
      <w:r>
        <w:rPr/>
      </w:r>
      <w:r>
        <w:br w:type="page"/>
      </w:r>
    </w:p>
    <w:sdt>
      <w:sdtPr>
        <w:docPartObj>
          <w:docPartGallery w:val="Table of Contents"/>
          <w:docPartUnique w:val="true"/>
        </w:docPartObj>
        <w:id w:val="302148806"/>
      </w:sdtPr>
      <w:sdtContent>
        <w:p>
          <w:pPr>
            <w:pStyle w:val="TOCHeading"/>
            <w:rPr/>
          </w:pPr>
          <w:r>
            <w:rPr/>
            <w:t>Table of Contents</w:t>
          </w:r>
        </w:p>
        <w:p>
          <w:pPr>
            <w:pStyle w:val="Contents1"/>
            <w:tabs>
              <w:tab w:val="right" w:pos="9350" w:leader="dot"/>
            </w:tabs>
            <w:rPr>
              <w:rFonts w:ascii="Calibri" w:hAnsi="Calibri" w:eastAsia="" w:asciiTheme="minorHAnsi" w:eastAsiaTheme="minorEastAsia" w:hAnsiTheme="minorHAnsi"/>
              <w:kern w:val="2"/>
              <w:sz w:val="22"/>
              <w:lang w:val="en-GB" w:eastAsia="en-GB"/>
              <w14:ligatures w14:val="standardContextual"/>
            </w:rPr>
          </w:pPr>
          <w:r>
            <w:fldChar w:fldCharType="begin"/>
          </w:r>
          <w:r>
            <w:rPr>
              <w:webHidden/>
              <w:rStyle w:val="IndexLink"/>
            </w:rPr>
            <w:instrText> TOC \z \o "1-3" \u \h</w:instrText>
          </w:r>
          <w:r>
            <w:rPr>
              <w:webHidden/>
              <w:rStyle w:val="IndexLink"/>
            </w:rPr>
            <w:fldChar w:fldCharType="separate"/>
          </w:r>
          <w:hyperlink w:anchor="_Toc151683556">
            <w:r>
              <w:rPr>
                <w:webHidden/>
                <w:rStyle w:val="IndexLink"/>
              </w:rPr>
              <w:t>Introduction</w:t>
            </w:r>
            <w:r>
              <w:rPr>
                <w:webHidden/>
              </w:rPr>
              <w:fldChar w:fldCharType="begin"/>
            </w:r>
            <w:r>
              <w:rPr>
                <w:webHidden/>
              </w:rPr>
              <w:instrText>PAGEREF _Toc151683556 \h</w:instrText>
            </w:r>
            <w:r>
              <w:rPr>
                <w:webHidden/>
              </w:rPr>
              <w:fldChar w:fldCharType="separate"/>
            </w:r>
            <w:r>
              <w:rPr>
                <w:rStyle w:val="IndexLink"/>
                <w:vanish w:val="false"/>
              </w:rPr>
              <w:tab/>
              <w:t>3</w:t>
            </w:r>
            <w:r>
              <w:rPr>
                <w:webHidden/>
              </w:rPr>
              <w:fldChar w:fldCharType="end"/>
            </w:r>
          </w:hyperlink>
        </w:p>
        <w:p>
          <w:pPr>
            <w:pStyle w:val="Contents1"/>
            <w:tabs>
              <w:tab w:val="right" w:pos="9350" w:leader="dot"/>
            </w:tabs>
            <w:rPr>
              <w:rFonts w:ascii="Calibri" w:hAnsi="Calibri" w:eastAsia="" w:asciiTheme="minorHAnsi" w:eastAsiaTheme="minorEastAsia" w:hAnsiTheme="minorHAnsi"/>
              <w:kern w:val="2"/>
              <w:sz w:val="22"/>
              <w:lang w:val="en-GB" w:eastAsia="en-GB"/>
              <w14:ligatures w14:val="standardContextual"/>
            </w:rPr>
          </w:pPr>
          <w:hyperlink w:anchor="_Toc151683557">
            <w:r>
              <w:rPr>
                <w:webHidden/>
                <w:rStyle w:val="IndexLink"/>
              </w:rPr>
              <w:t>Effective Reading and note-making skills</w:t>
            </w:r>
            <w:r>
              <w:rPr>
                <w:webHidden/>
              </w:rPr>
              <w:fldChar w:fldCharType="begin"/>
            </w:r>
            <w:r>
              <w:rPr>
                <w:webHidden/>
              </w:rPr>
              <w:instrText>PAGEREF _Toc151683557 \h</w:instrText>
            </w:r>
            <w:r>
              <w:rPr>
                <w:webHidden/>
              </w:rPr>
              <w:fldChar w:fldCharType="separate"/>
            </w:r>
            <w:r>
              <w:rPr>
                <w:rStyle w:val="IndexLink"/>
                <w:vanish w:val="false"/>
              </w:rPr>
              <w:tab/>
              <w:t>4</w:t>
            </w:r>
            <w:r>
              <w:rPr>
                <w:webHidden/>
              </w:rPr>
              <w:fldChar w:fldCharType="end"/>
            </w:r>
          </w:hyperlink>
        </w:p>
        <w:p>
          <w:pPr>
            <w:pStyle w:val="Contents2"/>
            <w:tabs>
              <w:tab w:val="right" w:pos="9350" w:leader="dot"/>
            </w:tabs>
            <w:rPr>
              <w:rFonts w:ascii="Calibri" w:hAnsi="Calibri" w:eastAsia="" w:asciiTheme="minorHAnsi" w:eastAsiaTheme="minorEastAsia" w:hAnsiTheme="minorHAnsi"/>
              <w:kern w:val="2"/>
              <w:sz w:val="22"/>
              <w:lang w:val="en-GB" w:eastAsia="en-GB"/>
              <w14:ligatures w14:val="standardContextual"/>
            </w:rPr>
          </w:pPr>
          <w:hyperlink w:anchor="_Toc151683558">
            <w:r>
              <w:rPr>
                <w:webHidden/>
                <w:rStyle w:val="IndexLink"/>
              </w:rPr>
              <w:t>2.1 Effective Reading Skills</w:t>
            </w:r>
            <w:r>
              <w:rPr>
                <w:webHidden/>
              </w:rPr>
              <w:fldChar w:fldCharType="begin"/>
            </w:r>
            <w:r>
              <w:rPr>
                <w:webHidden/>
              </w:rPr>
              <w:instrText>PAGEREF _Toc151683558 \h</w:instrText>
            </w:r>
            <w:r>
              <w:rPr>
                <w:webHidden/>
              </w:rPr>
              <w:fldChar w:fldCharType="separate"/>
            </w:r>
            <w:r>
              <w:rPr>
                <w:rStyle w:val="IndexLink"/>
                <w:vanish w:val="false"/>
              </w:rPr>
              <w:tab/>
              <w:t>4</w:t>
            </w:r>
            <w:r>
              <w:rPr>
                <w:webHidden/>
              </w:rPr>
              <w:fldChar w:fldCharType="end"/>
            </w:r>
          </w:hyperlink>
        </w:p>
        <w:p>
          <w:pPr>
            <w:pStyle w:val="Contents2"/>
            <w:tabs>
              <w:tab w:val="right" w:pos="9350" w:leader="dot"/>
            </w:tabs>
            <w:rPr>
              <w:rFonts w:ascii="Calibri" w:hAnsi="Calibri" w:eastAsia="" w:asciiTheme="minorHAnsi" w:eastAsiaTheme="minorEastAsia" w:hAnsiTheme="minorHAnsi"/>
              <w:kern w:val="2"/>
              <w:sz w:val="22"/>
              <w:lang w:val="en-GB" w:eastAsia="en-GB"/>
              <w14:ligatures w14:val="standardContextual"/>
            </w:rPr>
          </w:pPr>
          <w:hyperlink w:anchor="_Toc151683559">
            <w:r>
              <w:rPr>
                <w:webHidden/>
                <w:rStyle w:val="IndexLink"/>
              </w:rPr>
              <w:t>Meaning of note making</w:t>
            </w:r>
            <w:r>
              <w:rPr>
                <w:webHidden/>
              </w:rPr>
              <w:fldChar w:fldCharType="begin"/>
            </w:r>
            <w:r>
              <w:rPr>
                <w:webHidden/>
              </w:rPr>
              <w:instrText>PAGEREF _Toc151683559 \h</w:instrText>
            </w:r>
            <w:r>
              <w:rPr>
                <w:webHidden/>
              </w:rPr>
              <w:fldChar w:fldCharType="separate"/>
            </w:r>
            <w:r>
              <w:rPr>
                <w:rStyle w:val="IndexLink"/>
                <w:vanish w:val="false"/>
              </w:rPr>
              <w:tab/>
              <w:t>4</w:t>
            </w:r>
            <w:r>
              <w:rPr>
                <w:webHidden/>
              </w:rPr>
              <w:fldChar w:fldCharType="end"/>
            </w:r>
          </w:hyperlink>
        </w:p>
        <w:p>
          <w:pPr>
            <w:pStyle w:val="Contents1"/>
            <w:tabs>
              <w:tab w:val="right" w:pos="9350" w:leader="dot"/>
            </w:tabs>
            <w:rPr>
              <w:rFonts w:ascii="Calibri" w:hAnsi="Calibri" w:eastAsia="" w:asciiTheme="minorHAnsi" w:eastAsiaTheme="minorEastAsia" w:hAnsiTheme="minorHAnsi"/>
              <w:kern w:val="2"/>
              <w:sz w:val="22"/>
              <w:lang w:val="en-GB" w:eastAsia="en-GB"/>
              <w14:ligatures w14:val="standardContextual"/>
            </w:rPr>
          </w:pPr>
          <w:hyperlink w:anchor="_Toc151683560">
            <w:r>
              <w:rPr>
                <w:webHidden/>
                <w:rStyle w:val="IndexLink"/>
              </w:rPr>
              <w:t>Evaluation</w:t>
            </w:r>
            <w:r>
              <w:rPr>
                <w:webHidden/>
              </w:rPr>
              <w:fldChar w:fldCharType="begin"/>
            </w:r>
            <w:r>
              <w:rPr>
                <w:webHidden/>
              </w:rPr>
              <w:instrText>PAGEREF _Toc151683560 \h</w:instrText>
            </w:r>
            <w:r>
              <w:rPr>
                <w:webHidden/>
              </w:rPr>
              <w:fldChar w:fldCharType="separate"/>
            </w:r>
            <w:r>
              <w:rPr>
                <w:rStyle w:val="IndexLink"/>
                <w:vanish w:val="false"/>
              </w:rPr>
              <w:tab/>
              <w:t>5</w:t>
            </w:r>
            <w:r>
              <w:rPr>
                <w:webHidden/>
              </w:rPr>
              <w:fldChar w:fldCharType="end"/>
            </w:r>
          </w:hyperlink>
        </w:p>
        <w:p>
          <w:pPr>
            <w:pStyle w:val="Contents2"/>
            <w:tabs>
              <w:tab w:val="right" w:pos="9350" w:leader="dot"/>
            </w:tabs>
            <w:rPr>
              <w:rFonts w:ascii="Calibri" w:hAnsi="Calibri" w:eastAsia="" w:asciiTheme="minorHAnsi" w:eastAsiaTheme="minorEastAsia" w:hAnsiTheme="minorHAnsi"/>
              <w:kern w:val="2"/>
              <w:sz w:val="22"/>
              <w:lang w:val="en-GB" w:eastAsia="en-GB"/>
              <w14:ligatures w14:val="standardContextual"/>
            </w:rPr>
          </w:pPr>
          <w:hyperlink w:anchor="_Toc151683561">
            <w:r>
              <w:rPr>
                <w:webHidden/>
                <w:rStyle w:val="IndexLink"/>
              </w:rPr>
              <w:t>The Process of Developing Effective Reading</w:t>
            </w:r>
            <w:r>
              <w:rPr>
                <w:webHidden/>
              </w:rPr>
              <w:fldChar w:fldCharType="begin"/>
            </w:r>
            <w:r>
              <w:rPr>
                <w:webHidden/>
              </w:rPr>
              <w:instrText>PAGEREF _Toc151683561 \h</w:instrText>
            </w:r>
            <w:r>
              <w:rPr>
                <w:webHidden/>
              </w:rPr>
              <w:fldChar w:fldCharType="separate"/>
            </w:r>
            <w:r>
              <w:rPr>
                <w:rStyle w:val="IndexLink"/>
                <w:vanish w:val="false"/>
              </w:rPr>
              <w:tab/>
              <w:t>5</w:t>
            </w:r>
            <w:r>
              <w:rPr>
                <w:webHidden/>
              </w:rPr>
              <w:fldChar w:fldCharType="end"/>
            </w:r>
          </w:hyperlink>
        </w:p>
        <w:p>
          <w:pPr>
            <w:pStyle w:val="Contents2"/>
            <w:tabs>
              <w:tab w:val="right" w:pos="9350" w:leader="dot"/>
            </w:tabs>
            <w:rPr>
              <w:rFonts w:ascii="Calibri" w:hAnsi="Calibri" w:eastAsia="" w:asciiTheme="minorHAnsi" w:eastAsiaTheme="minorEastAsia" w:hAnsiTheme="minorHAnsi"/>
              <w:kern w:val="2"/>
              <w:sz w:val="22"/>
              <w:lang w:val="en-GB" w:eastAsia="en-GB"/>
              <w14:ligatures w14:val="standardContextual"/>
            </w:rPr>
          </w:pPr>
          <w:hyperlink w:anchor="_Toc151683562">
            <w:r>
              <w:rPr>
                <w:webHidden/>
                <w:rStyle w:val="IndexLink"/>
              </w:rPr>
              <w:t>How Note Making is Done</w:t>
            </w:r>
            <w:r>
              <w:rPr>
                <w:webHidden/>
              </w:rPr>
              <w:fldChar w:fldCharType="begin"/>
            </w:r>
            <w:r>
              <w:rPr>
                <w:webHidden/>
              </w:rPr>
              <w:instrText>PAGEREF _Toc151683562 \h</w:instrText>
            </w:r>
            <w:r>
              <w:rPr>
                <w:webHidden/>
              </w:rPr>
              <w:fldChar w:fldCharType="separate"/>
            </w:r>
            <w:r>
              <w:rPr>
                <w:rStyle w:val="IndexLink"/>
                <w:vanish w:val="false"/>
              </w:rPr>
              <w:tab/>
              <w:t>5</w:t>
            </w:r>
            <w:r>
              <w:rPr>
                <w:webHidden/>
              </w:rPr>
              <w:fldChar w:fldCharType="end"/>
            </w:r>
          </w:hyperlink>
        </w:p>
        <w:p>
          <w:pPr>
            <w:pStyle w:val="Contents2"/>
            <w:tabs>
              <w:tab w:val="right" w:pos="9350" w:leader="dot"/>
            </w:tabs>
            <w:rPr>
              <w:rFonts w:ascii="Calibri" w:hAnsi="Calibri" w:eastAsia="" w:asciiTheme="minorHAnsi" w:eastAsiaTheme="minorEastAsia" w:hAnsiTheme="minorHAnsi"/>
              <w:kern w:val="2"/>
              <w:sz w:val="22"/>
              <w:lang w:val="en-GB" w:eastAsia="en-GB"/>
              <w14:ligatures w14:val="standardContextual"/>
            </w:rPr>
          </w:pPr>
          <w:hyperlink w:anchor="_Toc151683563">
            <w:r>
              <w:rPr>
                <w:webHidden/>
                <w:rStyle w:val="IndexLink"/>
              </w:rPr>
              <w:t>Importance of Academic Reading Skills</w:t>
            </w:r>
            <w:r>
              <w:rPr>
                <w:webHidden/>
              </w:rPr>
              <w:fldChar w:fldCharType="begin"/>
            </w:r>
            <w:r>
              <w:rPr>
                <w:webHidden/>
              </w:rPr>
              <w:instrText>PAGEREF _Toc151683563 \h</w:instrText>
            </w:r>
            <w:r>
              <w:rPr>
                <w:webHidden/>
              </w:rPr>
              <w:fldChar w:fldCharType="separate"/>
            </w:r>
            <w:r>
              <w:rPr>
                <w:rStyle w:val="IndexLink"/>
                <w:vanish w:val="false"/>
              </w:rPr>
              <w:tab/>
              <w:t>5</w:t>
            </w:r>
            <w:r>
              <w:rPr>
                <w:webHidden/>
              </w:rPr>
              <w:fldChar w:fldCharType="end"/>
            </w:r>
          </w:hyperlink>
        </w:p>
        <w:p>
          <w:pPr>
            <w:pStyle w:val="Contents2"/>
            <w:tabs>
              <w:tab w:val="right" w:pos="9350" w:leader="dot"/>
            </w:tabs>
            <w:rPr>
              <w:rFonts w:ascii="Calibri" w:hAnsi="Calibri" w:eastAsia="" w:asciiTheme="minorHAnsi" w:eastAsiaTheme="minorEastAsia" w:hAnsiTheme="minorHAnsi"/>
              <w:kern w:val="2"/>
              <w:sz w:val="22"/>
              <w:lang w:val="en-GB" w:eastAsia="en-GB"/>
              <w14:ligatures w14:val="standardContextual"/>
            </w:rPr>
          </w:pPr>
          <w:hyperlink w:anchor="_Toc151683564">
            <w:r>
              <w:rPr>
                <w:webHidden/>
                <w:rStyle w:val="IndexLink"/>
              </w:rPr>
              <w:t>Importance of Note Making to Students in Higher Education</w:t>
            </w:r>
            <w:r>
              <w:rPr>
                <w:webHidden/>
              </w:rPr>
              <w:fldChar w:fldCharType="begin"/>
            </w:r>
            <w:r>
              <w:rPr>
                <w:webHidden/>
              </w:rPr>
              <w:instrText>PAGEREF _Toc151683564 \h</w:instrText>
            </w:r>
            <w:r>
              <w:rPr>
                <w:webHidden/>
              </w:rPr>
              <w:fldChar w:fldCharType="separate"/>
            </w:r>
            <w:r>
              <w:rPr>
                <w:rStyle w:val="IndexLink"/>
                <w:vanish w:val="false"/>
              </w:rPr>
              <w:tab/>
              <w:t>6</w:t>
            </w:r>
            <w:r>
              <w:rPr>
                <w:webHidden/>
              </w:rPr>
              <w:fldChar w:fldCharType="end"/>
            </w:r>
          </w:hyperlink>
        </w:p>
        <w:p>
          <w:pPr>
            <w:pStyle w:val="Contents1"/>
            <w:tabs>
              <w:tab w:val="right" w:pos="9350" w:leader="dot"/>
            </w:tabs>
            <w:rPr>
              <w:rFonts w:ascii="Calibri" w:hAnsi="Calibri" w:eastAsia="" w:asciiTheme="minorHAnsi" w:eastAsiaTheme="minorEastAsia" w:hAnsiTheme="minorHAnsi"/>
              <w:kern w:val="2"/>
              <w:sz w:val="22"/>
              <w:lang w:val="en-GB" w:eastAsia="en-GB"/>
              <w14:ligatures w14:val="standardContextual"/>
            </w:rPr>
          </w:pPr>
          <w:hyperlink w:anchor="_Toc151683565">
            <w:r>
              <w:rPr>
                <w:webHidden/>
                <w:rStyle w:val="IndexLink"/>
              </w:rPr>
              <w:t>Conclusion</w:t>
            </w:r>
            <w:r>
              <w:rPr>
                <w:webHidden/>
              </w:rPr>
              <w:fldChar w:fldCharType="begin"/>
            </w:r>
            <w:r>
              <w:rPr>
                <w:webHidden/>
              </w:rPr>
              <w:instrText>PAGEREF _Toc151683565 \h</w:instrText>
            </w:r>
            <w:r>
              <w:rPr>
                <w:webHidden/>
              </w:rPr>
              <w:fldChar w:fldCharType="separate"/>
            </w:r>
            <w:r>
              <w:rPr>
                <w:rStyle w:val="IndexLink"/>
                <w:vanish w:val="false"/>
              </w:rPr>
              <w:tab/>
              <w:t>7</w:t>
            </w:r>
            <w:r>
              <w:rPr>
                <w:webHidden/>
              </w:rPr>
              <w:fldChar w:fldCharType="end"/>
            </w:r>
          </w:hyperlink>
        </w:p>
        <w:p>
          <w:pPr>
            <w:pStyle w:val="Contents1"/>
            <w:tabs>
              <w:tab w:val="right" w:pos="9350" w:leader="dot"/>
            </w:tabs>
            <w:rPr>
              <w:rFonts w:ascii="Calibri" w:hAnsi="Calibri" w:eastAsia="" w:asciiTheme="minorHAnsi" w:eastAsiaTheme="minorEastAsia" w:hAnsiTheme="minorHAnsi"/>
              <w:kern w:val="2"/>
              <w:sz w:val="22"/>
              <w:lang w:val="en-GB" w:eastAsia="en-GB"/>
              <w14:ligatures w14:val="standardContextual"/>
            </w:rPr>
          </w:pPr>
          <w:hyperlink w:anchor="_Toc151683566">
            <w:r>
              <w:rPr>
                <w:webHidden/>
                <w:rStyle w:val="IndexLink"/>
              </w:rPr>
              <w:t>References</w:t>
            </w:r>
            <w:r>
              <w:rPr>
                <w:webHidden/>
              </w:rPr>
              <w:fldChar w:fldCharType="begin"/>
            </w:r>
            <w:r>
              <w:rPr>
                <w:webHidden/>
              </w:rPr>
              <w:instrText>PAGEREF _Toc151683566 \h</w:instrText>
            </w:r>
            <w:r>
              <w:rPr>
                <w:webHidden/>
              </w:rPr>
              <w:fldChar w:fldCharType="separate"/>
            </w:r>
            <w:r>
              <w:rPr>
                <w:rStyle w:val="IndexLink"/>
                <w:vanish w:val="false"/>
              </w:rPr>
              <w:tab/>
              <w:t>8</w:t>
            </w:r>
            <w:r>
              <w:rPr>
                <w:webHidden/>
              </w:rPr>
              <w:fldChar w:fldCharType="end"/>
            </w:r>
          </w:hyperlink>
        </w:p>
        <w:p>
          <w:pPr>
            <w:pStyle w:val="Normal"/>
            <w:rPr>
              <w:rFonts w:cs="Times New Roman"/>
            </w:rPr>
          </w:pPr>
          <w:r>
            <w:rPr>
              <w:rFonts w:cs="Times New Roman"/>
            </w:rPr>
          </w:r>
          <w:r>
            <w:rPr>
              <w:rFonts w:cs="Times New Roman"/>
            </w:rPr>
            <w:fldChar w:fldCharType="end"/>
          </w:r>
        </w:p>
      </w:sdtContent>
    </w:sdt>
    <w:p>
      <w:pPr>
        <w:pStyle w:val="Normal"/>
        <w:rPr/>
      </w:pPr>
      <w:r>
        <w:rPr/>
      </w:r>
      <w:r>
        <w:br w:type="page"/>
      </w:r>
    </w:p>
    <w:p>
      <w:pPr>
        <w:pStyle w:val="Heading1"/>
        <w:rPr/>
      </w:pPr>
      <w:bookmarkStart w:id="0" w:name="_Toc151683556"/>
      <w:r>
        <w:rPr/>
        <w:t>Introduction</w:t>
      </w:r>
      <w:bookmarkEnd w:id="0"/>
    </w:p>
    <w:p>
      <w:pPr>
        <w:pStyle w:val="Normal"/>
        <w:widowControl/>
        <w:bidi w:val="0"/>
        <w:spacing w:lineRule="auto" w:line="360" w:before="0" w:after="200"/>
        <w:ind w:left="0" w:right="2154" w:hanging="0"/>
        <w:jc w:val="both"/>
        <w:rPr/>
      </w:pPr>
      <w:r>
        <w:rPr>
          <w:rFonts w:cs="Times New Roman"/>
        </w:rPr>
        <w:t xml:space="preserve">Reading ability is frequently emphasised in academic settings as the most important talent for efficient communication and information sharing. Effective reading and note-taking, two crucial but frequently overlooked skills, are the cornerstones of this ability. Every learner prepares their study plan based on their target that can help them to reach their destination </w:t>
      </w:r>
      <w:r>
        <w:rPr>
          <w:rFonts w:cs="Times New Roman"/>
          <w:shd w:fill="FFFFFF" w:val="clear"/>
        </w:rPr>
        <w:t>(Bradbury, 2006).</w:t>
      </w:r>
      <w:r>
        <w:rPr>
          <w:rFonts w:cs="Times New Roman"/>
        </w:rPr>
        <w:t xml:space="preserve"> They help scholars and students absorb knowledge, develop nuanced understandings, and set the foundation for effectively communicating intricate concepts and arguments. </w:t>
      </w:r>
    </w:p>
    <w:p>
      <w:pPr>
        <w:pStyle w:val="Normal"/>
        <w:rPr/>
      </w:pPr>
      <w:r>
        <w:rPr/>
      </w:r>
    </w:p>
    <w:p>
      <w:pPr>
        <w:pStyle w:val="Normal"/>
        <w:rPr/>
      </w:pPr>
      <w:r>
        <w:rPr/>
      </w:r>
      <w:r>
        <w:br w:type="page"/>
      </w:r>
    </w:p>
    <w:p>
      <w:pPr>
        <w:pStyle w:val="Heading1"/>
        <w:rPr/>
      </w:pPr>
      <w:bookmarkStart w:id="1" w:name="_Toc151683557"/>
      <w:r>
        <w:rPr/>
        <w:t>Effective Reading and note-making skills</w:t>
      </w:r>
      <w:bookmarkEnd w:id="1"/>
    </w:p>
    <w:p>
      <w:pPr>
        <w:pStyle w:val="Heading2"/>
        <w:rPr/>
      </w:pPr>
      <w:bookmarkStart w:id="2" w:name="_Toc151683558"/>
      <w:r>
        <w:rPr/>
        <w:t>2.1 Effective Reading Skills</w:t>
      </w:r>
      <w:bookmarkEnd w:id="2"/>
    </w:p>
    <w:p>
      <w:pPr>
        <w:pStyle w:val="Normal"/>
        <w:rPr/>
      </w:pPr>
      <w:r>
        <w:rPr>
          <w:rFonts w:cs="Times New Roman"/>
        </w:rPr>
        <w:t>Strong reading abilities are essential for success in the classroom and are a foundational element for success in a variety of academic fields. This ability goes well beyond reading comprehension; it includes critical thinking, synthesising many viewpoints, and having a thorough understanding of difficult concepts. By critically interacting with texts, scholars and students actively analyse and assess various points of view, arguments, and concepts in addition to merely digesting information.  People develop their capacity to think more deeply and critically about a variety of topics by breaking down and understanding complex texts. This ability is helpful in a variety of real-world situations where careful consideration and sophisticated problem-solving are necessary, in addition to being essential for academic success (Godfrey, 2018).</w:t>
      </w:r>
      <w:r>
        <w:rPr>
          <w:rFonts w:cs="Times New Roman"/>
          <w:sz w:val="28"/>
        </w:rPr>
        <w:t> </w:t>
      </w:r>
      <w:r>
        <w:rPr>
          <w:rFonts w:cs="Times New Roman"/>
        </w:rPr>
        <w:t xml:space="preserve">Furthermore, the capacity to formulate logical and cohesive arguments is shaped in large part by proficient reading. Individuals can shape their own ideas and thoughts by using the structured arguments found in academic literature as a model. To become successful in the professional sector, the learners should have more importance toward the critical thinking ability that can make them more effective and innovative </w:t>
      </w:r>
      <w:r>
        <w:rPr>
          <w:rFonts w:cs="Times New Roman"/>
          <w:shd w:fill="FFFFFF" w:val="clear"/>
        </w:rPr>
        <w:t>(Cottrell, 2013)</w:t>
      </w:r>
      <w:r>
        <w:rPr>
          <w:rFonts w:cs="Times New Roman"/>
        </w:rPr>
        <w:t xml:space="preserve">.A key component of research is proficient reading. By assisting in identifying gaps in the body of existing literature, comprehending the state of research at the moment, and formulating topical questions that encourage additional study, it improves research skills. </w:t>
      </w:r>
    </w:p>
    <w:p>
      <w:pPr>
        <w:pStyle w:val="Heading2"/>
        <w:rPr/>
      </w:pPr>
      <w:bookmarkStart w:id="3" w:name="_Toc151683559"/>
      <w:r>
        <w:rPr/>
        <w:t>Meaning of note making</w:t>
      </w:r>
      <w:bookmarkEnd w:id="3"/>
    </w:p>
    <w:p>
      <w:pPr>
        <w:pStyle w:val="Normal"/>
        <w:rPr/>
      </w:pPr>
      <w:r>
        <w:rPr>
          <w:rFonts w:cs="Times New Roman"/>
        </w:rPr>
        <w:t xml:space="preserve">As note making assists students and researchers in methodically organising and documenting the data they acquire during their studies, this procedure is crucial for upholding academic integrity. Making notes is more than just writing down data; it's a detailed integration of knowledge, where authors record not only what they've read but also their comprehension and analysis of the content. According to Smith (2016), academic reading requires a thorough inquiry, which is shown in appropriate citation. A writer's level of engagement with scholarly texts is also demonstrated by their meticulous note-taking. It gives a clear indication of their research trip and thought process by showing how they have incorporated knowledge into their work.They need to consider every stage as an opportunity to learn that can enhance their knowledge with diverse factors that can help in their professional life </w:t>
      </w:r>
      <w:r>
        <w:rPr>
          <w:rFonts w:cs="Times New Roman"/>
          <w:shd w:fill="FFFFFF" w:val="clear"/>
        </w:rPr>
        <w:t>(Cottrell, 2013)</w:t>
      </w:r>
      <w:r>
        <w:rPr>
          <w:rFonts w:cs="Times New Roman"/>
        </w:rPr>
        <w:t>.</w:t>
      </w:r>
    </w:p>
    <w:p>
      <w:pPr>
        <w:pStyle w:val="Heading1"/>
        <w:rPr/>
      </w:pPr>
      <w:bookmarkStart w:id="4" w:name="_Toc151683560"/>
      <w:r>
        <w:rPr/>
        <w:t>Evaluation</w:t>
      </w:r>
      <w:bookmarkEnd w:id="4"/>
    </w:p>
    <w:p>
      <w:pPr>
        <w:pStyle w:val="Normal"/>
        <w:rPr/>
      </w:pPr>
      <w:bookmarkStart w:id="5" w:name="_Toc1516835611"/>
      <w:r>
        <w:rPr>
          <w:rFonts w:cs="Times New Roman"/>
        </w:rPr>
        <w:t>The Process of Developing Effective Reading</w:t>
      </w:r>
      <w:bookmarkEnd w:id="5"/>
    </w:p>
    <w:p>
      <w:pPr>
        <w:pStyle w:val="Normal"/>
        <w:rPr/>
      </w:pPr>
      <w:r>
        <w:rPr>
          <w:rFonts w:cs="Times New Roman"/>
        </w:rPr>
        <w:t>A strong emphasis on evidence-based comprehension, methodical organisation, and critical interaction with texts are hallmarks of effective reading, which is fundamental to academic achievement (Godfrey, 2018).</w:t>
      </w:r>
      <w:r>
        <w:rPr/>
        <w:t xml:space="preserve"> </w:t>
      </w:r>
      <w:r>
        <w:rPr>
          <w:rFonts w:cs="Times New Roman"/>
        </w:rPr>
        <w:t xml:space="preserve">Comprehensive and in-depth reading is the foundation for the formation of strong arguments in any academic subject. In order to ensure that the insights received are precise, correct, and relevant, this process goes beyond simply receiving information and entails a critical examination of what is read. Reading for research purposes is a crucial first step in the academic world since it establishes the groundwork for fresh ideas and strong arguments.To become successful in the professional sector, the learners should have more importance toward the critical thinking ability that can make them more effective and innovative </w:t>
      </w:r>
      <w:r>
        <w:rPr>
          <w:rFonts w:cs="Times New Roman"/>
          <w:shd w:fill="FFFFFF" w:val="clear"/>
        </w:rPr>
        <w:t>(Cottrell, 2013)</w:t>
      </w:r>
      <w:r>
        <w:rPr>
          <w:rFonts w:cs="Times New Roman"/>
        </w:rPr>
        <w:t>.  Reading a variety of academic works helps readers understand the subtleties of formal language, proper tenses, and linguistic choices. Readers can comprehend and follow the structure and organisation of academic writings as a model for their own work.</w:t>
      </w:r>
    </w:p>
    <w:p>
      <w:pPr>
        <w:pStyle w:val="Heading2"/>
        <w:rPr/>
      </w:pPr>
      <w:bookmarkStart w:id="6" w:name="_Toc1516835621"/>
      <w:r>
        <w:rPr/>
        <w:t>How Note Making is Done</w:t>
      </w:r>
      <w:bookmarkEnd w:id="6"/>
    </w:p>
    <w:p>
      <w:pPr>
        <w:pStyle w:val="Normal"/>
        <w:rPr/>
      </w:pPr>
      <w:r>
        <w:rPr>
          <w:rFonts w:cs="Times New Roman"/>
        </w:rPr>
        <w:t xml:space="preserve">Taking notes helps with the arrangement and acknowledgment of sources in academic writing, just like referencing does. Effective note-taking is critical for organising and synthesising the vast amount of information encountered during research, just as in-text citations and reference lists are critical for giving credit to the original authors of ideas. When the actual writing process starts, this practise guarantees that ideas are properly attributed and easily referenced. Creating a reference list is similar to the process of taking notes. Ensuring that all pertinent facts are recorded through a rigorous note-taking process facilitates accurate referencing of these sources in the final academic text.To increase their effectiveness in writing they should have concern about their reading speed to complete that in time </w:t>
      </w:r>
      <w:r>
        <w:rPr>
          <w:rFonts w:cs="Times New Roman"/>
          <w:shd w:fill="FFFFFF" w:val="clear"/>
        </w:rPr>
        <w:t>(Godfrey, 2018)</w:t>
      </w:r>
    </w:p>
    <w:p>
      <w:pPr>
        <w:pStyle w:val="Heading2"/>
        <w:rPr/>
      </w:pPr>
      <w:bookmarkStart w:id="7" w:name="_Toc151683563"/>
      <w:r>
        <w:rPr/>
        <w:t>Importance of Academic Reading Skills</w:t>
      </w:r>
      <w:bookmarkEnd w:id="7"/>
    </w:p>
    <w:p>
      <w:pPr>
        <w:pStyle w:val="Normal"/>
        <w:rPr/>
      </w:pPr>
      <w:r>
        <w:rPr>
          <w:rFonts w:cs="Times New Roman"/>
        </w:rPr>
        <w:t xml:space="preserve">A key element of academic achievement is developing one's academic style, and the ability to read effectively is the foundation of this competence. Proficiency in reading and comprehending intricate texts is fundamental to learning and comprehension across all academic areas. Efficient reading goes beyond merely processing data; it also entails assimilating content in a way that fosters comprehension and critical thinking.The leaders should have the sense to use different relevant materials for making the study well-structured to remember them in the future time to apply them in the right places. They should be aware to interpret the texts with sufficient criticality to express their ability to introduce innovation for getting acceptance from the teacher and developing their capability </w:t>
      </w:r>
      <w:r>
        <w:rPr>
          <w:rFonts w:cs="Times New Roman"/>
          <w:shd w:fill="FFFFFF" w:val="clear"/>
        </w:rPr>
        <w:t>(Haber, 2020)</w:t>
      </w:r>
      <w:r>
        <w:rPr>
          <w:rFonts w:cs="Times New Roman"/>
        </w:rPr>
        <w:t>.</w:t>
      </w:r>
    </w:p>
    <w:p>
      <w:pPr>
        <w:pStyle w:val="Heading2"/>
        <w:rPr/>
      </w:pPr>
      <w:bookmarkStart w:id="8" w:name="_Toc151683564"/>
      <w:r>
        <w:rPr/>
        <w:t>Importance of Note Making to Students in Higher Education</w:t>
      </w:r>
      <w:bookmarkEnd w:id="8"/>
    </w:p>
    <w:p>
      <w:pPr>
        <w:pStyle w:val="Normal"/>
        <w:rPr/>
      </w:pPr>
      <w:r>
        <w:rPr>
          <w:rFonts w:cs="Times New Roman"/>
        </w:rPr>
        <w:t>Note-taking, similar to referencing, is essential to maintaining the validity and uniqueness of academic work. Pupils who take notes effectively ensure that the concepts they learn from different sources are accurately recorded and attributed. As in academic writing, students can trace the sources of their thoughts and information by keeping thorough notes, which serves a similar purpose.  When the learners are able to increase their self-efficiency, they can manage their success not only in the academic sector but also in their professional life (McMillan and Weyers, 2012). This behaviour not only demonstrates a dedication to academic honesty but also contributes to the development of an organised method for obtaining and applying data. The notes that college students take turn into priceless resources when they are writing essays and conducting research for projects. They function as a storehouse of information and concepts drawn from earlier studies, which may be skillfully applied to create strong cases.</w:t>
      </w:r>
      <w:r>
        <w:br w:type="page"/>
      </w:r>
    </w:p>
    <w:p>
      <w:pPr>
        <w:pStyle w:val="Heading1"/>
        <w:rPr/>
      </w:pPr>
      <w:bookmarkStart w:id="9" w:name="_Toc151683565"/>
      <w:r>
        <w:rPr/>
        <w:t>Conclusion</w:t>
      </w:r>
      <w:bookmarkEnd w:id="9"/>
    </w:p>
    <w:p>
      <w:pPr>
        <w:pStyle w:val="Normal"/>
        <w:rPr/>
      </w:pPr>
      <w:r>
        <w:rPr>
          <w:rFonts w:cs="Times New Roman"/>
        </w:rPr>
        <w:t>In conclusion, effective reading is intended to communicate precise and widely accepted interpretations of difficult concepts and ideas among practitioners and specialists in the academic community. To form a coherent whole, it needs to have a consistent and well-structured flow of ideas, with different portions connected to one another. Note making correctly is also an essential component of academic writing since it helps authors avoid forget and uphold academic integrity in their assignments and research. By note making authors provide proper acknowledgment to the original authors by using in-text citations to acknowledge the sources of their material.</w:t>
      </w:r>
    </w:p>
    <w:p>
      <w:pPr>
        <w:pStyle w:val="Normal"/>
        <w:rPr/>
      </w:pPr>
      <w:r>
        <w:rPr/>
      </w:r>
      <w:r>
        <w:br w:type="page"/>
      </w:r>
    </w:p>
    <w:p>
      <w:pPr>
        <w:pStyle w:val="Heading1"/>
        <w:rPr/>
      </w:pPr>
      <w:bookmarkStart w:id="10" w:name="_Toc151683566"/>
      <w:r>
        <w:rPr/>
        <w:t>References</w:t>
      </w:r>
      <w:bookmarkEnd w:id="10"/>
    </w:p>
    <w:p>
      <w:pPr>
        <w:pStyle w:val="NormalWeb"/>
        <w:spacing w:lineRule="auto" w:line="360" w:beforeAutospacing="0" w:before="0" w:afterAutospacing="0" w:after="0"/>
        <w:rPr/>
      </w:pPr>
      <w:r>
        <w:rPr/>
      </w:r>
    </w:p>
    <w:p>
      <w:pPr>
        <w:pStyle w:val="NormalWeb"/>
        <w:spacing w:lineRule="auto" w:line="360" w:before="0" w:afterAutospacing="0" w:after="0"/>
        <w:rPr/>
      </w:pPr>
      <w:r>
        <w:rPr/>
      </w:r>
    </w:p>
    <w:p>
      <w:pPr>
        <w:pStyle w:val="NormalWeb"/>
        <w:spacing w:lineRule="auto" w:line="360" w:before="0" w:afterAutospacing="0" w:after="0"/>
        <w:rPr/>
      </w:pPr>
      <w:r>
        <w:rPr/>
        <w:t>Cottrell, S. (2019) The Study Skills Handbook, 5th Ed. London: Red Globe Press.</w:t>
      </w:r>
    </w:p>
    <w:p>
      <w:pPr>
        <w:pStyle w:val="NormalWeb"/>
        <w:spacing w:lineRule="auto" w:line="360" w:before="0" w:afterAutospacing="0" w:after="0"/>
        <w:rPr/>
      </w:pPr>
      <w:r>
        <w:rPr/>
        <w:t>Godfrey, J. (2018) How to Use Your Reading in your Essays, 3rd Ed. London: Palgrave</w:t>
      </w:r>
    </w:p>
    <w:p>
      <w:pPr>
        <w:pStyle w:val="NormalWeb"/>
        <w:spacing w:lineRule="auto" w:line="360" w:beforeAutospacing="0" w:before="0" w:afterAutospacing="0" w:after="0"/>
        <w:rPr/>
      </w:pPr>
      <w:r>
        <w:rPr/>
        <w:t xml:space="preserve">Godfrey, J. (2018). </w:t>
      </w:r>
      <w:r>
        <w:rPr>
          <w:i/>
          <w:iCs/>
        </w:rPr>
        <w:t>How to use your reading in your essays</w:t>
      </w:r>
      <w:r>
        <w:rPr/>
        <w:t xml:space="preserve">. Basingstoke, Hampshire: Palgrave </w:t>
      </w:r>
    </w:p>
    <w:p>
      <w:pPr>
        <w:pStyle w:val="NormalWeb"/>
        <w:spacing w:lineRule="auto" w:line="360" w:before="0" w:afterAutospacing="0" w:after="0"/>
        <w:rPr/>
      </w:pPr>
      <w:r>
        <w:rPr/>
        <w:t>Haber, J. (2020) Critical Thinking. London &amp; Cambridge, MA: MIT Press.</w:t>
      </w:r>
    </w:p>
    <w:p>
      <w:pPr>
        <w:pStyle w:val="NormalWeb"/>
        <w:spacing w:lineRule="auto" w:line="360" w:beforeAutospacing="0" w:before="0" w:afterAutospacing="0" w:after="0"/>
        <w:rPr/>
      </w:pPr>
      <w:r>
        <w:rPr/>
        <w:t xml:space="preserve">Smith, M. (2016). Exploring the Role of Literacy in Students’ Writing Development in the </w:t>
      </w:r>
    </w:p>
    <w:p>
      <w:pPr>
        <w:pStyle w:val="Normal"/>
        <w:ind w:hanging="0"/>
        <w:rPr/>
      </w:pPr>
      <w:r>
        <w:rPr>
          <w:shd w:fill="FFFFFF" w:val="clear"/>
        </w:rPr>
        <w:t>Cottrell, S., 2013. </w:t>
      </w:r>
      <w:r>
        <w:rPr>
          <w:i/>
          <w:iCs/>
          <w:shd w:fill="FFFFFF" w:val="clear"/>
        </w:rPr>
        <w:t>The study skills handbook</w:t>
      </w:r>
      <w:r>
        <w:rPr>
          <w:shd w:fill="FFFFFF" w:val="clear"/>
        </w:rPr>
        <w:t>. Macmillan International Higher Education.</w:t>
      </w:r>
    </w:p>
    <w:p>
      <w:pPr>
        <w:pStyle w:val="Normal"/>
        <w:spacing w:before="0" w:after="200"/>
        <w:ind w:hanging="0"/>
        <w:rPr/>
      </w:pPr>
      <w:r>
        <w:rPr/>
        <w:t>McMillan, K., and Weyers, J. D. B. 2012. The Study Skills Book, 3rd Ed. Harlow: Pearson.</w:t>
      </w:r>
    </w:p>
    <w:sectPr>
      <w:footerReference w:type="default" r:id="rId3"/>
      <w:type w:val="nextPage"/>
      <w:pgSz w:w="12240" w:h="15840"/>
      <w:pgMar w:left="1440" w:right="1440" w:header="0" w:top="1440" w:footer="72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Cambri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514768351"/>
    </w:sdtPr>
    <w:sdtContent>
      <w:p>
        <w:pPr>
          <w:pStyle w:val="Footer"/>
          <w:jc w:val="right"/>
          <w:rPr/>
        </w:pPr>
        <w:r>
          <w:rPr/>
          <w:fldChar w:fldCharType="begin"/>
        </w:r>
        <w:r>
          <w:rPr/>
          <w:instrText> PAGE </w:instrText>
        </w:r>
        <w:r>
          <w:rPr/>
          <w:fldChar w:fldCharType="separate"/>
        </w:r>
        <w:r>
          <w:rPr/>
          <w:t>8</w:t>
        </w:r>
        <w:r>
          <w:rPr/>
          <w:fldChar w:fldCharType="end"/>
        </w:r>
      </w:p>
    </w:sdtContent>
  </w:sdt>
  <w:p>
    <w:pPr>
      <w:pStyle w:val="Footer"/>
      <w:rPr/>
    </w:pPr>
    <w:r>
      <w:rPr/>
    </w:r>
  </w:p>
</w:ftr>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e7890"/>
    <w:pPr>
      <w:widowControl/>
      <w:bidi w:val="0"/>
      <w:spacing w:lineRule="auto" w:line="360" w:before="0" w:after="200"/>
      <w:jc w:val="both"/>
    </w:pPr>
    <w:rPr>
      <w:rFonts w:ascii="Times New Roman" w:hAnsi="Times New Roman" w:eastAsia="Calibri" w:cs="" w:cstheme="minorBidi" w:eastAsiaTheme="minorHAnsi"/>
      <w:color w:val="auto"/>
      <w:kern w:val="0"/>
      <w:sz w:val="24"/>
      <w:szCs w:val="22"/>
      <w:lang w:val="en-US" w:eastAsia="en-US" w:bidi="ar-SA"/>
    </w:rPr>
  </w:style>
  <w:style w:type="paragraph" w:styleId="Heading1">
    <w:name w:val="Heading 1"/>
    <w:basedOn w:val="Normal"/>
    <w:next w:val="Normal"/>
    <w:link w:val="Heading1Char"/>
    <w:uiPriority w:val="9"/>
    <w:qFormat/>
    <w:rsid w:val="00e50018"/>
    <w:pPr>
      <w:keepNext w:val="true"/>
      <w:keepLines/>
      <w:spacing w:before="480" w:after="0"/>
      <w:outlineLvl w:val="0"/>
    </w:pPr>
    <w:rPr>
      <w:rFonts w:eastAsia="" w:cs="" w:cstheme="majorBidi" w:eastAsiaTheme="majorEastAsia"/>
      <w:b/>
      <w:bCs/>
      <w:color w:val="365F91" w:themeColor="accent1" w:themeShade="bf"/>
      <w:sz w:val="28"/>
      <w:szCs w:val="28"/>
    </w:rPr>
  </w:style>
  <w:style w:type="paragraph" w:styleId="Heading2">
    <w:name w:val="Heading 2"/>
    <w:basedOn w:val="Normal"/>
    <w:next w:val="Normal"/>
    <w:link w:val="Heading2Char"/>
    <w:uiPriority w:val="9"/>
    <w:unhideWhenUsed/>
    <w:qFormat/>
    <w:rsid w:val="00e50018"/>
    <w:pPr>
      <w:keepNext w:val="true"/>
      <w:keepLines/>
      <w:spacing w:before="200" w:after="0"/>
      <w:outlineLvl w:val="1"/>
    </w:pPr>
    <w:rPr>
      <w:rFonts w:eastAsia="" w:cs="" w:cstheme="majorBidi" w:eastAsiaTheme="majorEastAsia"/>
      <w:b/>
      <w:bCs/>
      <w:color w:val="4F81BD" w:themeColor="accent1"/>
      <w:sz w:val="26"/>
      <w:szCs w:val="26"/>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rsid w:val="00f91a70"/>
    <w:rPr>
      <w:rFonts w:ascii="Tahoma" w:hAnsi="Tahoma" w:cs="Tahoma"/>
      <w:sz w:val="16"/>
      <w:szCs w:val="16"/>
    </w:rPr>
  </w:style>
  <w:style w:type="character" w:styleId="HeaderChar" w:customStyle="1">
    <w:name w:val="Header Char"/>
    <w:basedOn w:val="DefaultParagraphFont"/>
    <w:link w:val="Header"/>
    <w:uiPriority w:val="99"/>
    <w:qFormat/>
    <w:rsid w:val="00e50018"/>
    <w:rPr/>
  </w:style>
  <w:style w:type="character" w:styleId="FooterChar" w:customStyle="1">
    <w:name w:val="Footer Char"/>
    <w:basedOn w:val="DefaultParagraphFont"/>
    <w:link w:val="Footer"/>
    <w:uiPriority w:val="99"/>
    <w:qFormat/>
    <w:rsid w:val="00e50018"/>
    <w:rPr/>
  </w:style>
  <w:style w:type="character" w:styleId="Heading1Char" w:customStyle="1">
    <w:name w:val="Heading 1 Char"/>
    <w:basedOn w:val="DefaultParagraphFont"/>
    <w:link w:val="Heading1"/>
    <w:uiPriority w:val="9"/>
    <w:qFormat/>
    <w:rsid w:val="00e50018"/>
    <w:rPr>
      <w:rFonts w:ascii="Times New Roman" w:hAnsi="Times New Roman" w:eastAsia="" w:cs="" w:cstheme="majorBidi" w:eastAsiaTheme="majorEastAsia"/>
      <w:b/>
      <w:bCs/>
      <w:color w:val="365F91" w:themeColor="accent1" w:themeShade="bf"/>
      <w:sz w:val="28"/>
      <w:szCs w:val="28"/>
    </w:rPr>
  </w:style>
  <w:style w:type="character" w:styleId="Heading2Char" w:customStyle="1">
    <w:name w:val="Heading 2 Char"/>
    <w:basedOn w:val="DefaultParagraphFont"/>
    <w:link w:val="Heading2"/>
    <w:uiPriority w:val="9"/>
    <w:qFormat/>
    <w:rsid w:val="00e50018"/>
    <w:rPr>
      <w:rFonts w:ascii="Times New Roman" w:hAnsi="Times New Roman" w:eastAsia="" w:cs="" w:cstheme="majorBidi" w:eastAsiaTheme="majorEastAsia"/>
      <w:b/>
      <w:bCs/>
      <w:color w:val="4F81BD" w:themeColor="accent1"/>
      <w:sz w:val="26"/>
      <w:szCs w:val="26"/>
    </w:rPr>
  </w:style>
  <w:style w:type="character" w:styleId="InternetLink">
    <w:name w:val="Internet Link"/>
    <w:basedOn w:val="DefaultParagraphFont"/>
    <w:uiPriority w:val="99"/>
    <w:unhideWhenUsed/>
    <w:rsid w:val="00964c8e"/>
    <w:rPr>
      <w:color w:val="0000FF" w:themeColor="hyperlink"/>
      <w:u w:val="single"/>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BalloonText">
    <w:name w:val="Balloon Text"/>
    <w:basedOn w:val="Normal"/>
    <w:link w:val="BalloonTextChar"/>
    <w:uiPriority w:val="99"/>
    <w:semiHidden/>
    <w:unhideWhenUsed/>
    <w:qFormat/>
    <w:rsid w:val="00f91a70"/>
    <w:pPr>
      <w:spacing w:lineRule="auto" w:line="240" w:before="0" w:after="0"/>
    </w:pPr>
    <w:rPr>
      <w:rFonts w:ascii="Tahoma" w:hAnsi="Tahoma" w:cs="Tahoma"/>
      <w:sz w:val="16"/>
      <w:szCs w:val="16"/>
    </w:rPr>
  </w:style>
  <w:style w:type="paragraph" w:styleId="Header">
    <w:name w:val="Header"/>
    <w:basedOn w:val="Normal"/>
    <w:link w:val="HeaderChar"/>
    <w:uiPriority w:val="99"/>
    <w:unhideWhenUsed/>
    <w:rsid w:val="00e50018"/>
    <w:pPr>
      <w:tabs>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e50018"/>
    <w:pPr>
      <w:tabs>
        <w:tab w:val="center" w:pos="4680" w:leader="none"/>
        <w:tab w:val="right" w:pos="9360" w:leader="none"/>
      </w:tabs>
      <w:spacing w:lineRule="auto" w:line="240" w:before="0" w:after="0"/>
    </w:pPr>
    <w:rPr/>
  </w:style>
  <w:style w:type="paragraph" w:styleId="NormalWeb">
    <w:name w:val="Normal (Web)"/>
    <w:basedOn w:val="Normal"/>
    <w:uiPriority w:val="99"/>
    <w:semiHidden/>
    <w:unhideWhenUsed/>
    <w:qFormat/>
    <w:rsid w:val="00fa4b22"/>
    <w:pPr>
      <w:spacing w:lineRule="auto" w:line="240" w:beforeAutospacing="1" w:afterAutospacing="1"/>
    </w:pPr>
    <w:rPr>
      <w:rFonts w:eastAsia="Times New Roman" w:cs="Times New Roman"/>
      <w:szCs w:val="24"/>
    </w:rPr>
  </w:style>
  <w:style w:type="paragraph" w:styleId="TOCHeading">
    <w:name w:val="TOC Heading"/>
    <w:basedOn w:val="Heading1"/>
    <w:next w:val="Normal"/>
    <w:uiPriority w:val="39"/>
    <w:semiHidden/>
    <w:unhideWhenUsed/>
    <w:qFormat/>
    <w:rsid w:val="00964c8e"/>
    <w:pPr/>
    <w:rPr>
      <w:rFonts w:ascii="Cambria" w:hAnsi="Cambria" w:asciiTheme="majorHAnsi" w:hAnsiTheme="majorHAnsi"/>
      <w:lang w:eastAsia="ja-JP"/>
    </w:rPr>
  </w:style>
  <w:style w:type="paragraph" w:styleId="Contents1">
    <w:name w:val="TOC 1"/>
    <w:basedOn w:val="Normal"/>
    <w:next w:val="Normal"/>
    <w:autoRedefine/>
    <w:uiPriority w:val="39"/>
    <w:unhideWhenUsed/>
    <w:rsid w:val="00964c8e"/>
    <w:pPr>
      <w:spacing w:before="0" w:after="100"/>
    </w:pPr>
    <w:rPr/>
  </w:style>
  <w:style w:type="paragraph" w:styleId="Contents2">
    <w:name w:val="TOC 2"/>
    <w:basedOn w:val="Normal"/>
    <w:next w:val="Normal"/>
    <w:autoRedefine/>
    <w:uiPriority w:val="39"/>
    <w:unhideWhenUsed/>
    <w:rsid w:val="00964c8e"/>
    <w:pPr>
      <w:spacing w:before="0" w:after="100"/>
      <w:ind w:left="220" w:hanging="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B308E0-F3BE-49D0-8E53-29BF69FB9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Application>LibreOffice/6.0.4.2$Windows_X86_64 LibreOffice_project/9b0d9b32d5dcda91d2f1a96dc04c645c450872bf</Application>
  <Pages>8</Pages>
  <Words>1306</Words>
  <Characters>7581</Characters>
  <CharactersWithSpaces>8851</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2023-11-17T15:46:00Z</dcterms:created>
  <dc:creator/>
  <dc:description/>
  <dc:language>en-GB</dc:language>
  <cp:lastModifiedBy/>
  <dcterms:modified xsi:type="dcterms:W3CDTF">2023-11-29T21:00:55Z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