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D36FC0" w:rsidRPr="00D36FC0" w:rsidRDefault="005A303F" w:rsidP="00D36FC0">
      <w:pPr>
        <w:pStyle w:val="Title"/>
      </w:pPr>
      <w:r>
        <w:t>Pharaohs, Phoenicians and Peoples of the Sea</w:t>
      </w:r>
    </w:p>
    <w:p w:rsidR="00D36FC0" w:rsidRDefault="00B16490" w:rsidP="00D36FC0">
      <w:pPr>
        <w:pStyle w:val="Heading2"/>
      </w:pPr>
      <w:r>
        <w:t>LBA Cyprus</w:t>
      </w:r>
    </w:p>
    <w:p w:rsidR="00313779" w:rsidRDefault="00313779" w:rsidP="00313779">
      <w:pPr>
        <w:shd w:val="clear" w:color="auto" w:fill="FFFFFF"/>
        <w:spacing w:line="360" w:lineRule="auto"/>
        <w:ind w:left="709" w:hanging="709"/>
        <w:rPr>
          <w:rFonts w:asciiTheme="minorHAnsi" w:hAnsiTheme="minorHAnsi"/>
          <w:color w:val="000000"/>
          <w:spacing w:val="-2"/>
          <w:sz w:val="22"/>
          <w:szCs w:val="22"/>
        </w:rPr>
      </w:pPr>
    </w:p>
    <w:p w:rsidR="00313779" w:rsidRPr="00313779" w:rsidRDefault="00313779" w:rsidP="006A1E5F">
      <w:pPr>
        <w:shd w:val="clear" w:color="auto" w:fill="FFFFFF"/>
        <w:spacing w:line="360" w:lineRule="auto"/>
        <w:ind w:left="709" w:hanging="709"/>
        <w:rPr>
          <w:rFonts w:asciiTheme="minorHAnsi" w:hAnsiTheme="minorHAnsi"/>
          <w:color w:val="000000"/>
          <w:spacing w:val="-1"/>
          <w:sz w:val="22"/>
          <w:szCs w:val="22"/>
        </w:rPr>
      </w:pPr>
      <w:r w:rsidRPr="00313779">
        <w:rPr>
          <w:rFonts w:asciiTheme="minorHAnsi" w:hAnsiTheme="minorHAnsi"/>
          <w:color w:val="000000"/>
          <w:spacing w:val="-2"/>
          <w:sz w:val="22"/>
          <w:szCs w:val="22"/>
        </w:rPr>
        <w:t xml:space="preserve">Cadogan, </w:t>
      </w:r>
      <w:r w:rsidRPr="00313779">
        <w:rPr>
          <w:rFonts w:asciiTheme="minorHAnsi" w:hAnsiTheme="minorHAnsi"/>
          <w:iCs/>
          <w:color w:val="000000"/>
          <w:spacing w:val="-2"/>
          <w:sz w:val="22"/>
          <w:szCs w:val="22"/>
        </w:rPr>
        <w:t xml:space="preserve">&amp;. </w:t>
      </w:r>
      <w:r w:rsidRPr="00313779">
        <w:rPr>
          <w:rFonts w:asciiTheme="minorHAnsi" w:hAnsiTheme="minorHAnsi"/>
          <w:color w:val="000000"/>
          <w:spacing w:val="-2"/>
          <w:sz w:val="22"/>
          <w:szCs w:val="22"/>
        </w:rPr>
        <w:t>1989</w:t>
      </w:r>
      <w:r>
        <w:rPr>
          <w:rFonts w:asciiTheme="minorHAnsi" w:hAnsiTheme="minorHAnsi"/>
          <w:color w:val="000000"/>
          <w:spacing w:val="-2"/>
          <w:sz w:val="22"/>
          <w:szCs w:val="22"/>
        </w:rPr>
        <w:t>.</w:t>
      </w:r>
      <w:r w:rsidRPr="00313779">
        <w:rPr>
          <w:rFonts w:asciiTheme="minorHAnsi" w:hAnsiTheme="minorHAnsi"/>
          <w:color w:val="000000"/>
          <w:spacing w:val="-2"/>
          <w:sz w:val="22"/>
          <w:szCs w:val="22"/>
        </w:rPr>
        <w:t xml:space="preserve"> Maroni and the mo</w:t>
      </w:r>
      <w:r w:rsidR="006A1E5F">
        <w:rPr>
          <w:rFonts w:asciiTheme="minorHAnsi" w:hAnsiTheme="minorHAnsi"/>
          <w:color w:val="000000"/>
          <w:spacing w:val="-2"/>
          <w:sz w:val="22"/>
          <w:szCs w:val="22"/>
        </w:rPr>
        <w:t>numents. In E. Peltenburg (ed.)</w:t>
      </w:r>
      <w:r w:rsidRPr="00313779">
        <w:rPr>
          <w:rFonts w:asciiTheme="minorHAnsi" w:hAnsiTheme="minorHAnsi"/>
          <w:color w:val="000000"/>
          <w:spacing w:val="-2"/>
          <w:sz w:val="22"/>
          <w:szCs w:val="22"/>
        </w:rPr>
        <w:t xml:space="preserve"> </w:t>
      </w:r>
      <w:r w:rsidRPr="00313779">
        <w:rPr>
          <w:rFonts w:asciiTheme="minorHAnsi" w:hAnsiTheme="minorHAnsi"/>
          <w:i/>
          <w:iCs/>
          <w:color w:val="000000"/>
          <w:spacing w:val="-2"/>
          <w:sz w:val="22"/>
          <w:szCs w:val="22"/>
        </w:rPr>
        <w:t xml:space="preserve">Early </w:t>
      </w:r>
      <w:r w:rsidRPr="00313779">
        <w:rPr>
          <w:rFonts w:asciiTheme="minorHAnsi" w:hAnsiTheme="minorHAnsi"/>
          <w:i/>
          <w:iCs/>
          <w:color w:val="000000"/>
          <w:spacing w:val="-1"/>
          <w:sz w:val="22"/>
          <w:szCs w:val="22"/>
        </w:rPr>
        <w:t>Society in Cyprus</w:t>
      </w:r>
      <w:r w:rsidRPr="00313779">
        <w:rPr>
          <w:rFonts w:asciiTheme="minorHAnsi" w:hAnsiTheme="minorHAnsi"/>
          <w:iCs/>
          <w:color w:val="000000"/>
          <w:spacing w:val="-1"/>
          <w:sz w:val="22"/>
          <w:szCs w:val="22"/>
        </w:rPr>
        <w:t xml:space="preserve">. </w:t>
      </w:r>
      <w:r w:rsidR="009235F2" w:rsidRPr="00313779">
        <w:rPr>
          <w:rFonts w:asciiTheme="minorHAnsi" w:hAnsiTheme="minorHAnsi"/>
          <w:color w:val="000000"/>
          <w:spacing w:val="-1"/>
          <w:sz w:val="22"/>
          <w:szCs w:val="22"/>
        </w:rPr>
        <w:t xml:space="preserve"> 43-51</w:t>
      </w:r>
      <w:r w:rsidR="009235F2">
        <w:rPr>
          <w:rFonts w:asciiTheme="minorHAnsi" w:hAnsiTheme="minorHAnsi"/>
          <w:color w:val="000000"/>
          <w:spacing w:val="-1"/>
          <w:sz w:val="22"/>
          <w:szCs w:val="22"/>
        </w:rPr>
        <w:t xml:space="preserve">. </w:t>
      </w:r>
      <w:r w:rsidRPr="00313779">
        <w:rPr>
          <w:rFonts w:asciiTheme="minorHAnsi" w:hAnsiTheme="minorHAnsi"/>
          <w:color w:val="000000"/>
          <w:spacing w:val="-1"/>
          <w:sz w:val="22"/>
          <w:szCs w:val="22"/>
        </w:rPr>
        <w:t>Edinburgh: University of Edinburgh Press.</w:t>
      </w:r>
    </w:p>
    <w:p w:rsidR="00E3165F" w:rsidRPr="00E3165F" w:rsidRDefault="00E3165F" w:rsidP="00E3165F">
      <w:pPr>
        <w:shd w:val="clear" w:color="auto" w:fill="FFFFFF"/>
        <w:spacing w:line="360" w:lineRule="auto"/>
        <w:ind w:left="709" w:hanging="709"/>
        <w:rPr>
          <w:rFonts w:asciiTheme="minorHAnsi" w:hAnsiTheme="minorHAnsi"/>
          <w:sz w:val="22"/>
          <w:szCs w:val="22"/>
        </w:rPr>
      </w:pPr>
      <w:r w:rsidRPr="00E3165F">
        <w:rPr>
          <w:rFonts w:asciiTheme="minorHAnsi" w:hAnsiTheme="minorHAnsi"/>
          <w:color w:val="000000"/>
          <w:spacing w:val="-5"/>
          <w:sz w:val="22"/>
          <w:szCs w:val="22"/>
        </w:rPr>
        <w:t>Karageorghis, V. 1976</w:t>
      </w:r>
      <w:r>
        <w:rPr>
          <w:rFonts w:asciiTheme="minorHAnsi" w:hAnsiTheme="minorHAnsi"/>
          <w:color w:val="000000"/>
          <w:spacing w:val="-5"/>
          <w:sz w:val="22"/>
          <w:szCs w:val="22"/>
        </w:rPr>
        <w:t>.</w:t>
      </w:r>
      <w:r w:rsidRPr="00E3165F">
        <w:rPr>
          <w:rFonts w:asciiTheme="minorHAnsi" w:hAnsiTheme="minorHAnsi"/>
          <w:color w:val="000000"/>
          <w:spacing w:val="-5"/>
          <w:sz w:val="22"/>
          <w:szCs w:val="22"/>
        </w:rPr>
        <w:t xml:space="preserve"> </w:t>
      </w:r>
      <w:r w:rsidRPr="00E3165F">
        <w:rPr>
          <w:rFonts w:asciiTheme="minorHAnsi" w:hAnsiTheme="minorHAnsi"/>
          <w:i/>
          <w:iCs/>
          <w:color w:val="000000"/>
          <w:spacing w:val="-5"/>
          <w:sz w:val="22"/>
          <w:szCs w:val="22"/>
        </w:rPr>
        <w:t>Kition: Mycenaean and Phoenician Discoveries in Cyprus</w:t>
      </w:r>
      <w:r w:rsidRPr="00E3165F">
        <w:rPr>
          <w:rFonts w:asciiTheme="minorHAnsi" w:hAnsiTheme="minorHAnsi"/>
          <w:iCs/>
          <w:color w:val="000000"/>
          <w:spacing w:val="-5"/>
          <w:sz w:val="22"/>
          <w:szCs w:val="22"/>
        </w:rPr>
        <w:t xml:space="preserve">. </w:t>
      </w:r>
      <w:r w:rsidRPr="00E3165F">
        <w:rPr>
          <w:rFonts w:asciiTheme="minorHAnsi" w:hAnsiTheme="minorHAnsi"/>
          <w:color w:val="000000"/>
          <w:spacing w:val="-8"/>
          <w:sz w:val="22"/>
          <w:szCs w:val="22"/>
        </w:rPr>
        <w:t>London: Thames and Hudson.</w:t>
      </w:r>
    </w:p>
    <w:p w:rsidR="00313779" w:rsidRPr="00313779" w:rsidRDefault="00313779" w:rsidP="00313779">
      <w:pPr>
        <w:shd w:val="clear" w:color="auto" w:fill="FFFFFF"/>
        <w:spacing w:line="360" w:lineRule="auto"/>
        <w:ind w:left="709" w:hanging="709"/>
        <w:rPr>
          <w:rFonts w:asciiTheme="minorHAnsi" w:hAnsiTheme="minorHAnsi"/>
          <w:color w:val="000000"/>
          <w:spacing w:val="-7"/>
          <w:sz w:val="22"/>
          <w:szCs w:val="22"/>
        </w:rPr>
      </w:pPr>
      <w:r w:rsidRPr="00313779">
        <w:rPr>
          <w:rFonts w:asciiTheme="minorHAnsi" w:hAnsiTheme="minorHAnsi"/>
          <w:color w:val="000000"/>
          <w:spacing w:val="-2"/>
          <w:sz w:val="22"/>
          <w:szCs w:val="22"/>
        </w:rPr>
        <w:t>Keswani, P.S. 1996</w:t>
      </w:r>
      <w:r>
        <w:rPr>
          <w:rFonts w:asciiTheme="minorHAnsi" w:hAnsiTheme="minorHAnsi"/>
          <w:color w:val="000000"/>
          <w:spacing w:val="-2"/>
          <w:sz w:val="22"/>
          <w:szCs w:val="22"/>
        </w:rPr>
        <w:t>.</w:t>
      </w:r>
      <w:r w:rsidRPr="00313779">
        <w:rPr>
          <w:rFonts w:asciiTheme="minorHAnsi" w:hAnsiTheme="minorHAnsi"/>
          <w:color w:val="000000"/>
          <w:spacing w:val="-2"/>
          <w:sz w:val="22"/>
          <w:szCs w:val="22"/>
        </w:rPr>
        <w:t xml:space="preserve"> Hierarchies, heterarchies, and urbanisation processes: the </w:t>
      </w:r>
      <w:r w:rsidRPr="00313779">
        <w:rPr>
          <w:rFonts w:asciiTheme="minorHAnsi" w:hAnsiTheme="minorHAnsi"/>
          <w:color w:val="000000"/>
          <w:spacing w:val="1"/>
          <w:sz w:val="22"/>
          <w:szCs w:val="22"/>
        </w:rPr>
        <w:t xml:space="preserve">view from Bronze Age Cyprus. </w:t>
      </w:r>
      <w:r w:rsidRPr="00313779">
        <w:rPr>
          <w:rFonts w:asciiTheme="minorHAnsi" w:hAnsiTheme="minorHAnsi"/>
          <w:i/>
          <w:iCs/>
          <w:color w:val="000000"/>
          <w:spacing w:val="1"/>
          <w:sz w:val="22"/>
          <w:szCs w:val="22"/>
        </w:rPr>
        <w:t>Journal of Mediterranean Archaeology</w:t>
      </w:r>
      <w:r w:rsidRPr="00313779">
        <w:rPr>
          <w:rFonts w:asciiTheme="minorHAnsi" w:hAnsiTheme="minorHAnsi"/>
          <w:iCs/>
          <w:color w:val="000000"/>
          <w:spacing w:val="1"/>
          <w:sz w:val="22"/>
          <w:szCs w:val="22"/>
        </w:rPr>
        <w:t xml:space="preserve"> 9: </w:t>
      </w:r>
      <w:r w:rsidRPr="00313779">
        <w:rPr>
          <w:rFonts w:asciiTheme="minorHAnsi" w:hAnsiTheme="minorHAnsi"/>
          <w:color w:val="000000"/>
          <w:spacing w:val="-7"/>
          <w:sz w:val="22"/>
          <w:szCs w:val="22"/>
        </w:rPr>
        <w:t>211-250.</w:t>
      </w:r>
    </w:p>
    <w:p w:rsidR="00313779" w:rsidRPr="00313779" w:rsidRDefault="00313779" w:rsidP="00313779">
      <w:pPr>
        <w:shd w:val="clear" w:color="auto" w:fill="FFFFFF"/>
        <w:spacing w:line="360" w:lineRule="auto"/>
        <w:ind w:left="709" w:hanging="709"/>
        <w:rPr>
          <w:rFonts w:asciiTheme="minorHAnsi" w:hAnsiTheme="minorHAnsi"/>
          <w:color w:val="000000"/>
          <w:spacing w:val="-1"/>
          <w:sz w:val="22"/>
          <w:szCs w:val="22"/>
        </w:rPr>
      </w:pPr>
      <w:r w:rsidRPr="00313779">
        <w:rPr>
          <w:rFonts w:asciiTheme="minorHAnsi" w:hAnsiTheme="minorHAnsi"/>
          <w:color w:val="000000"/>
          <w:spacing w:val="-1"/>
          <w:sz w:val="22"/>
          <w:szCs w:val="22"/>
        </w:rPr>
        <w:t>Knapp, A.B. 1997a</w:t>
      </w:r>
      <w:r>
        <w:rPr>
          <w:rFonts w:asciiTheme="minorHAnsi" w:hAnsiTheme="minorHAnsi"/>
          <w:color w:val="000000"/>
          <w:spacing w:val="-1"/>
          <w:sz w:val="22"/>
          <w:szCs w:val="22"/>
        </w:rPr>
        <w:t>.</w:t>
      </w:r>
      <w:r w:rsidRPr="00313779">
        <w:rPr>
          <w:rFonts w:asciiTheme="minorHAnsi" w:hAnsiTheme="minorHAnsi"/>
          <w:color w:val="000000"/>
          <w:spacing w:val="-1"/>
          <w:sz w:val="22"/>
          <w:szCs w:val="22"/>
        </w:rPr>
        <w:t xml:space="preserve"> </w:t>
      </w:r>
      <w:r w:rsidRPr="00313779">
        <w:rPr>
          <w:rFonts w:asciiTheme="minorHAnsi" w:hAnsiTheme="minorHAnsi"/>
          <w:i/>
          <w:iCs/>
          <w:color w:val="000000"/>
          <w:spacing w:val="-1"/>
          <w:sz w:val="22"/>
          <w:szCs w:val="22"/>
        </w:rPr>
        <w:t>The Archaeology of Late Bronze Age Cypriot Society: the</w:t>
      </w:r>
      <w:r w:rsidRPr="00313779">
        <w:rPr>
          <w:rFonts w:asciiTheme="minorHAnsi" w:hAnsiTheme="minorHAnsi"/>
          <w:i/>
          <w:sz w:val="22"/>
          <w:szCs w:val="22"/>
        </w:rPr>
        <w:t xml:space="preserve"> </w:t>
      </w:r>
      <w:r w:rsidRPr="00313779">
        <w:rPr>
          <w:rFonts w:asciiTheme="minorHAnsi" w:hAnsiTheme="minorHAnsi"/>
          <w:i/>
          <w:iCs/>
          <w:color w:val="000000"/>
          <w:sz w:val="22"/>
          <w:szCs w:val="22"/>
        </w:rPr>
        <w:t>Study of Settlement, Survey and Landscape</w:t>
      </w:r>
      <w:r w:rsidRPr="00313779">
        <w:rPr>
          <w:rFonts w:asciiTheme="minorHAnsi" w:hAnsiTheme="minorHAnsi"/>
          <w:iCs/>
          <w:color w:val="000000"/>
          <w:sz w:val="22"/>
          <w:szCs w:val="22"/>
        </w:rPr>
        <w:t xml:space="preserve">. </w:t>
      </w:r>
      <w:r w:rsidRPr="00313779">
        <w:rPr>
          <w:rFonts w:asciiTheme="minorHAnsi" w:hAnsiTheme="minorHAnsi"/>
          <w:color w:val="000000"/>
          <w:sz w:val="22"/>
          <w:szCs w:val="22"/>
        </w:rPr>
        <w:t>Glasgow: Department of</w:t>
      </w:r>
      <w:r w:rsidRPr="00313779">
        <w:rPr>
          <w:rFonts w:asciiTheme="minorHAnsi" w:hAnsiTheme="minorHAnsi"/>
          <w:sz w:val="22"/>
          <w:szCs w:val="22"/>
        </w:rPr>
        <w:t xml:space="preserve"> </w:t>
      </w:r>
      <w:r w:rsidRPr="00313779">
        <w:rPr>
          <w:rFonts w:asciiTheme="minorHAnsi" w:hAnsiTheme="minorHAnsi"/>
          <w:color w:val="000000"/>
          <w:spacing w:val="-1"/>
          <w:sz w:val="22"/>
          <w:szCs w:val="22"/>
        </w:rPr>
        <w:t>Archaeology, University of Glasgow.</w:t>
      </w:r>
    </w:p>
    <w:p w:rsidR="00313779" w:rsidRPr="00313779" w:rsidRDefault="00313779" w:rsidP="006A1E5F">
      <w:pPr>
        <w:shd w:val="clear" w:color="auto" w:fill="FFFFFF"/>
        <w:spacing w:line="360" w:lineRule="auto"/>
        <w:ind w:left="709" w:hanging="709"/>
        <w:rPr>
          <w:rFonts w:asciiTheme="minorHAnsi" w:hAnsiTheme="minorHAnsi"/>
          <w:color w:val="000000"/>
          <w:spacing w:val="-5"/>
          <w:sz w:val="22"/>
          <w:szCs w:val="22"/>
        </w:rPr>
      </w:pPr>
      <w:r w:rsidRPr="00313779">
        <w:rPr>
          <w:rFonts w:asciiTheme="minorHAnsi" w:hAnsiTheme="minorHAnsi"/>
          <w:color w:val="000000"/>
          <w:spacing w:val="-1"/>
          <w:sz w:val="22"/>
          <w:szCs w:val="22"/>
        </w:rPr>
        <w:t>Knapp, A.B. 1997b</w:t>
      </w:r>
      <w:r>
        <w:rPr>
          <w:rFonts w:asciiTheme="minorHAnsi" w:hAnsiTheme="minorHAnsi"/>
          <w:color w:val="000000"/>
          <w:spacing w:val="-1"/>
          <w:sz w:val="22"/>
          <w:szCs w:val="22"/>
        </w:rPr>
        <w:t>.</w:t>
      </w:r>
      <w:r w:rsidRPr="00313779">
        <w:rPr>
          <w:rFonts w:asciiTheme="minorHAnsi" w:hAnsiTheme="minorHAnsi"/>
          <w:color w:val="000000"/>
          <w:spacing w:val="-1"/>
          <w:sz w:val="22"/>
          <w:szCs w:val="22"/>
        </w:rPr>
        <w:t xml:space="preserve"> Mediterranean maritime landscapes: transport, trade and s</w:t>
      </w:r>
      <w:r w:rsidRPr="00313779">
        <w:rPr>
          <w:rFonts w:asciiTheme="minorHAnsi" w:hAnsiTheme="minorHAnsi"/>
          <w:color w:val="000000"/>
          <w:spacing w:val="-3"/>
          <w:sz w:val="22"/>
          <w:szCs w:val="22"/>
        </w:rPr>
        <w:t xml:space="preserve">ociety on Late Bronze Age Cyprus. In S. Swiny, R.L. Hohlfelder &amp; H.W. </w:t>
      </w:r>
      <w:r w:rsidRPr="00313779">
        <w:rPr>
          <w:rFonts w:asciiTheme="minorHAnsi" w:hAnsiTheme="minorHAnsi"/>
          <w:color w:val="000000"/>
          <w:spacing w:val="1"/>
          <w:sz w:val="22"/>
          <w:szCs w:val="22"/>
        </w:rPr>
        <w:t xml:space="preserve">Swiny (eds) </w:t>
      </w:r>
      <w:r w:rsidRPr="00313779">
        <w:rPr>
          <w:rFonts w:asciiTheme="minorHAnsi" w:hAnsiTheme="minorHAnsi"/>
          <w:i/>
          <w:iCs/>
          <w:color w:val="000000"/>
          <w:spacing w:val="1"/>
          <w:sz w:val="22"/>
          <w:szCs w:val="22"/>
        </w:rPr>
        <w:t xml:space="preserve">Res Maritimae. Cyprus and the Eastern Mediterranean from </w:t>
      </w:r>
      <w:r w:rsidRPr="00313779">
        <w:rPr>
          <w:rFonts w:asciiTheme="minorHAnsi" w:hAnsiTheme="minorHAnsi"/>
          <w:i/>
          <w:iCs/>
          <w:color w:val="000000"/>
          <w:spacing w:val="2"/>
          <w:sz w:val="22"/>
          <w:szCs w:val="22"/>
        </w:rPr>
        <w:t>Prehistory to Late Antiquity</w:t>
      </w:r>
      <w:r w:rsidRPr="00313779">
        <w:rPr>
          <w:rFonts w:asciiTheme="minorHAnsi" w:hAnsiTheme="minorHAnsi"/>
          <w:iCs/>
          <w:color w:val="000000"/>
          <w:spacing w:val="2"/>
          <w:sz w:val="22"/>
          <w:szCs w:val="22"/>
        </w:rPr>
        <w:t xml:space="preserve">. </w:t>
      </w:r>
      <w:r w:rsidRPr="00313779">
        <w:rPr>
          <w:rFonts w:asciiTheme="minorHAnsi" w:hAnsiTheme="minorHAnsi"/>
          <w:color w:val="000000"/>
          <w:spacing w:val="2"/>
          <w:sz w:val="22"/>
          <w:szCs w:val="22"/>
        </w:rPr>
        <w:t xml:space="preserve">CAAARI Monograph Series 1. </w:t>
      </w:r>
      <w:r w:rsidR="009235F2">
        <w:rPr>
          <w:rFonts w:asciiTheme="minorHAnsi" w:hAnsiTheme="minorHAnsi"/>
          <w:color w:val="000000"/>
          <w:spacing w:val="-5"/>
          <w:sz w:val="22"/>
          <w:szCs w:val="22"/>
        </w:rPr>
        <w:t>153-</w:t>
      </w:r>
      <w:r w:rsidR="009235F2" w:rsidRPr="00313779">
        <w:rPr>
          <w:rFonts w:asciiTheme="minorHAnsi" w:hAnsiTheme="minorHAnsi"/>
          <w:color w:val="000000"/>
          <w:spacing w:val="-5"/>
          <w:sz w:val="22"/>
          <w:szCs w:val="22"/>
        </w:rPr>
        <w:t>61</w:t>
      </w:r>
      <w:r w:rsidR="009235F2">
        <w:rPr>
          <w:rFonts w:asciiTheme="minorHAnsi" w:hAnsiTheme="minorHAnsi"/>
          <w:color w:val="000000"/>
          <w:spacing w:val="-5"/>
          <w:sz w:val="22"/>
          <w:szCs w:val="22"/>
        </w:rPr>
        <w:t xml:space="preserve">. </w:t>
      </w:r>
      <w:r w:rsidRPr="00313779">
        <w:rPr>
          <w:rFonts w:asciiTheme="minorHAnsi" w:hAnsiTheme="minorHAnsi"/>
          <w:color w:val="000000"/>
          <w:spacing w:val="2"/>
          <w:sz w:val="22"/>
          <w:szCs w:val="22"/>
        </w:rPr>
        <w:t xml:space="preserve">Atlanta: </w:t>
      </w:r>
      <w:r w:rsidR="009235F2">
        <w:rPr>
          <w:rFonts w:asciiTheme="minorHAnsi" w:hAnsiTheme="minorHAnsi"/>
          <w:color w:val="000000"/>
          <w:spacing w:val="-5"/>
          <w:sz w:val="22"/>
          <w:szCs w:val="22"/>
        </w:rPr>
        <w:t>Scholars Press</w:t>
      </w:r>
      <w:r w:rsidRPr="00313779">
        <w:rPr>
          <w:rFonts w:asciiTheme="minorHAnsi" w:hAnsiTheme="minorHAnsi"/>
          <w:color w:val="000000"/>
          <w:spacing w:val="-5"/>
          <w:sz w:val="22"/>
          <w:szCs w:val="22"/>
        </w:rPr>
        <w:t>.</w:t>
      </w:r>
    </w:p>
    <w:p w:rsidR="009235F2" w:rsidRDefault="009235F2" w:rsidP="006A1E5F">
      <w:pPr>
        <w:shd w:val="clear" w:color="auto" w:fill="FFFFFF"/>
        <w:spacing w:line="360" w:lineRule="auto"/>
        <w:ind w:left="720" w:hanging="720"/>
        <w:outlineLvl w:val="1"/>
        <w:rPr>
          <w:rFonts w:asciiTheme="minorHAnsi" w:hAnsiTheme="minorHAnsi"/>
          <w:sz w:val="22"/>
          <w:szCs w:val="22"/>
        </w:rPr>
      </w:pPr>
      <w:r w:rsidRPr="009235F2">
        <w:rPr>
          <w:rFonts w:asciiTheme="minorHAnsi" w:hAnsiTheme="minorHAnsi"/>
          <w:sz w:val="22"/>
          <w:szCs w:val="22"/>
        </w:rPr>
        <w:t>Peltenburg, E.J. 1996</w:t>
      </w:r>
      <w:r w:rsidR="006A1E5F">
        <w:rPr>
          <w:rFonts w:asciiTheme="minorHAnsi" w:hAnsiTheme="minorHAnsi"/>
          <w:sz w:val="22"/>
          <w:szCs w:val="22"/>
        </w:rPr>
        <w:t>.</w:t>
      </w:r>
      <w:r w:rsidRPr="009235F2">
        <w:rPr>
          <w:rFonts w:asciiTheme="minorHAnsi" w:hAnsiTheme="minorHAnsi"/>
          <w:sz w:val="22"/>
          <w:szCs w:val="22"/>
        </w:rPr>
        <w:t xml:space="preserve"> From isolation to state formation in </w:t>
      </w:r>
      <w:smartTag w:uri="urn:schemas-microsoft-com:office:smarttags" w:element="place">
        <w:smartTag w:uri="urn:schemas-microsoft-com:office:smarttags" w:element="country-region">
          <w:r w:rsidRPr="009235F2">
            <w:rPr>
              <w:rFonts w:asciiTheme="minorHAnsi" w:hAnsiTheme="minorHAnsi"/>
              <w:sz w:val="22"/>
              <w:szCs w:val="22"/>
            </w:rPr>
            <w:t>Cyprus</w:t>
          </w:r>
        </w:smartTag>
      </w:smartTag>
      <w:r w:rsidRPr="009235F2">
        <w:rPr>
          <w:rFonts w:asciiTheme="minorHAnsi" w:hAnsiTheme="minorHAnsi"/>
          <w:sz w:val="22"/>
          <w:szCs w:val="22"/>
        </w:rPr>
        <w:t>, c.3500-1500 BC. In V. Karageorghis &amp; D. Mi</w:t>
      </w:r>
      <w:r w:rsidR="006A1E5F">
        <w:rPr>
          <w:rFonts w:asciiTheme="minorHAnsi" w:hAnsiTheme="minorHAnsi"/>
          <w:sz w:val="22"/>
          <w:szCs w:val="22"/>
        </w:rPr>
        <w:t>chaelides (eds),</w:t>
      </w:r>
      <w:r w:rsidRPr="006A1E5F">
        <w:rPr>
          <w:rFonts w:asciiTheme="minorHAnsi" w:hAnsiTheme="minorHAnsi"/>
          <w:i/>
          <w:iCs/>
          <w:sz w:val="22"/>
          <w:szCs w:val="22"/>
        </w:rPr>
        <w:t>The Development of the Cypriot Economy from the Prehistoric Period to the Present Day</w:t>
      </w:r>
      <w:r w:rsidRPr="009235F2">
        <w:rPr>
          <w:rFonts w:asciiTheme="minorHAnsi" w:hAnsiTheme="minorHAnsi"/>
          <w:sz w:val="22"/>
          <w:szCs w:val="22"/>
        </w:rPr>
        <w:t xml:space="preserve">. </w:t>
      </w:r>
      <w:r w:rsidR="006A1E5F" w:rsidRPr="009235F2">
        <w:rPr>
          <w:rFonts w:asciiTheme="minorHAnsi" w:hAnsiTheme="minorHAnsi"/>
          <w:sz w:val="22"/>
          <w:szCs w:val="22"/>
        </w:rPr>
        <w:t>17-43</w:t>
      </w:r>
      <w:r w:rsidR="006A1E5F">
        <w:rPr>
          <w:rFonts w:asciiTheme="minorHAnsi" w:hAnsiTheme="minorHAnsi"/>
          <w:sz w:val="22"/>
          <w:szCs w:val="22"/>
        </w:rPr>
        <w:t xml:space="preserve">. </w:t>
      </w:r>
      <w:r w:rsidRPr="009235F2">
        <w:rPr>
          <w:rFonts w:asciiTheme="minorHAnsi" w:hAnsiTheme="minorHAnsi"/>
          <w:sz w:val="22"/>
          <w:szCs w:val="22"/>
        </w:rPr>
        <w:t xml:space="preserve">Nicosia: </w:t>
      </w:r>
      <w:r w:rsidR="006A1E5F">
        <w:rPr>
          <w:rFonts w:asciiTheme="minorHAnsi" w:hAnsiTheme="minorHAnsi"/>
          <w:sz w:val="22"/>
          <w:szCs w:val="22"/>
        </w:rPr>
        <w:t>Leventis Foundation</w:t>
      </w:r>
      <w:r w:rsidRPr="009235F2">
        <w:rPr>
          <w:rFonts w:asciiTheme="minorHAnsi" w:hAnsiTheme="minorHAnsi"/>
          <w:sz w:val="22"/>
          <w:szCs w:val="22"/>
        </w:rPr>
        <w:t>.</w:t>
      </w:r>
    </w:p>
    <w:p w:rsidR="005A303F" w:rsidRPr="005A303F" w:rsidRDefault="005A303F" w:rsidP="006A1E5F">
      <w:pPr>
        <w:shd w:val="clear" w:color="auto" w:fill="FFFFFF"/>
        <w:spacing w:line="360" w:lineRule="auto"/>
        <w:ind w:left="720" w:hanging="720"/>
        <w:outlineLvl w:val="1"/>
        <w:rPr>
          <w:rFonts w:asciiTheme="minorHAnsi" w:hAnsiTheme="minorHAnsi"/>
          <w:sz w:val="22"/>
          <w:szCs w:val="22"/>
        </w:rPr>
      </w:pPr>
      <w:r>
        <w:rPr>
          <w:rFonts w:asciiTheme="minorHAnsi" w:hAnsiTheme="minorHAnsi"/>
          <w:sz w:val="22"/>
          <w:szCs w:val="22"/>
        </w:rPr>
        <w:t xml:space="preserve">Steel, L. 2004. </w:t>
      </w:r>
      <w:r>
        <w:rPr>
          <w:rFonts w:asciiTheme="minorHAnsi" w:hAnsiTheme="minorHAnsi"/>
          <w:i/>
          <w:iCs/>
          <w:sz w:val="22"/>
          <w:szCs w:val="22"/>
        </w:rPr>
        <w:t>Cyprus Before History: Form the First Settlers to the End of the Bronze Age</w:t>
      </w:r>
      <w:r>
        <w:rPr>
          <w:rFonts w:asciiTheme="minorHAnsi" w:hAnsiTheme="minorHAnsi"/>
          <w:sz w:val="22"/>
          <w:szCs w:val="22"/>
        </w:rPr>
        <w:t>. London: Duckworth. [chapter 6]</w:t>
      </w:r>
    </w:p>
    <w:p w:rsidR="00E3165F" w:rsidRPr="00E3165F" w:rsidRDefault="00E3165F" w:rsidP="00E3165F">
      <w:pPr>
        <w:shd w:val="clear" w:color="auto" w:fill="FFFFFF"/>
        <w:spacing w:line="360" w:lineRule="auto"/>
        <w:ind w:left="720" w:hanging="720"/>
        <w:outlineLvl w:val="1"/>
        <w:rPr>
          <w:rFonts w:asciiTheme="minorHAnsi" w:hAnsiTheme="minorHAnsi"/>
          <w:b/>
          <w:sz w:val="22"/>
          <w:szCs w:val="22"/>
        </w:rPr>
      </w:pPr>
      <w:r w:rsidRPr="00E3165F">
        <w:rPr>
          <w:rFonts w:asciiTheme="minorHAnsi" w:hAnsiTheme="minorHAnsi"/>
          <w:sz w:val="22"/>
          <w:szCs w:val="22"/>
        </w:rPr>
        <w:t>Webb</w:t>
      </w:r>
      <w:r w:rsidRPr="00E3165F">
        <w:rPr>
          <w:rFonts w:asciiTheme="minorHAnsi" w:hAnsiTheme="minorHAnsi"/>
          <w:color w:val="000000"/>
          <w:spacing w:val="3"/>
          <w:sz w:val="22"/>
          <w:szCs w:val="22"/>
        </w:rPr>
        <w:t xml:space="preserve">, J.M. </w:t>
      </w:r>
      <w:r>
        <w:rPr>
          <w:rFonts w:asciiTheme="minorHAnsi" w:hAnsiTheme="minorHAnsi"/>
          <w:iCs/>
          <w:color w:val="000000"/>
          <w:spacing w:val="3"/>
          <w:sz w:val="22"/>
          <w:szCs w:val="22"/>
        </w:rPr>
        <w:t>1999.</w:t>
      </w:r>
      <w:r w:rsidRPr="00E3165F">
        <w:rPr>
          <w:rFonts w:asciiTheme="minorHAnsi" w:hAnsiTheme="minorHAnsi"/>
          <w:i/>
          <w:color w:val="000000"/>
          <w:spacing w:val="3"/>
          <w:sz w:val="22"/>
          <w:szCs w:val="22"/>
        </w:rPr>
        <w:t xml:space="preserve"> </w:t>
      </w:r>
      <w:r w:rsidRPr="00E3165F">
        <w:rPr>
          <w:rFonts w:asciiTheme="minorHAnsi" w:hAnsiTheme="minorHAnsi"/>
          <w:i/>
          <w:iCs/>
          <w:color w:val="000000"/>
          <w:spacing w:val="3"/>
          <w:sz w:val="22"/>
          <w:szCs w:val="22"/>
        </w:rPr>
        <w:t>Ritual Architecture, Iconography and Practice in the Late</w:t>
      </w:r>
      <w:r w:rsidRPr="00E3165F">
        <w:rPr>
          <w:rFonts w:asciiTheme="minorHAnsi" w:hAnsiTheme="minorHAnsi"/>
          <w:i/>
          <w:sz w:val="22"/>
          <w:szCs w:val="22"/>
        </w:rPr>
        <w:t xml:space="preserve"> </w:t>
      </w:r>
      <w:r w:rsidRPr="00E3165F">
        <w:rPr>
          <w:rFonts w:asciiTheme="minorHAnsi" w:hAnsiTheme="minorHAnsi"/>
          <w:i/>
          <w:iCs/>
          <w:color w:val="000000"/>
          <w:sz w:val="22"/>
          <w:szCs w:val="22"/>
        </w:rPr>
        <w:t>Cypriot Bronze Age</w:t>
      </w:r>
      <w:r w:rsidRPr="00E3165F">
        <w:rPr>
          <w:rFonts w:asciiTheme="minorHAnsi" w:hAnsiTheme="minorHAnsi"/>
          <w:iCs/>
          <w:color w:val="000000"/>
          <w:sz w:val="22"/>
          <w:szCs w:val="22"/>
        </w:rPr>
        <w:t xml:space="preserve">. </w:t>
      </w:r>
      <w:r w:rsidRPr="00E3165F">
        <w:rPr>
          <w:rFonts w:asciiTheme="minorHAnsi" w:hAnsiTheme="minorHAnsi"/>
          <w:color w:val="000000"/>
          <w:sz w:val="22"/>
          <w:szCs w:val="22"/>
        </w:rPr>
        <w:t xml:space="preserve">SIMA Pocketbook 75. Jonsered: </w:t>
      </w:r>
      <w:r w:rsidRPr="00E3165F">
        <w:rPr>
          <w:rFonts w:asciiTheme="minorHAnsi" w:hAnsiTheme="minorHAnsi"/>
          <w:color w:val="000000"/>
          <w:spacing w:val="-3"/>
          <w:sz w:val="22"/>
          <w:szCs w:val="22"/>
        </w:rPr>
        <w:t xml:space="preserve">P. </w:t>
      </w:r>
      <w:r w:rsidRPr="00E3165F">
        <w:rPr>
          <w:rFonts w:asciiTheme="minorHAnsi" w:hAnsiTheme="minorHAnsi"/>
          <w:color w:val="000000"/>
          <w:spacing w:val="1"/>
          <w:sz w:val="22"/>
          <w:szCs w:val="22"/>
        </w:rPr>
        <w:t>Åströms</w:t>
      </w:r>
      <w:r w:rsidRPr="00E3165F">
        <w:rPr>
          <w:rFonts w:asciiTheme="minorHAnsi" w:hAnsiTheme="minorHAnsi"/>
          <w:color w:val="000000"/>
          <w:spacing w:val="-3"/>
          <w:sz w:val="22"/>
          <w:szCs w:val="22"/>
        </w:rPr>
        <w:t xml:space="preserve"> F</w:t>
      </w:r>
      <w:r w:rsidRPr="00E3165F">
        <w:rPr>
          <w:rFonts w:asciiTheme="minorHAnsi" w:hAnsiTheme="minorHAnsi"/>
          <w:color w:val="000000"/>
          <w:spacing w:val="1"/>
          <w:sz w:val="22"/>
          <w:szCs w:val="22"/>
        </w:rPr>
        <w:t>ö</w:t>
      </w:r>
      <w:r w:rsidRPr="00E3165F">
        <w:rPr>
          <w:rFonts w:asciiTheme="minorHAnsi" w:hAnsiTheme="minorHAnsi"/>
          <w:color w:val="000000"/>
          <w:spacing w:val="-3"/>
          <w:sz w:val="22"/>
          <w:szCs w:val="22"/>
        </w:rPr>
        <w:t>rlag</w:t>
      </w:r>
    </w:p>
    <w:p w:rsidR="00E3165F" w:rsidRDefault="00E3165F" w:rsidP="00B31718">
      <w:pPr>
        <w:shd w:val="clear" w:color="auto" w:fill="FFFFFF"/>
        <w:spacing w:line="360" w:lineRule="auto"/>
        <w:ind w:left="720" w:hanging="720"/>
        <w:outlineLvl w:val="1"/>
        <w:rPr>
          <w:rFonts w:asciiTheme="minorHAnsi" w:hAnsiTheme="minorHAnsi"/>
          <w:sz w:val="22"/>
          <w:szCs w:val="22"/>
        </w:rPr>
      </w:pPr>
    </w:p>
    <w:p w:rsidR="00E3165F" w:rsidRPr="00E3165F" w:rsidRDefault="00E3165F" w:rsidP="00B31718">
      <w:pPr>
        <w:shd w:val="clear" w:color="auto" w:fill="FFFFFF"/>
        <w:spacing w:line="360" w:lineRule="auto"/>
        <w:ind w:left="720" w:hanging="720"/>
        <w:outlineLvl w:val="1"/>
        <w:rPr>
          <w:rFonts w:asciiTheme="minorHAnsi" w:hAnsiTheme="minorHAnsi"/>
          <w:sz w:val="22"/>
          <w:szCs w:val="22"/>
        </w:rPr>
      </w:pPr>
    </w:p>
    <w:p w:rsidR="004F61F3" w:rsidRPr="00313779" w:rsidRDefault="004F61F3" w:rsidP="009235F2">
      <w:pPr>
        <w:shd w:val="clear" w:color="auto" w:fill="FFFFFF"/>
        <w:spacing w:line="360" w:lineRule="auto"/>
        <w:ind w:left="720" w:hanging="720"/>
        <w:outlineLvl w:val="1"/>
        <w:rPr>
          <w:rFonts w:asciiTheme="minorHAnsi" w:hAnsiTheme="minorHAnsi"/>
          <w:sz w:val="22"/>
          <w:szCs w:val="22"/>
        </w:rPr>
      </w:pPr>
    </w:p>
    <w:sectPr w:rsidR="004F61F3" w:rsidRPr="00313779" w:rsidSect="006645F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Arial">
    <w:panose1 w:val="020B0604020202020204"/>
    <w:charset w:val="00"/>
    <w:family w:val="swiss"/>
    <w:pitch w:val="variable"/>
    <w:sig w:usb0="20002A87" w:usb1="80000000" w:usb2="00000008" w:usb3="00000000" w:csb0="000001FF" w:csb1="00000000"/>
  </w:font>
  <w:font w:name="Times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defaultTabStop w:val="720"/>
  <w:characterSpacingControl w:val="doNotCompress"/>
  <w:compat/>
  <w:rsids>
    <w:rsidRoot w:val="00D36FC0"/>
    <w:rsid w:val="000E5CB6"/>
    <w:rsid w:val="00307A92"/>
    <w:rsid w:val="00313779"/>
    <w:rsid w:val="00393AB9"/>
    <w:rsid w:val="003F123A"/>
    <w:rsid w:val="004571B4"/>
    <w:rsid w:val="00467036"/>
    <w:rsid w:val="004F61F3"/>
    <w:rsid w:val="00523566"/>
    <w:rsid w:val="005A303F"/>
    <w:rsid w:val="0061089A"/>
    <w:rsid w:val="006645FD"/>
    <w:rsid w:val="00675CC5"/>
    <w:rsid w:val="006A1E5F"/>
    <w:rsid w:val="00805F00"/>
    <w:rsid w:val="009235F2"/>
    <w:rsid w:val="009603FC"/>
    <w:rsid w:val="00994B9C"/>
    <w:rsid w:val="009B32C4"/>
    <w:rsid w:val="00A26440"/>
    <w:rsid w:val="00A57997"/>
    <w:rsid w:val="00B16490"/>
    <w:rsid w:val="00B31718"/>
    <w:rsid w:val="00C55DFF"/>
    <w:rsid w:val="00C74BFE"/>
    <w:rsid w:val="00D36FC0"/>
    <w:rsid w:val="00E3165F"/>
    <w:rsid w:val="00F20B04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martTagType w:namespaceuri="urn:schemas-microsoft-com:office:smarttags" w:name="place"/>
  <w:smartTagType w:namespaceuri="urn:schemas-microsoft-com:office:smarttags" w:name="country-region"/>
  <w:shapeDefaults>
    <o:shapedefaults v:ext="edit" spidmax="717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D36FC0"/>
    <w:pPr>
      <w:spacing w:after="0" w:line="240" w:lineRule="auto"/>
    </w:pPr>
    <w:rPr>
      <w:rFonts w:ascii="Times" w:eastAsia="Times" w:hAnsi="Times" w:cs="Times New Roman"/>
      <w:sz w:val="24"/>
      <w:szCs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D36FC0"/>
    <w:pPr>
      <w:keepNext/>
      <w:keepLines/>
      <w:spacing w:before="48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D36FC0"/>
    <w:pPr>
      <w:keepNext/>
      <w:keepLines/>
      <w:spacing w:before="20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D36FC0"/>
    <w:pPr>
      <w:pBdr>
        <w:bottom w:val="single" w:sz="8" w:space="4" w:color="4F81BD" w:themeColor="accent1"/>
      </w:pBdr>
      <w:spacing w:after="300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D36FC0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Heading1Char">
    <w:name w:val="Heading 1 Char"/>
    <w:basedOn w:val="DefaultParagraphFont"/>
    <w:link w:val="Heading1"/>
    <w:uiPriority w:val="9"/>
    <w:rsid w:val="00D36FC0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D36FC0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218</Words>
  <Characters>1246</Characters>
  <Application>Microsoft Office Word</Application>
  <DocSecurity>0</DocSecurity>
  <Lines>10</Lines>
  <Paragraphs>2</Paragraphs>
  <ScaleCrop>false</ScaleCrop>
  <Company>University of Wales Lampeter</Company>
  <LinksUpToDate>false</LinksUpToDate>
  <CharactersWithSpaces>1462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sw003</dc:creator>
  <cp:keywords/>
  <dc:description/>
  <cp:lastModifiedBy>sw003</cp:lastModifiedBy>
  <cp:revision>3</cp:revision>
  <dcterms:created xsi:type="dcterms:W3CDTF">2011-03-15T10:10:00Z</dcterms:created>
  <dcterms:modified xsi:type="dcterms:W3CDTF">2011-03-15T10:12:00Z</dcterms:modified>
</cp:coreProperties>
</file>