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716085"/>
        <w:docPartObj>
          <w:docPartGallery w:val="Cover Pages"/>
          <w:docPartUnique/>
        </w:docPartObj>
      </w:sdtPr>
      <w:sdtContent>
        <w:p w14:paraId="6F91017E" w14:textId="494D9D80" w:rsidR="00114BDA" w:rsidRDefault="00A70C7E">
          <w:r>
            <w:rPr>
              <w:noProof/>
              <w:lang w:eastAsia="zh-CN"/>
            </w:rPr>
            <mc:AlternateContent>
              <mc:Choice Requires="wps">
                <w:drawing>
                  <wp:anchor distT="0" distB="0" distL="114300" distR="114300" simplePos="0" relativeHeight="251659264" behindDoc="0" locked="0" layoutInCell="1" allowOverlap="1" wp14:anchorId="6A4008BD" wp14:editId="3A84A293">
                    <wp:simplePos x="0" y="0"/>
                    <wp:positionH relativeFrom="page">
                      <wp:align>center</wp:align>
                    </wp:positionH>
                    <wp:positionV relativeFrom="page">
                      <wp:align>center</wp:align>
                    </wp:positionV>
                    <wp:extent cx="1712890" cy="826560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82656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27"/>
                                  <w:gridCol w:w="2390"/>
                                </w:tblGrid>
                                <w:tr w:rsidR="00A70C7E" w:rsidRPr="00A70C7E" w14:paraId="0A1710DD" w14:textId="77777777">
                                  <w:trPr>
                                    <w:jc w:val="center"/>
                                  </w:trPr>
                                  <w:tc>
                                    <w:tcPr>
                                      <w:tcW w:w="2568" w:type="pct"/>
                                      <w:vAlign w:val="center"/>
                                    </w:tcPr>
                                    <w:p w14:paraId="7FB39CA9" w14:textId="7C29960E"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INCLUDEPICTURE "https://www.shutterstock.com/image-vector/education-training-on-global-warming-260nw-609860519.jpg" \* MERGEFORMATINET </w:instrText>
                                      </w: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A70C7E">
                                        <w:rPr>
                                          <w:noProof/>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C6E7CC9" wp14:editId="47FE52DA">
                                            <wp:extent cx="3306445" cy="3274828"/>
                                            <wp:effectExtent l="0" t="0" r="0" b="1905"/>
                                            <wp:docPr id="5" name="Picture 5" descr="45,038 Environmental Educati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038 Environmental Education Images, Stock Photos &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7792"/>
                                                    <a:stretch/>
                                                  </pic:blipFill>
                                                  <pic:spPr bwMode="auto">
                                                    <a:xfrm>
                                                      <a:off x="0" y="0"/>
                                                      <a:ext cx="3306445" cy="3274828"/>
                                                    </a:xfrm>
                                                    <a:prstGeom prst="rect">
                                                      <a:avLst/>
                                                    </a:prstGeom>
                                                    <a:noFill/>
                                                    <a:ln>
                                                      <a:noFill/>
                                                    </a:ln>
                                                    <a:extLst>
                                                      <a:ext uri="{53640926-AAD7-44D8-BBD7-CCE9431645EC}">
                                                        <a14:shadowObscured xmlns:a14="http://schemas.microsoft.com/office/drawing/2010/main"/>
                                                      </a:ext>
                                                    </a:extLst>
                                                  </pic:spPr>
                                                </pic:pic>
                                              </a:graphicData>
                                            </a:graphic>
                                          </wp:inline>
                                        </w:drawing>
                                      </w: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
                                      <w:sdtP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88DFF73" w14:textId="0A6CAE31" w:rsidR="00A70C7E" w:rsidRPr="00A70C7E" w:rsidRDefault="00A70C7E" w:rsidP="00B120A2">
                                          <w:pPr>
                                            <w:pStyle w:val="NoSpacing"/>
                                            <w:spacing w:line="312" w:lineRule="auto"/>
                                            <w:rPr>
                                              <w:color w:val="A8D08D" w:themeColor="accent6" w:themeTint="99"/>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Education for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nvironmental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ustainability: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ross-curricular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heme?</w:t>
                                          </w:r>
                                        </w:p>
                                      </w:sdtContent>
                                    </w:sdt>
                                    <w:p w14:paraId="6A8DA296" w14:textId="1D81F75B"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2432" w:type="pct"/>
                                      <w:vAlign w:val="center"/>
                                    </w:tcPr>
                                    <w:p w14:paraId="4F6B8B13" w14:textId="2E38884C"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color w:val="A8D08D" w:themeColor="accent6" w:themeTint="99"/>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BC32B12" w14:textId="4A6771E7" w:rsidR="00A70C7E" w:rsidRPr="00A70C7E" w:rsidRDefault="00A70C7E" w:rsidP="00B120A2">
                                          <w:pPr>
                                            <w:pStyle w:val="NoSpacing"/>
                                            <w:rPr>
                                              <w:color w:val="A8D08D" w:themeColor="accent6" w:themeTint="99"/>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0C7E">
                                            <w:rPr>
                                              <w:color w:val="A8D08D" w:themeColor="accent6" w:themeTint="99"/>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Charlotte Morgan (1550929)</w:t>
                                          </w:r>
                                        </w:p>
                                      </w:sdtContent>
                                    </w:sdt>
                                    <w:p w14:paraId="39584335" w14:textId="55DEF449" w:rsidR="00A70C7E" w:rsidRPr="00A70C7E" w:rsidRDefault="00A70C7E" w:rsidP="00B120A2">
                                      <w:pPr>
                                        <w:pStyle w:val="NoSpacing"/>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A8D08D" w:themeColor="accent6" w:themeTint="99"/>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576BA1" w:rsidRPr="00A70C7E">
                                            <w:rPr>
                                              <w:color w:val="A8D08D" w:themeColor="accent6" w:themeTint="99"/>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MSc</w:t>
                                          </w:r>
                                          <w:r w:rsidRPr="00A70C7E">
                                            <w:rPr>
                                              <w:color w:val="A8D08D" w:themeColor="accent6" w:themeTint="99"/>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Environmental Conservation and Management</w:t>
                                          </w:r>
                                        </w:sdtContent>
                                      </w:sdt>
                                    </w:p>
                                  </w:tc>
                                </w:tr>
                              </w:tbl>
                              <w:p w14:paraId="31EEA223" w14:textId="77777777"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A4008BD" id="_x0000_t202" coordsize="21600,21600" o:spt="202" path="m,l,21600r21600,l21600,xe">
                    <v:stroke joinstyle="miter"/>
                    <v:path gradientshapeok="t" o:connecttype="rect"/>
                  </v:shapetype>
                  <v:shape id="Text Box 138" o:spid="_x0000_s1026" type="#_x0000_t202" style="position:absolute;margin-left:0;margin-top:0;width:134.85pt;height:650.85pt;z-index:251659264;visibility:visible;mso-wrap-style:square;mso-width-percent:941;mso-height-percent:0;mso-wrap-distance-left:9pt;mso-wrap-distance-top:0;mso-wrap-distance-right:9pt;mso-wrap-distance-bottom:0;mso-position-horizontal:center;mso-position-horizontal-relative:page;mso-position-vertical:center;mso-position-vertical-relative:page;mso-width-percent:941;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" fillcolor="white [3201]" stroked="f" strokeweight="1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27"/>
                            <w:gridCol w:w="2390"/>
                          </w:tblGrid>
                          <w:tr w:rsidR="00A70C7E" w:rsidRPr="00A70C7E" w14:paraId="0A1710DD" w14:textId="77777777">
                            <w:trPr>
                              <w:jc w:val="center"/>
                            </w:trPr>
                            <w:tc>
                              <w:tcPr>
                                <w:tcW w:w="2568" w:type="pct"/>
                                <w:vAlign w:val="center"/>
                              </w:tcPr>
                              <w:p w14:paraId="7FB39CA9" w14:textId="7C29960E"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INCLUDEPICTURE "https://www.shutterstock.com/image-vector/education-training-on-global-warming-260nw-609860519.jpg" \* MERGEFORMATINET </w:instrText>
                                </w: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A70C7E">
                                  <w:rPr>
                                    <w:noProof/>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C6E7CC9" wp14:editId="47FE52DA">
                                      <wp:extent cx="3306445" cy="3274828"/>
                                      <wp:effectExtent l="0" t="0" r="0" b="1905"/>
                                      <wp:docPr id="5" name="Picture 5" descr="45,038 Environmental Educati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038 Environmental Education Images, Stock Photos &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7792"/>
                                              <a:stretch/>
                                            </pic:blipFill>
                                            <pic:spPr bwMode="auto">
                                              <a:xfrm>
                                                <a:off x="0" y="0"/>
                                                <a:ext cx="3306445" cy="3274828"/>
                                              </a:xfrm>
                                              <a:prstGeom prst="rect">
                                                <a:avLst/>
                                              </a:prstGeom>
                                              <a:noFill/>
                                              <a:ln>
                                                <a:noFill/>
                                              </a:ln>
                                              <a:extLst>
                                                <a:ext uri="{53640926-AAD7-44D8-BBD7-CCE9431645EC}">
                                                  <a14:shadowObscured xmlns:a14="http://schemas.microsoft.com/office/drawing/2010/main"/>
                                                </a:ext>
                                              </a:extLst>
                                            </pic:spPr>
                                          </pic:pic>
                                        </a:graphicData>
                                      </a:graphic>
                                    </wp:inline>
                                  </w:drawing>
                                </w:r>
                                <w:r w:rsidRPr="00A70C7E">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
                                <w:sdtP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88DFF73" w14:textId="0A6CAE31" w:rsidR="00A70C7E" w:rsidRPr="00A70C7E" w:rsidRDefault="00A70C7E" w:rsidP="00B120A2">
                                    <w:pPr>
                                      <w:pStyle w:val="NoSpacing"/>
                                      <w:spacing w:line="312" w:lineRule="auto"/>
                                      <w:rPr>
                                        <w:color w:val="A8D08D" w:themeColor="accent6" w:themeTint="99"/>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Education for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nvironmental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ustainability: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ross-curricular </w:t>
                                    </w:r>
                                    <w:r>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A70C7E">
                                      <w:rPr>
                                        <w:color w:val="A8D08D" w:themeColor="accent6" w:themeTint="99"/>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heme?</w:t>
                                    </w:r>
                                  </w:p>
                                </w:sdtContent>
                              </w:sdt>
                              <w:p w14:paraId="6A8DA296" w14:textId="1D81F75B"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2432" w:type="pct"/>
                                <w:vAlign w:val="center"/>
                              </w:tcPr>
                              <w:p w14:paraId="4F6B8B13" w14:textId="2E38884C"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color w:val="A8D08D" w:themeColor="accent6" w:themeTint="99"/>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BC32B12" w14:textId="4A6771E7" w:rsidR="00A70C7E" w:rsidRPr="00A70C7E" w:rsidRDefault="00A70C7E" w:rsidP="00B120A2">
                                    <w:pPr>
                                      <w:pStyle w:val="NoSpacing"/>
                                      <w:rPr>
                                        <w:color w:val="A8D08D" w:themeColor="accent6" w:themeTint="99"/>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0C7E">
                                      <w:rPr>
                                        <w:color w:val="A8D08D" w:themeColor="accent6" w:themeTint="99"/>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Charlotte Morgan (1550929)</w:t>
                                    </w:r>
                                  </w:p>
                                </w:sdtContent>
                              </w:sdt>
                              <w:p w14:paraId="39584335" w14:textId="55DEF449" w:rsidR="00A70C7E" w:rsidRPr="00A70C7E" w:rsidRDefault="00A70C7E" w:rsidP="00B120A2">
                                <w:pPr>
                                  <w:pStyle w:val="NoSpacing"/>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A8D08D" w:themeColor="accent6" w:themeTint="99"/>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576BA1" w:rsidRPr="00A70C7E">
                                      <w:rPr>
                                        <w:color w:val="A8D08D" w:themeColor="accent6" w:themeTint="99"/>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MSc</w:t>
                                    </w:r>
                                    <w:r w:rsidRPr="00A70C7E">
                                      <w:rPr>
                                        <w:color w:val="A8D08D" w:themeColor="accent6" w:themeTint="99"/>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Environmental Conservation and Management</w:t>
                                    </w:r>
                                  </w:sdtContent>
                                </w:sdt>
                              </w:p>
                            </w:tc>
                          </w:tr>
                        </w:tbl>
                        <w:p w14:paraId="31EEA223" w14:textId="77777777" w:rsidR="00A70C7E" w:rsidRPr="00A70C7E" w:rsidRDefault="00A70C7E" w:rsidP="00B120A2">
                          <w:pPr>
                            <w:rPr>
                              <w:color w:val="A8D08D" w:themeColor="accent6"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page" anchory="page"/>
                  </v:shape>
                </w:pict>
              </mc:Fallback>
            </mc:AlternateContent>
          </w:r>
          <w:r>
            <w:br w:type="page"/>
          </w:r>
        </w:p>
      </w:sdtContent>
    </w:sdt>
    <w:p w14:paraId="176A8712" w14:textId="6CCC6EB1" w:rsidR="00114BDA" w:rsidRDefault="00114BDA"/>
    <w:bookmarkStart w:id="0" w:name="_Toc131682225" w:displacedByCustomXml="next"/>
    <w:sdt>
      <w:sdtPr>
        <w:id w:val="-110518270"/>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4AD9EEC5" w14:textId="0B595241" w:rsidR="00FB2FFD" w:rsidRDefault="00FB2FFD" w:rsidP="00FB2FFD">
          <w:pPr>
            <w:pStyle w:val="Heading1"/>
          </w:pPr>
          <w:r>
            <w:t>Table of Contents</w:t>
          </w:r>
          <w:bookmarkEnd w:id="0"/>
        </w:p>
        <w:p w14:paraId="317DF5B4" w14:textId="0C487EEC" w:rsidR="00C35E34" w:rsidRDefault="00FB2FFD">
          <w:pPr>
            <w:pStyle w:val="TOC1"/>
            <w:tabs>
              <w:tab w:val="right" w:leader="dot" w:pos="9016"/>
            </w:tabs>
            <w:rPr>
              <w:rFonts w:eastAsiaTheme="minorEastAsia" w:cstheme="minorBidi"/>
              <w:b w:val="0"/>
              <w:bCs w:val="0"/>
              <w:i w:val="0"/>
              <w:iCs w:val="0"/>
              <w:noProof/>
              <w:kern w:val="0"/>
              <w:lang w:eastAsia="en-GB"/>
              <w14:ligatures w14:val="none"/>
            </w:rPr>
          </w:pPr>
          <w:r>
            <w:rPr>
              <w:b w:val="0"/>
              <w:bCs w:val="0"/>
            </w:rPr>
            <w:fldChar w:fldCharType="begin"/>
          </w:r>
          <w:r>
            <w:instrText xml:space="preserve"> TOC \o "1-3" \h \z \u </w:instrText>
          </w:r>
          <w:r>
            <w:rPr>
              <w:b w:val="0"/>
              <w:bCs w:val="0"/>
            </w:rPr>
            <w:fldChar w:fldCharType="separate"/>
          </w:r>
          <w:hyperlink w:anchor="_Toc131682225" w:history="1">
            <w:r w:rsidR="00C35E34" w:rsidRPr="00AA531F">
              <w:rPr>
                <w:rStyle w:val="Hyperlink"/>
                <w:noProof/>
              </w:rPr>
              <w:t>Table of Contents</w:t>
            </w:r>
            <w:r w:rsidR="00C35E34">
              <w:rPr>
                <w:noProof/>
                <w:webHidden/>
              </w:rPr>
              <w:tab/>
            </w:r>
            <w:r w:rsidR="00C35E34">
              <w:rPr>
                <w:noProof/>
                <w:webHidden/>
              </w:rPr>
              <w:fldChar w:fldCharType="begin"/>
            </w:r>
            <w:r w:rsidR="00C35E34">
              <w:rPr>
                <w:noProof/>
                <w:webHidden/>
              </w:rPr>
              <w:instrText xml:space="preserve"> PAGEREF _Toc131682225 \h </w:instrText>
            </w:r>
            <w:r w:rsidR="00C35E34">
              <w:rPr>
                <w:noProof/>
                <w:webHidden/>
              </w:rPr>
            </w:r>
            <w:r w:rsidR="00C35E34">
              <w:rPr>
                <w:noProof/>
                <w:webHidden/>
              </w:rPr>
              <w:fldChar w:fldCharType="separate"/>
            </w:r>
            <w:r w:rsidR="00C35E34">
              <w:rPr>
                <w:noProof/>
                <w:webHidden/>
              </w:rPr>
              <w:t>2</w:t>
            </w:r>
            <w:r w:rsidR="00C35E34">
              <w:rPr>
                <w:noProof/>
                <w:webHidden/>
              </w:rPr>
              <w:fldChar w:fldCharType="end"/>
            </w:r>
          </w:hyperlink>
        </w:p>
        <w:p w14:paraId="4847CDDC" w14:textId="49EEEFD8"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26" w:history="1">
            <w:r w:rsidRPr="00AA531F">
              <w:rPr>
                <w:rStyle w:val="Hyperlink"/>
                <w:noProof/>
              </w:rPr>
              <w:t>Acknowledgements</w:t>
            </w:r>
            <w:r>
              <w:rPr>
                <w:noProof/>
                <w:webHidden/>
              </w:rPr>
              <w:tab/>
            </w:r>
            <w:r>
              <w:rPr>
                <w:noProof/>
                <w:webHidden/>
              </w:rPr>
              <w:fldChar w:fldCharType="begin"/>
            </w:r>
            <w:r>
              <w:rPr>
                <w:noProof/>
                <w:webHidden/>
              </w:rPr>
              <w:instrText xml:space="preserve"> PAGEREF _Toc131682226 \h </w:instrText>
            </w:r>
            <w:r>
              <w:rPr>
                <w:noProof/>
                <w:webHidden/>
              </w:rPr>
            </w:r>
            <w:r>
              <w:rPr>
                <w:noProof/>
                <w:webHidden/>
              </w:rPr>
              <w:fldChar w:fldCharType="separate"/>
            </w:r>
            <w:r>
              <w:rPr>
                <w:noProof/>
                <w:webHidden/>
              </w:rPr>
              <w:t>3</w:t>
            </w:r>
            <w:r>
              <w:rPr>
                <w:noProof/>
                <w:webHidden/>
              </w:rPr>
              <w:fldChar w:fldCharType="end"/>
            </w:r>
          </w:hyperlink>
        </w:p>
        <w:p w14:paraId="05B1581A" w14:textId="5583CDBF"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27" w:history="1">
            <w:r w:rsidRPr="00AA531F">
              <w:rPr>
                <w:rStyle w:val="Hyperlink"/>
                <w:noProof/>
              </w:rPr>
              <w:t>Abstract</w:t>
            </w:r>
            <w:r>
              <w:rPr>
                <w:noProof/>
                <w:webHidden/>
              </w:rPr>
              <w:tab/>
            </w:r>
            <w:r>
              <w:rPr>
                <w:noProof/>
                <w:webHidden/>
              </w:rPr>
              <w:fldChar w:fldCharType="begin"/>
            </w:r>
            <w:r>
              <w:rPr>
                <w:noProof/>
                <w:webHidden/>
              </w:rPr>
              <w:instrText xml:space="preserve"> PAGEREF _Toc131682227 \h </w:instrText>
            </w:r>
            <w:r>
              <w:rPr>
                <w:noProof/>
                <w:webHidden/>
              </w:rPr>
            </w:r>
            <w:r>
              <w:rPr>
                <w:noProof/>
                <w:webHidden/>
              </w:rPr>
              <w:fldChar w:fldCharType="separate"/>
            </w:r>
            <w:r>
              <w:rPr>
                <w:noProof/>
                <w:webHidden/>
              </w:rPr>
              <w:t>4</w:t>
            </w:r>
            <w:r>
              <w:rPr>
                <w:noProof/>
                <w:webHidden/>
              </w:rPr>
              <w:fldChar w:fldCharType="end"/>
            </w:r>
          </w:hyperlink>
        </w:p>
        <w:p w14:paraId="7F8D957D" w14:textId="3FB2CAEA" w:rsidR="00C35E34" w:rsidRDefault="00C35E34">
          <w:pPr>
            <w:pStyle w:val="TOC1"/>
            <w:tabs>
              <w:tab w:val="left" w:pos="720"/>
              <w:tab w:val="right" w:leader="dot" w:pos="9016"/>
            </w:tabs>
            <w:rPr>
              <w:rFonts w:eastAsiaTheme="minorEastAsia" w:cstheme="minorBidi"/>
              <w:b w:val="0"/>
              <w:bCs w:val="0"/>
              <w:i w:val="0"/>
              <w:iCs w:val="0"/>
              <w:noProof/>
              <w:kern w:val="0"/>
              <w:lang w:eastAsia="en-GB"/>
              <w14:ligatures w14:val="none"/>
            </w:rPr>
          </w:pPr>
          <w:hyperlink w:anchor="_Toc131682228" w:history="1">
            <w:r w:rsidRPr="00AA531F">
              <w:rPr>
                <w:rStyle w:val="Hyperlink"/>
                <w:noProof/>
              </w:rPr>
              <w:t>1.0</w:t>
            </w:r>
            <w:r>
              <w:rPr>
                <w:rFonts w:eastAsiaTheme="minorEastAsia" w:cstheme="minorBidi"/>
                <w:b w:val="0"/>
                <w:bCs w:val="0"/>
                <w:i w:val="0"/>
                <w:iCs w:val="0"/>
                <w:noProof/>
                <w:kern w:val="0"/>
                <w:lang w:eastAsia="en-GB"/>
                <w14:ligatures w14:val="none"/>
              </w:rPr>
              <w:tab/>
            </w:r>
            <w:r w:rsidRPr="00AA531F">
              <w:rPr>
                <w:rStyle w:val="Hyperlink"/>
                <w:noProof/>
              </w:rPr>
              <w:t>Chapter 1: Introduction</w:t>
            </w:r>
            <w:r>
              <w:rPr>
                <w:noProof/>
                <w:webHidden/>
              </w:rPr>
              <w:tab/>
            </w:r>
            <w:r>
              <w:rPr>
                <w:noProof/>
                <w:webHidden/>
              </w:rPr>
              <w:fldChar w:fldCharType="begin"/>
            </w:r>
            <w:r>
              <w:rPr>
                <w:noProof/>
                <w:webHidden/>
              </w:rPr>
              <w:instrText xml:space="preserve"> PAGEREF _Toc131682228 \h </w:instrText>
            </w:r>
            <w:r>
              <w:rPr>
                <w:noProof/>
                <w:webHidden/>
              </w:rPr>
            </w:r>
            <w:r>
              <w:rPr>
                <w:noProof/>
                <w:webHidden/>
              </w:rPr>
              <w:fldChar w:fldCharType="separate"/>
            </w:r>
            <w:r>
              <w:rPr>
                <w:noProof/>
                <w:webHidden/>
              </w:rPr>
              <w:t>5</w:t>
            </w:r>
            <w:r>
              <w:rPr>
                <w:noProof/>
                <w:webHidden/>
              </w:rPr>
              <w:fldChar w:fldCharType="end"/>
            </w:r>
          </w:hyperlink>
        </w:p>
        <w:p w14:paraId="75ACD784" w14:textId="156B29B5"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29" w:history="1">
            <w:r w:rsidRPr="00AA531F">
              <w:rPr>
                <w:rStyle w:val="Hyperlink"/>
                <w:noProof/>
              </w:rPr>
              <w:t>1.1 Background</w:t>
            </w:r>
            <w:r>
              <w:rPr>
                <w:noProof/>
                <w:webHidden/>
              </w:rPr>
              <w:tab/>
            </w:r>
            <w:r>
              <w:rPr>
                <w:noProof/>
                <w:webHidden/>
              </w:rPr>
              <w:fldChar w:fldCharType="begin"/>
            </w:r>
            <w:r>
              <w:rPr>
                <w:noProof/>
                <w:webHidden/>
              </w:rPr>
              <w:instrText xml:space="preserve"> PAGEREF _Toc131682229 \h </w:instrText>
            </w:r>
            <w:r>
              <w:rPr>
                <w:noProof/>
                <w:webHidden/>
              </w:rPr>
            </w:r>
            <w:r>
              <w:rPr>
                <w:noProof/>
                <w:webHidden/>
              </w:rPr>
              <w:fldChar w:fldCharType="separate"/>
            </w:r>
            <w:r>
              <w:rPr>
                <w:noProof/>
                <w:webHidden/>
              </w:rPr>
              <w:t>5</w:t>
            </w:r>
            <w:r>
              <w:rPr>
                <w:noProof/>
                <w:webHidden/>
              </w:rPr>
              <w:fldChar w:fldCharType="end"/>
            </w:r>
          </w:hyperlink>
        </w:p>
        <w:p w14:paraId="02D4CD95" w14:textId="4A42C46E"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0" w:history="1">
            <w:r w:rsidRPr="00AA531F">
              <w:rPr>
                <w:rStyle w:val="Hyperlink"/>
                <w:noProof/>
              </w:rPr>
              <w:t>1.2 Rationale for this Study</w:t>
            </w:r>
            <w:r>
              <w:rPr>
                <w:noProof/>
                <w:webHidden/>
              </w:rPr>
              <w:tab/>
            </w:r>
            <w:r>
              <w:rPr>
                <w:noProof/>
                <w:webHidden/>
              </w:rPr>
              <w:fldChar w:fldCharType="begin"/>
            </w:r>
            <w:r>
              <w:rPr>
                <w:noProof/>
                <w:webHidden/>
              </w:rPr>
              <w:instrText xml:space="preserve"> PAGEREF _Toc131682230 \h </w:instrText>
            </w:r>
            <w:r>
              <w:rPr>
                <w:noProof/>
                <w:webHidden/>
              </w:rPr>
            </w:r>
            <w:r>
              <w:rPr>
                <w:noProof/>
                <w:webHidden/>
              </w:rPr>
              <w:fldChar w:fldCharType="separate"/>
            </w:r>
            <w:r>
              <w:rPr>
                <w:noProof/>
                <w:webHidden/>
              </w:rPr>
              <w:t>5</w:t>
            </w:r>
            <w:r>
              <w:rPr>
                <w:noProof/>
                <w:webHidden/>
              </w:rPr>
              <w:fldChar w:fldCharType="end"/>
            </w:r>
          </w:hyperlink>
        </w:p>
        <w:p w14:paraId="38DF6C86" w14:textId="3A1917ED"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1" w:history="1">
            <w:r w:rsidRPr="00AA531F">
              <w:rPr>
                <w:rStyle w:val="Hyperlink"/>
                <w:noProof/>
              </w:rPr>
              <w:t>1.3 Sustainable Education in Wales</w:t>
            </w:r>
            <w:r>
              <w:rPr>
                <w:noProof/>
                <w:webHidden/>
              </w:rPr>
              <w:tab/>
            </w:r>
            <w:r>
              <w:rPr>
                <w:noProof/>
                <w:webHidden/>
              </w:rPr>
              <w:fldChar w:fldCharType="begin"/>
            </w:r>
            <w:r>
              <w:rPr>
                <w:noProof/>
                <w:webHidden/>
              </w:rPr>
              <w:instrText xml:space="preserve"> PAGEREF _Toc131682231 \h </w:instrText>
            </w:r>
            <w:r>
              <w:rPr>
                <w:noProof/>
                <w:webHidden/>
              </w:rPr>
            </w:r>
            <w:r>
              <w:rPr>
                <w:noProof/>
                <w:webHidden/>
              </w:rPr>
              <w:fldChar w:fldCharType="separate"/>
            </w:r>
            <w:r>
              <w:rPr>
                <w:noProof/>
                <w:webHidden/>
              </w:rPr>
              <w:t>6</w:t>
            </w:r>
            <w:r>
              <w:rPr>
                <w:noProof/>
                <w:webHidden/>
              </w:rPr>
              <w:fldChar w:fldCharType="end"/>
            </w:r>
          </w:hyperlink>
        </w:p>
        <w:p w14:paraId="6E532EA4" w14:textId="731C33AF"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32" w:history="1">
            <w:r w:rsidRPr="00AA531F">
              <w:rPr>
                <w:rStyle w:val="Hyperlink"/>
                <w:noProof/>
              </w:rPr>
              <w:t>2.0 Chapter 2: Literature Review</w:t>
            </w:r>
            <w:r>
              <w:rPr>
                <w:noProof/>
                <w:webHidden/>
              </w:rPr>
              <w:tab/>
            </w:r>
            <w:r>
              <w:rPr>
                <w:noProof/>
                <w:webHidden/>
              </w:rPr>
              <w:fldChar w:fldCharType="begin"/>
            </w:r>
            <w:r>
              <w:rPr>
                <w:noProof/>
                <w:webHidden/>
              </w:rPr>
              <w:instrText xml:space="preserve"> PAGEREF _Toc131682232 \h </w:instrText>
            </w:r>
            <w:r>
              <w:rPr>
                <w:noProof/>
                <w:webHidden/>
              </w:rPr>
            </w:r>
            <w:r>
              <w:rPr>
                <w:noProof/>
                <w:webHidden/>
              </w:rPr>
              <w:fldChar w:fldCharType="separate"/>
            </w:r>
            <w:r>
              <w:rPr>
                <w:noProof/>
                <w:webHidden/>
              </w:rPr>
              <w:t>11</w:t>
            </w:r>
            <w:r>
              <w:rPr>
                <w:noProof/>
                <w:webHidden/>
              </w:rPr>
              <w:fldChar w:fldCharType="end"/>
            </w:r>
          </w:hyperlink>
        </w:p>
        <w:p w14:paraId="083131E2" w14:textId="0DB5FC26"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3" w:history="1">
            <w:r w:rsidRPr="00AA531F">
              <w:rPr>
                <w:rStyle w:val="Hyperlink"/>
                <w:noProof/>
              </w:rPr>
              <w:t>2.1 Education for the Environment</w:t>
            </w:r>
            <w:r>
              <w:rPr>
                <w:noProof/>
                <w:webHidden/>
              </w:rPr>
              <w:tab/>
            </w:r>
            <w:r>
              <w:rPr>
                <w:noProof/>
                <w:webHidden/>
              </w:rPr>
              <w:fldChar w:fldCharType="begin"/>
            </w:r>
            <w:r>
              <w:rPr>
                <w:noProof/>
                <w:webHidden/>
              </w:rPr>
              <w:instrText xml:space="preserve"> PAGEREF _Toc131682233 \h </w:instrText>
            </w:r>
            <w:r>
              <w:rPr>
                <w:noProof/>
                <w:webHidden/>
              </w:rPr>
            </w:r>
            <w:r>
              <w:rPr>
                <w:noProof/>
                <w:webHidden/>
              </w:rPr>
              <w:fldChar w:fldCharType="separate"/>
            </w:r>
            <w:r>
              <w:rPr>
                <w:noProof/>
                <w:webHidden/>
              </w:rPr>
              <w:t>11</w:t>
            </w:r>
            <w:r>
              <w:rPr>
                <w:noProof/>
                <w:webHidden/>
              </w:rPr>
              <w:fldChar w:fldCharType="end"/>
            </w:r>
          </w:hyperlink>
        </w:p>
        <w:p w14:paraId="62535895" w14:textId="09007A2A"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4" w:history="1">
            <w:r w:rsidRPr="00AA531F">
              <w:rPr>
                <w:rStyle w:val="Hyperlink"/>
                <w:noProof/>
              </w:rPr>
              <w:t>2.2 Curriculum Reform</w:t>
            </w:r>
            <w:r>
              <w:rPr>
                <w:noProof/>
                <w:webHidden/>
              </w:rPr>
              <w:tab/>
            </w:r>
            <w:r>
              <w:rPr>
                <w:noProof/>
                <w:webHidden/>
              </w:rPr>
              <w:fldChar w:fldCharType="begin"/>
            </w:r>
            <w:r>
              <w:rPr>
                <w:noProof/>
                <w:webHidden/>
              </w:rPr>
              <w:instrText xml:space="preserve"> PAGEREF _Toc131682234 \h </w:instrText>
            </w:r>
            <w:r>
              <w:rPr>
                <w:noProof/>
                <w:webHidden/>
              </w:rPr>
            </w:r>
            <w:r>
              <w:rPr>
                <w:noProof/>
                <w:webHidden/>
              </w:rPr>
              <w:fldChar w:fldCharType="separate"/>
            </w:r>
            <w:r>
              <w:rPr>
                <w:noProof/>
                <w:webHidden/>
              </w:rPr>
              <w:t>13</w:t>
            </w:r>
            <w:r>
              <w:rPr>
                <w:noProof/>
                <w:webHidden/>
              </w:rPr>
              <w:fldChar w:fldCharType="end"/>
            </w:r>
          </w:hyperlink>
        </w:p>
        <w:p w14:paraId="327A2FC9" w14:textId="5AF77A41"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5" w:history="1">
            <w:r w:rsidRPr="00AA531F">
              <w:rPr>
                <w:rStyle w:val="Hyperlink"/>
                <w:noProof/>
              </w:rPr>
              <w:t>2.3 Curriculum Development</w:t>
            </w:r>
            <w:r>
              <w:rPr>
                <w:noProof/>
                <w:webHidden/>
              </w:rPr>
              <w:tab/>
            </w:r>
            <w:r>
              <w:rPr>
                <w:noProof/>
                <w:webHidden/>
              </w:rPr>
              <w:fldChar w:fldCharType="begin"/>
            </w:r>
            <w:r>
              <w:rPr>
                <w:noProof/>
                <w:webHidden/>
              </w:rPr>
              <w:instrText xml:space="preserve"> PAGEREF _Toc131682235 \h </w:instrText>
            </w:r>
            <w:r>
              <w:rPr>
                <w:noProof/>
                <w:webHidden/>
              </w:rPr>
            </w:r>
            <w:r>
              <w:rPr>
                <w:noProof/>
                <w:webHidden/>
              </w:rPr>
              <w:fldChar w:fldCharType="separate"/>
            </w:r>
            <w:r>
              <w:rPr>
                <w:noProof/>
                <w:webHidden/>
              </w:rPr>
              <w:t>16</w:t>
            </w:r>
            <w:r>
              <w:rPr>
                <w:noProof/>
                <w:webHidden/>
              </w:rPr>
              <w:fldChar w:fldCharType="end"/>
            </w:r>
          </w:hyperlink>
        </w:p>
        <w:p w14:paraId="1487FBD4" w14:textId="27861C44"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6" w:history="1">
            <w:r w:rsidRPr="00AA531F">
              <w:rPr>
                <w:rStyle w:val="Hyperlink"/>
                <w:noProof/>
              </w:rPr>
              <w:t>2.4 Curriculum Implementation</w:t>
            </w:r>
            <w:r>
              <w:rPr>
                <w:noProof/>
                <w:webHidden/>
              </w:rPr>
              <w:tab/>
            </w:r>
            <w:r>
              <w:rPr>
                <w:noProof/>
                <w:webHidden/>
              </w:rPr>
              <w:fldChar w:fldCharType="begin"/>
            </w:r>
            <w:r>
              <w:rPr>
                <w:noProof/>
                <w:webHidden/>
              </w:rPr>
              <w:instrText xml:space="preserve"> PAGEREF _Toc131682236 \h </w:instrText>
            </w:r>
            <w:r>
              <w:rPr>
                <w:noProof/>
                <w:webHidden/>
              </w:rPr>
            </w:r>
            <w:r>
              <w:rPr>
                <w:noProof/>
                <w:webHidden/>
              </w:rPr>
              <w:fldChar w:fldCharType="separate"/>
            </w:r>
            <w:r>
              <w:rPr>
                <w:noProof/>
                <w:webHidden/>
              </w:rPr>
              <w:t>20</w:t>
            </w:r>
            <w:r>
              <w:rPr>
                <w:noProof/>
                <w:webHidden/>
              </w:rPr>
              <w:fldChar w:fldCharType="end"/>
            </w:r>
          </w:hyperlink>
        </w:p>
        <w:p w14:paraId="3FD4A445" w14:textId="0733DE73"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37" w:history="1">
            <w:r w:rsidRPr="00AA531F">
              <w:rPr>
                <w:rStyle w:val="Hyperlink"/>
                <w:noProof/>
              </w:rPr>
              <w:t>3.0 Chapter 3: Methodology</w:t>
            </w:r>
            <w:r>
              <w:rPr>
                <w:noProof/>
                <w:webHidden/>
              </w:rPr>
              <w:tab/>
            </w:r>
            <w:r>
              <w:rPr>
                <w:noProof/>
                <w:webHidden/>
              </w:rPr>
              <w:fldChar w:fldCharType="begin"/>
            </w:r>
            <w:r>
              <w:rPr>
                <w:noProof/>
                <w:webHidden/>
              </w:rPr>
              <w:instrText xml:space="preserve"> PAGEREF _Toc131682237 \h </w:instrText>
            </w:r>
            <w:r>
              <w:rPr>
                <w:noProof/>
                <w:webHidden/>
              </w:rPr>
            </w:r>
            <w:r>
              <w:rPr>
                <w:noProof/>
                <w:webHidden/>
              </w:rPr>
              <w:fldChar w:fldCharType="separate"/>
            </w:r>
            <w:r>
              <w:rPr>
                <w:noProof/>
                <w:webHidden/>
              </w:rPr>
              <w:t>25</w:t>
            </w:r>
            <w:r>
              <w:rPr>
                <w:noProof/>
                <w:webHidden/>
              </w:rPr>
              <w:fldChar w:fldCharType="end"/>
            </w:r>
          </w:hyperlink>
        </w:p>
        <w:p w14:paraId="5BAEC401" w14:textId="7697C21F"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8" w:history="1">
            <w:r w:rsidRPr="00AA531F">
              <w:rPr>
                <w:rStyle w:val="Hyperlink"/>
                <w:noProof/>
              </w:rPr>
              <w:t>3.1 Background Information</w:t>
            </w:r>
            <w:r>
              <w:rPr>
                <w:noProof/>
                <w:webHidden/>
              </w:rPr>
              <w:tab/>
            </w:r>
            <w:r>
              <w:rPr>
                <w:noProof/>
                <w:webHidden/>
              </w:rPr>
              <w:fldChar w:fldCharType="begin"/>
            </w:r>
            <w:r>
              <w:rPr>
                <w:noProof/>
                <w:webHidden/>
              </w:rPr>
              <w:instrText xml:space="preserve"> PAGEREF _Toc131682238 \h </w:instrText>
            </w:r>
            <w:r>
              <w:rPr>
                <w:noProof/>
                <w:webHidden/>
              </w:rPr>
            </w:r>
            <w:r>
              <w:rPr>
                <w:noProof/>
                <w:webHidden/>
              </w:rPr>
              <w:fldChar w:fldCharType="separate"/>
            </w:r>
            <w:r>
              <w:rPr>
                <w:noProof/>
                <w:webHidden/>
              </w:rPr>
              <w:t>25</w:t>
            </w:r>
            <w:r>
              <w:rPr>
                <w:noProof/>
                <w:webHidden/>
              </w:rPr>
              <w:fldChar w:fldCharType="end"/>
            </w:r>
          </w:hyperlink>
        </w:p>
        <w:p w14:paraId="5AA24B81" w14:textId="01C4E98F"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39" w:history="1">
            <w:r w:rsidRPr="00AA531F">
              <w:rPr>
                <w:rStyle w:val="Hyperlink"/>
                <w:noProof/>
              </w:rPr>
              <w:t>3.2 Curriculum Design</w:t>
            </w:r>
            <w:r>
              <w:rPr>
                <w:noProof/>
                <w:webHidden/>
              </w:rPr>
              <w:tab/>
            </w:r>
            <w:r>
              <w:rPr>
                <w:noProof/>
                <w:webHidden/>
              </w:rPr>
              <w:fldChar w:fldCharType="begin"/>
            </w:r>
            <w:r>
              <w:rPr>
                <w:noProof/>
                <w:webHidden/>
              </w:rPr>
              <w:instrText xml:space="preserve"> PAGEREF _Toc131682239 \h </w:instrText>
            </w:r>
            <w:r>
              <w:rPr>
                <w:noProof/>
                <w:webHidden/>
              </w:rPr>
            </w:r>
            <w:r>
              <w:rPr>
                <w:noProof/>
                <w:webHidden/>
              </w:rPr>
              <w:fldChar w:fldCharType="separate"/>
            </w:r>
            <w:r>
              <w:rPr>
                <w:noProof/>
                <w:webHidden/>
              </w:rPr>
              <w:t>26</w:t>
            </w:r>
            <w:r>
              <w:rPr>
                <w:noProof/>
                <w:webHidden/>
              </w:rPr>
              <w:fldChar w:fldCharType="end"/>
            </w:r>
          </w:hyperlink>
        </w:p>
        <w:p w14:paraId="1F377858" w14:textId="694D8227"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40" w:history="1">
            <w:r w:rsidRPr="00AA531F">
              <w:rPr>
                <w:rStyle w:val="Hyperlink"/>
                <w:noProof/>
              </w:rPr>
              <w:t>3.3 Context for this Study</w:t>
            </w:r>
            <w:r>
              <w:rPr>
                <w:noProof/>
                <w:webHidden/>
              </w:rPr>
              <w:tab/>
            </w:r>
            <w:r>
              <w:rPr>
                <w:noProof/>
                <w:webHidden/>
              </w:rPr>
              <w:fldChar w:fldCharType="begin"/>
            </w:r>
            <w:r>
              <w:rPr>
                <w:noProof/>
                <w:webHidden/>
              </w:rPr>
              <w:instrText xml:space="preserve"> PAGEREF _Toc131682240 \h </w:instrText>
            </w:r>
            <w:r>
              <w:rPr>
                <w:noProof/>
                <w:webHidden/>
              </w:rPr>
            </w:r>
            <w:r>
              <w:rPr>
                <w:noProof/>
                <w:webHidden/>
              </w:rPr>
              <w:fldChar w:fldCharType="separate"/>
            </w:r>
            <w:r>
              <w:rPr>
                <w:noProof/>
                <w:webHidden/>
              </w:rPr>
              <w:t>27</w:t>
            </w:r>
            <w:r>
              <w:rPr>
                <w:noProof/>
                <w:webHidden/>
              </w:rPr>
              <w:fldChar w:fldCharType="end"/>
            </w:r>
          </w:hyperlink>
        </w:p>
        <w:p w14:paraId="2E1091B3" w14:textId="3CCB329A"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41" w:history="1">
            <w:r w:rsidRPr="00AA531F">
              <w:rPr>
                <w:rStyle w:val="Hyperlink"/>
                <w:noProof/>
              </w:rPr>
              <w:t>3.4 New Curriculum Development</w:t>
            </w:r>
            <w:r>
              <w:rPr>
                <w:noProof/>
                <w:webHidden/>
              </w:rPr>
              <w:tab/>
            </w:r>
            <w:r>
              <w:rPr>
                <w:noProof/>
                <w:webHidden/>
              </w:rPr>
              <w:fldChar w:fldCharType="begin"/>
            </w:r>
            <w:r>
              <w:rPr>
                <w:noProof/>
                <w:webHidden/>
              </w:rPr>
              <w:instrText xml:space="preserve"> PAGEREF _Toc131682241 \h </w:instrText>
            </w:r>
            <w:r>
              <w:rPr>
                <w:noProof/>
                <w:webHidden/>
              </w:rPr>
            </w:r>
            <w:r>
              <w:rPr>
                <w:noProof/>
                <w:webHidden/>
              </w:rPr>
              <w:fldChar w:fldCharType="separate"/>
            </w:r>
            <w:r>
              <w:rPr>
                <w:noProof/>
                <w:webHidden/>
              </w:rPr>
              <w:t>28</w:t>
            </w:r>
            <w:r>
              <w:rPr>
                <w:noProof/>
                <w:webHidden/>
              </w:rPr>
              <w:fldChar w:fldCharType="end"/>
            </w:r>
          </w:hyperlink>
        </w:p>
        <w:p w14:paraId="4CB24FAD" w14:textId="5C20B856"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42" w:history="1">
            <w:r w:rsidRPr="00AA531F">
              <w:rPr>
                <w:rStyle w:val="Hyperlink"/>
                <w:noProof/>
              </w:rPr>
              <w:t>3.5 Areas of Learning Experience</w:t>
            </w:r>
            <w:r>
              <w:rPr>
                <w:noProof/>
                <w:webHidden/>
              </w:rPr>
              <w:tab/>
            </w:r>
            <w:r>
              <w:rPr>
                <w:noProof/>
                <w:webHidden/>
              </w:rPr>
              <w:fldChar w:fldCharType="begin"/>
            </w:r>
            <w:r>
              <w:rPr>
                <w:noProof/>
                <w:webHidden/>
              </w:rPr>
              <w:instrText xml:space="preserve"> PAGEREF _Toc131682242 \h </w:instrText>
            </w:r>
            <w:r>
              <w:rPr>
                <w:noProof/>
                <w:webHidden/>
              </w:rPr>
            </w:r>
            <w:r>
              <w:rPr>
                <w:noProof/>
                <w:webHidden/>
              </w:rPr>
              <w:fldChar w:fldCharType="separate"/>
            </w:r>
            <w:r>
              <w:rPr>
                <w:noProof/>
                <w:webHidden/>
              </w:rPr>
              <w:t>30</w:t>
            </w:r>
            <w:r>
              <w:rPr>
                <w:noProof/>
                <w:webHidden/>
              </w:rPr>
              <w:fldChar w:fldCharType="end"/>
            </w:r>
          </w:hyperlink>
        </w:p>
        <w:p w14:paraId="6FA77CE8" w14:textId="0B3CD6B1"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43" w:history="1">
            <w:r w:rsidRPr="00AA531F">
              <w:rPr>
                <w:rStyle w:val="Hyperlink"/>
                <w:noProof/>
              </w:rPr>
              <w:t>3.6 Potential Barriers and Constraints</w:t>
            </w:r>
            <w:r>
              <w:rPr>
                <w:noProof/>
                <w:webHidden/>
              </w:rPr>
              <w:tab/>
            </w:r>
            <w:r>
              <w:rPr>
                <w:noProof/>
                <w:webHidden/>
              </w:rPr>
              <w:fldChar w:fldCharType="begin"/>
            </w:r>
            <w:r>
              <w:rPr>
                <w:noProof/>
                <w:webHidden/>
              </w:rPr>
              <w:instrText xml:space="preserve"> PAGEREF _Toc131682243 \h </w:instrText>
            </w:r>
            <w:r>
              <w:rPr>
                <w:noProof/>
                <w:webHidden/>
              </w:rPr>
            </w:r>
            <w:r>
              <w:rPr>
                <w:noProof/>
                <w:webHidden/>
              </w:rPr>
              <w:fldChar w:fldCharType="separate"/>
            </w:r>
            <w:r>
              <w:rPr>
                <w:noProof/>
                <w:webHidden/>
              </w:rPr>
              <w:t>31</w:t>
            </w:r>
            <w:r>
              <w:rPr>
                <w:noProof/>
                <w:webHidden/>
              </w:rPr>
              <w:fldChar w:fldCharType="end"/>
            </w:r>
          </w:hyperlink>
        </w:p>
        <w:p w14:paraId="076FC10D" w14:textId="787FE610" w:rsidR="00C35E34" w:rsidRDefault="00C35E34">
          <w:pPr>
            <w:pStyle w:val="TOC2"/>
            <w:tabs>
              <w:tab w:val="right" w:leader="dot" w:pos="9016"/>
            </w:tabs>
            <w:rPr>
              <w:rFonts w:eastAsiaTheme="minorEastAsia" w:cstheme="minorBidi"/>
              <w:b w:val="0"/>
              <w:bCs w:val="0"/>
              <w:noProof/>
              <w:kern w:val="0"/>
              <w:sz w:val="24"/>
              <w:szCs w:val="24"/>
              <w:lang w:eastAsia="en-GB"/>
              <w14:ligatures w14:val="none"/>
            </w:rPr>
          </w:pPr>
          <w:hyperlink w:anchor="_Toc131682244" w:history="1">
            <w:r w:rsidRPr="00AA531F">
              <w:rPr>
                <w:rStyle w:val="Hyperlink"/>
                <w:noProof/>
              </w:rPr>
              <w:t>3.7 Summary</w:t>
            </w:r>
            <w:r>
              <w:rPr>
                <w:noProof/>
                <w:webHidden/>
              </w:rPr>
              <w:tab/>
            </w:r>
            <w:r>
              <w:rPr>
                <w:noProof/>
                <w:webHidden/>
              </w:rPr>
              <w:fldChar w:fldCharType="begin"/>
            </w:r>
            <w:r>
              <w:rPr>
                <w:noProof/>
                <w:webHidden/>
              </w:rPr>
              <w:instrText xml:space="preserve"> PAGEREF _Toc131682244 \h </w:instrText>
            </w:r>
            <w:r>
              <w:rPr>
                <w:noProof/>
                <w:webHidden/>
              </w:rPr>
            </w:r>
            <w:r>
              <w:rPr>
                <w:noProof/>
                <w:webHidden/>
              </w:rPr>
              <w:fldChar w:fldCharType="separate"/>
            </w:r>
            <w:r>
              <w:rPr>
                <w:noProof/>
                <w:webHidden/>
              </w:rPr>
              <w:t>32</w:t>
            </w:r>
            <w:r>
              <w:rPr>
                <w:noProof/>
                <w:webHidden/>
              </w:rPr>
              <w:fldChar w:fldCharType="end"/>
            </w:r>
          </w:hyperlink>
        </w:p>
        <w:p w14:paraId="654DD16F" w14:textId="7A45D99B"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45" w:history="1">
            <w:r w:rsidRPr="00AA531F">
              <w:rPr>
                <w:rStyle w:val="Hyperlink"/>
                <w:noProof/>
              </w:rPr>
              <w:t>4.0 Chapter 4: Results</w:t>
            </w:r>
            <w:r>
              <w:rPr>
                <w:noProof/>
                <w:webHidden/>
              </w:rPr>
              <w:tab/>
            </w:r>
            <w:r>
              <w:rPr>
                <w:noProof/>
                <w:webHidden/>
              </w:rPr>
              <w:fldChar w:fldCharType="begin"/>
            </w:r>
            <w:r>
              <w:rPr>
                <w:noProof/>
                <w:webHidden/>
              </w:rPr>
              <w:instrText xml:space="preserve"> PAGEREF _Toc131682245 \h </w:instrText>
            </w:r>
            <w:r>
              <w:rPr>
                <w:noProof/>
                <w:webHidden/>
              </w:rPr>
            </w:r>
            <w:r>
              <w:rPr>
                <w:noProof/>
                <w:webHidden/>
              </w:rPr>
              <w:fldChar w:fldCharType="separate"/>
            </w:r>
            <w:r>
              <w:rPr>
                <w:noProof/>
                <w:webHidden/>
              </w:rPr>
              <w:t>34</w:t>
            </w:r>
            <w:r>
              <w:rPr>
                <w:noProof/>
                <w:webHidden/>
              </w:rPr>
              <w:fldChar w:fldCharType="end"/>
            </w:r>
          </w:hyperlink>
        </w:p>
        <w:p w14:paraId="756874A0" w14:textId="5DCE1527"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46" w:history="1">
            <w:r w:rsidRPr="00AA531F">
              <w:rPr>
                <w:rStyle w:val="Hyperlink"/>
                <w:noProof/>
              </w:rPr>
              <w:t>5.0 Chapter 5: Evaluation and Next Steps</w:t>
            </w:r>
            <w:r>
              <w:rPr>
                <w:noProof/>
                <w:webHidden/>
              </w:rPr>
              <w:tab/>
            </w:r>
            <w:r>
              <w:rPr>
                <w:noProof/>
                <w:webHidden/>
              </w:rPr>
              <w:fldChar w:fldCharType="begin"/>
            </w:r>
            <w:r>
              <w:rPr>
                <w:noProof/>
                <w:webHidden/>
              </w:rPr>
              <w:instrText xml:space="preserve"> PAGEREF _Toc131682246 \h </w:instrText>
            </w:r>
            <w:r>
              <w:rPr>
                <w:noProof/>
                <w:webHidden/>
              </w:rPr>
            </w:r>
            <w:r>
              <w:rPr>
                <w:noProof/>
                <w:webHidden/>
              </w:rPr>
              <w:fldChar w:fldCharType="separate"/>
            </w:r>
            <w:r>
              <w:rPr>
                <w:noProof/>
                <w:webHidden/>
              </w:rPr>
              <w:t>41</w:t>
            </w:r>
            <w:r>
              <w:rPr>
                <w:noProof/>
                <w:webHidden/>
              </w:rPr>
              <w:fldChar w:fldCharType="end"/>
            </w:r>
          </w:hyperlink>
        </w:p>
        <w:p w14:paraId="434F0E25" w14:textId="5101803A"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47" w:history="1">
            <w:r w:rsidRPr="00AA531F">
              <w:rPr>
                <w:rStyle w:val="Hyperlink"/>
                <w:noProof/>
              </w:rPr>
              <w:t>6.0 Chapter 6: Conclusion</w:t>
            </w:r>
            <w:r>
              <w:rPr>
                <w:noProof/>
                <w:webHidden/>
              </w:rPr>
              <w:tab/>
            </w:r>
            <w:r>
              <w:rPr>
                <w:noProof/>
                <w:webHidden/>
              </w:rPr>
              <w:fldChar w:fldCharType="begin"/>
            </w:r>
            <w:r>
              <w:rPr>
                <w:noProof/>
                <w:webHidden/>
              </w:rPr>
              <w:instrText xml:space="preserve"> PAGEREF _Toc131682247 \h </w:instrText>
            </w:r>
            <w:r>
              <w:rPr>
                <w:noProof/>
                <w:webHidden/>
              </w:rPr>
            </w:r>
            <w:r>
              <w:rPr>
                <w:noProof/>
                <w:webHidden/>
              </w:rPr>
              <w:fldChar w:fldCharType="separate"/>
            </w:r>
            <w:r>
              <w:rPr>
                <w:noProof/>
                <w:webHidden/>
              </w:rPr>
              <w:t>47</w:t>
            </w:r>
            <w:r>
              <w:rPr>
                <w:noProof/>
                <w:webHidden/>
              </w:rPr>
              <w:fldChar w:fldCharType="end"/>
            </w:r>
          </w:hyperlink>
        </w:p>
        <w:p w14:paraId="4ADE6A32" w14:textId="554D85AE"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48" w:history="1">
            <w:r w:rsidRPr="00AA531F">
              <w:rPr>
                <w:rStyle w:val="Hyperlink"/>
                <w:noProof/>
              </w:rPr>
              <w:t>References</w:t>
            </w:r>
            <w:r>
              <w:rPr>
                <w:noProof/>
                <w:webHidden/>
              </w:rPr>
              <w:tab/>
            </w:r>
            <w:r>
              <w:rPr>
                <w:noProof/>
                <w:webHidden/>
              </w:rPr>
              <w:fldChar w:fldCharType="begin"/>
            </w:r>
            <w:r>
              <w:rPr>
                <w:noProof/>
                <w:webHidden/>
              </w:rPr>
              <w:instrText xml:space="preserve"> PAGEREF _Toc131682248 \h </w:instrText>
            </w:r>
            <w:r>
              <w:rPr>
                <w:noProof/>
                <w:webHidden/>
              </w:rPr>
            </w:r>
            <w:r>
              <w:rPr>
                <w:noProof/>
                <w:webHidden/>
              </w:rPr>
              <w:fldChar w:fldCharType="separate"/>
            </w:r>
            <w:r>
              <w:rPr>
                <w:noProof/>
                <w:webHidden/>
              </w:rPr>
              <w:t>48</w:t>
            </w:r>
            <w:r>
              <w:rPr>
                <w:noProof/>
                <w:webHidden/>
              </w:rPr>
              <w:fldChar w:fldCharType="end"/>
            </w:r>
          </w:hyperlink>
        </w:p>
        <w:p w14:paraId="519CE850" w14:textId="74BBE756" w:rsidR="00C35E34" w:rsidRDefault="00C35E34">
          <w:pPr>
            <w:pStyle w:val="TOC1"/>
            <w:tabs>
              <w:tab w:val="right" w:leader="dot" w:pos="9016"/>
            </w:tabs>
            <w:rPr>
              <w:rFonts w:eastAsiaTheme="minorEastAsia" w:cstheme="minorBidi"/>
              <w:b w:val="0"/>
              <w:bCs w:val="0"/>
              <w:i w:val="0"/>
              <w:iCs w:val="0"/>
              <w:noProof/>
              <w:kern w:val="0"/>
              <w:lang w:eastAsia="en-GB"/>
              <w14:ligatures w14:val="none"/>
            </w:rPr>
          </w:pPr>
          <w:hyperlink w:anchor="_Toc131682249" w:history="1">
            <w:r w:rsidRPr="00AA531F">
              <w:rPr>
                <w:rStyle w:val="Hyperlink"/>
                <w:noProof/>
              </w:rPr>
              <w:t>Bibliography</w:t>
            </w:r>
            <w:r>
              <w:rPr>
                <w:noProof/>
                <w:webHidden/>
              </w:rPr>
              <w:tab/>
            </w:r>
            <w:r>
              <w:rPr>
                <w:noProof/>
                <w:webHidden/>
              </w:rPr>
              <w:fldChar w:fldCharType="begin"/>
            </w:r>
            <w:r>
              <w:rPr>
                <w:noProof/>
                <w:webHidden/>
              </w:rPr>
              <w:instrText xml:space="preserve"> PAGEREF _Toc131682249 \h </w:instrText>
            </w:r>
            <w:r>
              <w:rPr>
                <w:noProof/>
                <w:webHidden/>
              </w:rPr>
            </w:r>
            <w:r>
              <w:rPr>
                <w:noProof/>
                <w:webHidden/>
              </w:rPr>
              <w:fldChar w:fldCharType="separate"/>
            </w:r>
            <w:r>
              <w:rPr>
                <w:noProof/>
                <w:webHidden/>
              </w:rPr>
              <w:t>58</w:t>
            </w:r>
            <w:r>
              <w:rPr>
                <w:noProof/>
                <w:webHidden/>
              </w:rPr>
              <w:fldChar w:fldCharType="end"/>
            </w:r>
          </w:hyperlink>
        </w:p>
        <w:p w14:paraId="25A9D28F" w14:textId="0B893156" w:rsidR="00FB2FFD" w:rsidRDefault="00FB2FFD">
          <w:r>
            <w:rPr>
              <w:b/>
              <w:bCs/>
              <w:noProof/>
            </w:rPr>
            <w:fldChar w:fldCharType="end"/>
          </w:r>
        </w:p>
      </w:sdtContent>
    </w:sdt>
    <w:p w14:paraId="79BF5C22" w14:textId="3D3E6A7B" w:rsidR="00114BDA" w:rsidRDefault="00114BDA"/>
    <w:p w14:paraId="1E87BA57" w14:textId="58046449" w:rsidR="00114BDA" w:rsidRDefault="00114BDA"/>
    <w:p w14:paraId="3B8825B4" w14:textId="711B346B" w:rsidR="00114BDA" w:rsidRDefault="00114BDA"/>
    <w:p w14:paraId="3BB6D865" w14:textId="70986757" w:rsidR="00114BDA" w:rsidRDefault="00114BDA"/>
    <w:p w14:paraId="21C16DD7" w14:textId="149FA70D" w:rsidR="00114BDA" w:rsidRDefault="00114BDA"/>
    <w:p w14:paraId="4BD85E4F" w14:textId="46A6EC91" w:rsidR="00114BDA" w:rsidRDefault="00114BDA"/>
    <w:p w14:paraId="0CCE57C9" w14:textId="630A7D14" w:rsidR="00114BDA" w:rsidRDefault="00114BDA"/>
    <w:p w14:paraId="246D57E9" w14:textId="11D251DA" w:rsidR="00114BDA" w:rsidRDefault="00114BDA"/>
    <w:p w14:paraId="1F9935C6" w14:textId="53B0C173" w:rsidR="00114BDA" w:rsidRDefault="00114BDA"/>
    <w:p w14:paraId="7C3B3D7B" w14:textId="77777777" w:rsidR="009B362B" w:rsidRPr="006E1A0B" w:rsidRDefault="009B362B" w:rsidP="009B362B">
      <w:pPr>
        <w:rPr>
          <w:b/>
        </w:rPr>
      </w:pPr>
      <w:bookmarkStart w:id="1" w:name="_Toc131682226"/>
      <w:r w:rsidRPr="006E1A0B">
        <w:rPr>
          <w:b/>
        </w:rPr>
        <w:lastRenderedPageBreak/>
        <w:t>Author’s  Declaration</w:t>
      </w:r>
    </w:p>
    <w:p w14:paraId="07B29A23" w14:textId="77777777" w:rsidR="009B362B" w:rsidRPr="006E1A0B" w:rsidRDefault="009B362B" w:rsidP="009B362B">
      <w:pPr>
        <w:rPr>
          <w:b/>
        </w:rPr>
      </w:pPr>
    </w:p>
    <w:p w14:paraId="69CFED54" w14:textId="77777777" w:rsidR="009B362B" w:rsidRPr="006E1A0B" w:rsidRDefault="009B362B" w:rsidP="009B362B">
      <w:r w:rsidRPr="006E1A0B">
        <w:t xml:space="preserve">I declare that the work in this dissertation was carried out in accordance with the regulations of </w:t>
      </w:r>
      <w:r>
        <w:t>UWTSD</w:t>
      </w:r>
      <w:r w:rsidRPr="006E1A0B">
        <w:t xml:space="preserve">.  The work is original except </w:t>
      </w:r>
      <w:proofErr w:type="gramStart"/>
      <w:r w:rsidRPr="006E1A0B">
        <w:t>where</w:t>
      </w:r>
      <w:proofErr w:type="gramEnd"/>
      <w:r w:rsidRPr="006E1A0B">
        <w:t xml:space="preserve"> indicated by special references in the text and no part of the dissertation has been submitted for any other degree.</w:t>
      </w:r>
    </w:p>
    <w:p w14:paraId="68D0ADB1" w14:textId="77777777" w:rsidR="009B362B" w:rsidRPr="006E1A0B" w:rsidRDefault="009B362B" w:rsidP="009B362B"/>
    <w:p w14:paraId="28A45B02" w14:textId="77777777" w:rsidR="009B362B" w:rsidRPr="006E1A0B" w:rsidRDefault="009B362B" w:rsidP="009B362B">
      <w:r w:rsidRPr="006E1A0B">
        <w:t xml:space="preserve">Any views expressed in the dissertation are those of the author and in no way represent those of the </w:t>
      </w:r>
      <w:r>
        <w:t>UWTSD</w:t>
      </w:r>
      <w:r w:rsidRPr="006E1A0B">
        <w:t>.</w:t>
      </w:r>
    </w:p>
    <w:p w14:paraId="4444314B" w14:textId="77777777" w:rsidR="009B362B" w:rsidRPr="006E1A0B" w:rsidRDefault="009B362B" w:rsidP="009B362B"/>
    <w:p w14:paraId="0723F4B9" w14:textId="77777777" w:rsidR="009B362B" w:rsidRPr="006E1A0B" w:rsidRDefault="009B362B" w:rsidP="009B362B">
      <w:r w:rsidRPr="006E1A0B">
        <w:t>The dissertation has not been presented to any other University for examination either in the United Kingdom or overseas.</w:t>
      </w:r>
    </w:p>
    <w:p w14:paraId="097014F5" w14:textId="77777777" w:rsidR="009B362B" w:rsidRPr="006E1A0B" w:rsidRDefault="009B362B" w:rsidP="009B362B"/>
    <w:p w14:paraId="2BE0B3E0" w14:textId="77777777" w:rsidR="009B362B" w:rsidRPr="006E1A0B" w:rsidRDefault="009B362B" w:rsidP="009B362B">
      <w:r w:rsidRPr="006E1A0B">
        <w:t>I hereby give permission for my work, if accepted, to be available for photocopying and inter-library loan, and for the title and summary to be made available to outside organisations.</w:t>
      </w:r>
    </w:p>
    <w:p w14:paraId="66616D0B" w14:textId="77777777" w:rsidR="009B362B" w:rsidRPr="006E1A0B" w:rsidRDefault="009B362B" w:rsidP="009B362B"/>
    <w:p w14:paraId="42A12293" w14:textId="77777777" w:rsidR="009B362B" w:rsidRPr="006E1A0B" w:rsidRDefault="009B362B" w:rsidP="009B362B"/>
    <w:p w14:paraId="3AB84A9A" w14:textId="77777777" w:rsidR="009B362B" w:rsidRPr="006E1A0B" w:rsidRDefault="009B362B" w:rsidP="009B362B"/>
    <w:p w14:paraId="4B12D0AF" w14:textId="77777777" w:rsidR="009B362B" w:rsidRPr="006E1A0B" w:rsidRDefault="009B362B" w:rsidP="009B362B"/>
    <w:p w14:paraId="2BDCA224" w14:textId="77777777" w:rsidR="009B362B" w:rsidRPr="006E1A0B" w:rsidRDefault="009B362B" w:rsidP="009B362B"/>
    <w:p w14:paraId="4A450D61" w14:textId="0BE4134E" w:rsidR="009B362B" w:rsidRPr="006E1A0B" w:rsidRDefault="009B362B" w:rsidP="009B362B">
      <w:r w:rsidRPr="006E1A0B">
        <w:t xml:space="preserve">Signed:  </w:t>
      </w:r>
      <w:proofErr w:type="spellStart"/>
      <w:r>
        <w:t>C.A.Morgan</w:t>
      </w:r>
      <w:proofErr w:type="spellEnd"/>
    </w:p>
    <w:p w14:paraId="561F14F5" w14:textId="77777777" w:rsidR="009B362B" w:rsidRPr="006E1A0B" w:rsidRDefault="009B362B" w:rsidP="009B362B"/>
    <w:p w14:paraId="190A32CA" w14:textId="082B2FD5" w:rsidR="009B362B" w:rsidRDefault="009B362B" w:rsidP="009B362B">
      <w:r w:rsidRPr="006E1A0B">
        <w:t>D</w:t>
      </w:r>
      <w:r>
        <w:t xml:space="preserve">ate:  </w:t>
      </w:r>
      <w:r>
        <w:t>06/04/2023</w:t>
      </w:r>
    </w:p>
    <w:p w14:paraId="5C5397C0" w14:textId="77777777" w:rsidR="009B362B" w:rsidRDefault="009B362B" w:rsidP="00FB2FFD">
      <w:pPr>
        <w:pStyle w:val="Heading1"/>
      </w:pPr>
    </w:p>
    <w:p w14:paraId="0742FEA3" w14:textId="77777777" w:rsidR="009B362B" w:rsidRDefault="009B362B" w:rsidP="00FB2FFD">
      <w:pPr>
        <w:pStyle w:val="Heading1"/>
      </w:pPr>
    </w:p>
    <w:p w14:paraId="287763F6" w14:textId="77777777" w:rsidR="009B362B" w:rsidRDefault="009B362B" w:rsidP="00FB2FFD">
      <w:pPr>
        <w:pStyle w:val="Heading1"/>
      </w:pPr>
    </w:p>
    <w:p w14:paraId="229DEA63" w14:textId="77777777" w:rsidR="009B362B" w:rsidRDefault="009B362B" w:rsidP="00FB2FFD">
      <w:pPr>
        <w:pStyle w:val="Heading1"/>
      </w:pPr>
    </w:p>
    <w:p w14:paraId="6704BF43" w14:textId="77777777" w:rsidR="009B362B" w:rsidRDefault="009B362B" w:rsidP="00FB2FFD">
      <w:pPr>
        <w:pStyle w:val="Heading1"/>
      </w:pPr>
    </w:p>
    <w:p w14:paraId="5C7590D0" w14:textId="77777777" w:rsidR="009B362B" w:rsidRDefault="009B362B" w:rsidP="00FB2FFD">
      <w:pPr>
        <w:pStyle w:val="Heading1"/>
      </w:pPr>
    </w:p>
    <w:p w14:paraId="55FD6785" w14:textId="77777777" w:rsidR="009B362B" w:rsidRDefault="009B362B" w:rsidP="00FB2FFD">
      <w:pPr>
        <w:pStyle w:val="Heading1"/>
      </w:pPr>
    </w:p>
    <w:p w14:paraId="488C3618" w14:textId="77777777" w:rsidR="009B362B" w:rsidRDefault="009B362B" w:rsidP="00FB2FFD">
      <w:pPr>
        <w:pStyle w:val="Heading1"/>
      </w:pPr>
    </w:p>
    <w:p w14:paraId="27D06F08" w14:textId="77777777" w:rsidR="009B362B" w:rsidRDefault="009B362B" w:rsidP="00FB2FFD">
      <w:pPr>
        <w:pStyle w:val="Heading1"/>
      </w:pPr>
    </w:p>
    <w:p w14:paraId="002440D2" w14:textId="77777777" w:rsidR="009B362B" w:rsidRDefault="009B362B">
      <w:pPr>
        <w:rPr>
          <w:rFonts w:asciiTheme="majorHAnsi" w:eastAsiaTheme="majorEastAsia" w:hAnsiTheme="majorHAnsi" w:cstheme="majorBidi"/>
          <w:color w:val="538135" w:themeColor="accent6" w:themeShade="BF"/>
          <w:sz w:val="32"/>
          <w:szCs w:val="32"/>
        </w:rPr>
      </w:pPr>
      <w:r>
        <w:br w:type="page"/>
      </w:r>
    </w:p>
    <w:p w14:paraId="242ADBE0" w14:textId="34035D6F" w:rsidR="00114BDA" w:rsidRDefault="00114BDA" w:rsidP="00FB2FFD">
      <w:pPr>
        <w:pStyle w:val="Heading1"/>
      </w:pPr>
      <w:r>
        <w:lastRenderedPageBreak/>
        <w:t>Acknowledgements</w:t>
      </w:r>
      <w:bookmarkEnd w:id="1"/>
    </w:p>
    <w:p w14:paraId="011575FA" w14:textId="2F5BB809" w:rsidR="00114BDA" w:rsidRDefault="00114BDA" w:rsidP="00114BDA">
      <w:pPr>
        <w:spacing w:line="360" w:lineRule="auto"/>
        <w:jc w:val="both"/>
        <w:rPr>
          <w:rFonts w:cstheme="minorHAnsi"/>
        </w:rPr>
      </w:pPr>
    </w:p>
    <w:p w14:paraId="6CAFFE4B" w14:textId="64CCFD36" w:rsidR="00114BDA" w:rsidRDefault="00FB2FFD" w:rsidP="00114BDA">
      <w:pPr>
        <w:spacing w:line="360" w:lineRule="auto"/>
        <w:jc w:val="both"/>
        <w:rPr>
          <w:rFonts w:cstheme="minorHAnsi"/>
        </w:rPr>
      </w:pPr>
      <w:r>
        <w:rPr>
          <w:rFonts w:cstheme="minorHAnsi"/>
        </w:rPr>
        <w:t>I would first and foremost like to thank my husband, family, and friends for supporting me through this course</w:t>
      </w:r>
      <w:r w:rsidR="00991E3C">
        <w:rPr>
          <w:rFonts w:cstheme="minorHAnsi"/>
        </w:rPr>
        <w:t>, and through the creation of this dissertation project</w:t>
      </w:r>
      <w:r>
        <w:rPr>
          <w:rFonts w:cstheme="minorHAnsi"/>
        </w:rPr>
        <w:t>. Secondly, I need to thank my colleagues that have so g</w:t>
      </w:r>
      <w:r w:rsidR="009E0687">
        <w:rPr>
          <w:rFonts w:cstheme="minorHAnsi"/>
        </w:rPr>
        <w:t>enerously</w:t>
      </w:r>
      <w:r>
        <w:rPr>
          <w:rFonts w:cstheme="minorHAnsi"/>
        </w:rPr>
        <w:t xml:space="preserve"> allowed me to use their hard work for the basis of this study. Finally, tremendous thanks to Professor Chris House who has guided me through this </w:t>
      </w:r>
      <w:r w:rsidR="009E0687">
        <w:rPr>
          <w:rFonts w:cstheme="minorHAnsi"/>
        </w:rPr>
        <w:t>Master’s</w:t>
      </w:r>
      <w:r>
        <w:rPr>
          <w:rFonts w:cstheme="minorHAnsi"/>
        </w:rPr>
        <w:t xml:space="preserve"> from start to finish.</w:t>
      </w:r>
    </w:p>
    <w:p w14:paraId="12274722" w14:textId="07E08E5D" w:rsidR="00991E3C" w:rsidRDefault="00991E3C" w:rsidP="00114BDA">
      <w:pPr>
        <w:spacing w:line="360" w:lineRule="auto"/>
        <w:jc w:val="both"/>
        <w:rPr>
          <w:rFonts w:cstheme="minorHAnsi"/>
        </w:rPr>
      </w:pPr>
    </w:p>
    <w:p w14:paraId="4CC2434D" w14:textId="279506B6" w:rsidR="00991E3C" w:rsidRDefault="00991E3C" w:rsidP="00114BDA">
      <w:pPr>
        <w:spacing w:line="360" w:lineRule="auto"/>
        <w:jc w:val="both"/>
        <w:rPr>
          <w:rFonts w:cstheme="minorHAnsi"/>
        </w:rPr>
      </w:pPr>
      <w:r>
        <w:rPr>
          <w:rFonts w:cstheme="minorHAnsi"/>
        </w:rPr>
        <w:t>Diolch yn fawr iawn, pawb.</w:t>
      </w:r>
    </w:p>
    <w:p w14:paraId="52D572D1" w14:textId="61A28E7F" w:rsidR="00114BDA" w:rsidRDefault="00114BDA" w:rsidP="00114BDA">
      <w:pPr>
        <w:spacing w:line="360" w:lineRule="auto"/>
        <w:jc w:val="both"/>
        <w:rPr>
          <w:rFonts w:cstheme="minorHAnsi"/>
        </w:rPr>
      </w:pPr>
    </w:p>
    <w:p w14:paraId="34417E6C" w14:textId="4F9BB85F" w:rsidR="00114BDA" w:rsidRDefault="00114BDA" w:rsidP="00114BDA">
      <w:pPr>
        <w:spacing w:line="360" w:lineRule="auto"/>
        <w:jc w:val="both"/>
        <w:rPr>
          <w:rFonts w:cstheme="minorHAnsi"/>
        </w:rPr>
      </w:pPr>
    </w:p>
    <w:p w14:paraId="23FCE4C3" w14:textId="37E0D4EC" w:rsidR="00114BDA" w:rsidRDefault="00114BDA" w:rsidP="00114BDA">
      <w:pPr>
        <w:spacing w:line="360" w:lineRule="auto"/>
        <w:jc w:val="both"/>
        <w:rPr>
          <w:rFonts w:cstheme="minorHAnsi"/>
        </w:rPr>
      </w:pPr>
    </w:p>
    <w:p w14:paraId="47553188" w14:textId="2A5A1968" w:rsidR="00114BDA" w:rsidRDefault="00114BDA" w:rsidP="00114BDA">
      <w:pPr>
        <w:spacing w:line="360" w:lineRule="auto"/>
        <w:jc w:val="both"/>
        <w:rPr>
          <w:rFonts w:cstheme="minorHAnsi"/>
        </w:rPr>
      </w:pPr>
    </w:p>
    <w:p w14:paraId="5D8D6CF1" w14:textId="1599424E" w:rsidR="00114BDA" w:rsidRDefault="00114BDA" w:rsidP="00114BDA">
      <w:pPr>
        <w:spacing w:line="360" w:lineRule="auto"/>
        <w:jc w:val="both"/>
        <w:rPr>
          <w:rFonts w:cstheme="minorHAnsi"/>
        </w:rPr>
      </w:pPr>
    </w:p>
    <w:p w14:paraId="33915B44" w14:textId="6A670AA1" w:rsidR="00114BDA" w:rsidRDefault="00114BDA" w:rsidP="00114BDA">
      <w:pPr>
        <w:spacing w:line="360" w:lineRule="auto"/>
        <w:jc w:val="both"/>
        <w:rPr>
          <w:rFonts w:cstheme="minorHAnsi"/>
        </w:rPr>
      </w:pPr>
    </w:p>
    <w:p w14:paraId="0E0FB4E8" w14:textId="0B9BE9C6" w:rsidR="00114BDA" w:rsidRDefault="00114BDA" w:rsidP="00114BDA">
      <w:pPr>
        <w:spacing w:line="360" w:lineRule="auto"/>
        <w:jc w:val="both"/>
        <w:rPr>
          <w:rFonts w:cstheme="minorHAnsi"/>
        </w:rPr>
      </w:pPr>
    </w:p>
    <w:p w14:paraId="7763FAF6" w14:textId="519FABBF" w:rsidR="00114BDA" w:rsidRDefault="00114BDA" w:rsidP="00114BDA">
      <w:pPr>
        <w:spacing w:line="360" w:lineRule="auto"/>
        <w:jc w:val="both"/>
        <w:rPr>
          <w:rFonts w:cstheme="minorHAnsi"/>
        </w:rPr>
      </w:pPr>
    </w:p>
    <w:p w14:paraId="758CAC4E" w14:textId="30BB1816" w:rsidR="00114BDA" w:rsidRDefault="00114BDA" w:rsidP="00114BDA">
      <w:pPr>
        <w:spacing w:line="360" w:lineRule="auto"/>
        <w:jc w:val="both"/>
        <w:rPr>
          <w:rFonts w:cstheme="minorHAnsi"/>
        </w:rPr>
      </w:pPr>
    </w:p>
    <w:p w14:paraId="1497BF43" w14:textId="1C913AD1" w:rsidR="00114BDA" w:rsidRDefault="00114BDA" w:rsidP="00114BDA">
      <w:pPr>
        <w:spacing w:line="360" w:lineRule="auto"/>
        <w:jc w:val="both"/>
        <w:rPr>
          <w:rFonts w:cstheme="minorHAnsi"/>
        </w:rPr>
      </w:pPr>
    </w:p>
    <w:p w14:paraId="0A8A36BA" w14:textId="73622607" w:rsidR="00114BDA" w:rsidRDefault="00114BDA" w:rsidP="00114BDA">
      <w:pPr>
        <w:spacing w:line="360" w:lineRule="auto"/>
        <w:jc w:val="both"/>
        <w:rPr>
          <w:rFonts w:cstheme="minorHAnsi"/>
        </w:rPr>
      </w:pPr>
    </w:p>
    <w:p w14:paraId="1759DE0C" w14:textId="6DA81D71" w:rsidR="00114BDA" w:rsidRDefault="00114BDA" w:rsidP="00114BDA">
      <w:pPr>
        <w:spacing w:line="360" w:lineRule="auto"/>
        <w:jc w:val="both"/>
        <w:rPr>
          <w:rFonts w:cstheme="minorHAnsi"/>
        </w:rPr>
      </w:pPr>
    </w:p>
    <w:p w14:paraId="657E62E6" w14:textId="3CA4EC4B" w:rsidR="00114BDA" w:rsidRDefault="00114BDA" w:rsidP="00114BDA">
      <w:pPr>
        <w:spacing w:line="360" w:lineRule="auto"/>
        <w:jc w:val="both"/>
        <w:rPr>
          <w:rFonts w:cstheme="minorHAnsi"/>
        </w:rPr>
      </w:pPr>
    </w:p>
    <w:p w14:paraId="1E09D1D0" w14:textId="79C2E6DC" w:rsidR="00114BDA" w:rsidRDefault="00114BDA" w:rsidP="00114BDA">
      <w:pPr>
        <w:spacing w:line="360" w:lineRule="auto"/>
        <w:jc w:val="both"/>
        <w:rPr>
          <w:rFonts w:cstheme="minorHAnsi"/>
        </w:rPr>
      </w:pPr>
    </w:p>
    <w:p w14:paraId="451F7F02" w14:textId="64583795" w:rsidR="00114BDA" w:rsidRDefault="00114BDA" w:rsidP="00114BDA">
      <w:pPr>
        <w:spacing w:line="360" w:lineRule="auto"/>
        <w:jc w:val="both"/>
        <w:rPr>
          <w:rFonts w:cstheme="minorHAnsi"/>
        </w:rPr>
      </w:pPr>
    </w:p>
    <w:p w14:paraId="27593063" w14:textId="23A216F7" w:rsidR="00114BDA" w:rsidRDefault="00114BDA" w:rsidP="00114BDA">
      <w:pPr>
        <w:spacing w:line="360" w:lineRule="auto"/>
        <w:jc w:val="both"/>
        <w:rPr>
          <w:rFonts w:cstheme="minorHAnsi"/>
        </w:rPr>
      </w:pPr>
    </w:p>
    <w:p w14:paraId="1C57C2C5" w14:textId="6DD7CC84" w:rsidR="00114BDA" w:rsidRDefault="00114BDA" w:rsidP="00114BDA">
      <w:pPr>
        <w:spacing w:line="360" w:lineRule="auto"/>
        <w:jc w:val="both"/>
        <w:rPr>
          <w:rFonts w:cstheme="minorHAnsi"/>
        </w:rPr>
      </w:pPr>
    </w:p>
    <w:p w14:paraId="0ACDD2B3" w14:textId="1518E27D" w:rsidR="00114BDA" w:rsidRDefault="00114BDA" w:rsidP="00114BDA">
      <w:pPr>
        <w:spacing w:line="360" w:lineRule="auto"/>
        <w:jc w:val="both"/>
        <w:rPr>
          <w:rFonts w:cstheme="minorHAnsi"/>
        </w:rPr>
      </w:pPr>
    </w:p>
    <w:p w14:paraId="76B5977E" w14:textId="2F81C4EB" w:rsidR="00114BDA" w:rsidRDefault="00114BDA" w:rsidP="00114BDA">
      <w:pPr>
        <w:spacing w:line="360" w:lineRule="auto"/>
        <w:jc w:val="both"/>
        <w:rPr>
          <w:rFonts w:cstheme="minorHAnsi"/>
        </w:rPr>
      </w:pPr>
    </w:p>
    <w:p w14:paraId="206C46DC" w14:textId="74E73771" w:rsidR="00114BDA" w:rsidRDefault="00114BDA" w:rsidP="00114BDA">
      <w:pPr>
        <w:spacing w:line="360" w:lineRule="auto"/>
        <w:jc w:val="both"/>
        <w:rPr>
          <w:rFonts w:cstheme="minorHAnsi"/>
        </w:rPr>
      </w:pPr>
    </w:p>
    <w:p w14:paraId="0C26EBC7" w14:textId="4C2FD9D4" w:rsidR="00114BDA" w:rsidRDefault="00114BDA" w:rsidP="00114BDA">
      <w:pPr>
        <w:spacing w:line="360" w:lineRule="auto"/>
        <w:jc w:val="both"/>
        <w:rPr>
          <w:rFonts w:cstheme="minorHAnsi"/>
        </w:rPr>
      </w:pPr>
    </w:p>
    <w:p w14:paraId="4926AFD2" w14:textId="1B2F463E" w:rsidR="00114BDA" w:rsidRDefault="00114BDA" w:rsidP="00FB2FFD">
      <w:pPr>
        <w:pStyle w:val="Heading1"/>
      </w:pPr>
      <w:bookmarkStart w:id="2" w:name="_Toc131682227"/>
      <w:r>
        <w:lastRenderedPageBreak/>
        <w:t>Abstract</w:t>
      </w:r>
      <w:bookmarkEnd w:id="2"/>
      <w:r>
        <w:t xml:space="preserve"> </w:t>
      </w:r>
    </w:p>
    <w:p w14:paraId="71A64B4D" w14:textId="13A3C26F" w:rsidR="00114BDA" w:rsidRDefault="00114BDA" w:rsidP="00114BDA">
      <w:pPr>
        <w:spacing w:line="360" w:lineRule="auto"/>
        <w:jc w:val="both"/>
        <w:rPr>
          <w:rFonts w:cstheme="minorHAnsi"/>
        </w:rPr>
      </w:pPr>
    </w:p>
    <w:p w14:paraId="0C66E0BD" w14:textId="20E5FF15" w:rsidR="00114BDA" w:rsidRDefault="00991E3C" w:rsidP="00114BDA">
      <w:pPr>
        <w:spacing w:line="360" w:lineRule="auto"/>
        <w:jc w:val="both"/>
        <w:rPr>
          <w:rFonts w:cstheme="minorHAnsi"/>
        </w:rPr>
      </w:pPr>
      <w:r>
        <w:rPr>
          <w:rFonts w:cstheme="minorHAnsi"/>
        </w:rPr>
        <w:t>Environmental sustainability is at the forefront of many people’s minds in the present day. Its importance is becoming greater as environmental challenges become ever present in our every day lives. It is therefore important to ensure that our young people are equipped to deal with these challenges as they become older and enter jobs that will likely have links to such problems. As the education system in Wales is currently seeing the implementation of the new Curriculum for Wales (CFW), which allows greater autonomy to schools and their teaching staff in designing course content, it would be feasible to create a framework that could develop pupils’ knowledge and understanding of the environment and the problems that societies around the world are facing</w:t>
      </w:r>
      <w:r w:rsidR="00843E11">
        <w:rPr>
          <w:rFonts w:cstheme="minorHAnsi"/>
        </w:rPr>
        <w:t>, and also support teaching staff in achieving this</w:t>
      </w:r>
      <w:r>
        <w:rPr>
          <w:rFonts w:cstheme="minorHAnsi"/>
        </w:rPr>
        <w:t>. This study look</w:t>
      </w:r>
      <w:r w:rsidR="00843E11">
        <w:rPr>
          <w:rFonts w:cstheme="minorHAnsi"/>
        </w:rPr>
        <w:t xml:space="preserve">s </w:t>
      </w:r>
      <w:r>
        <w:rPr>
          <w:rFonts w:cstheme="minorHAnsi"/>
        </w:rPr>
        <w:t xml:space="preserve">at several Schemes of Work from a Secondary School in the South Wales area, </w:t>
      </w:r>
      <w:r w:rsidR="00843E11">
        <w:rPr>
          <w:rFonts w:cstheme="minorHAnsi"/>
        </w:rPr>
        <w:t xml:space="preserve">including those from areas of the school that historically would not have delivered environmental material, and analyses </w:t>
      </w:r>
      <w:r>
        <w:rPr>
          <w:rFonts w:cstheme="minorHAnsi"/>
        </w:rPr>
        <w:t xml:space="preserve">what is already being taught </w:t>
      </w:r>
      <w:r w:rsidR="00843E11">
        <w:rPr>
          <w:rFonts w:cstheme="minorHAnsi"/>
        </w:rPr>
        <w:t>relating to</w:t>
      </w:r>
      <w:r>
        <w:rPr>
          <w:rFonts w:cstheme="minorHAnsi"/>
        </w:rPr>
        <w:t xml:space="preserve"> environmental sustainability. It also makes suggestions of where environmental sustainability could be enhanced though the creation of a cross-curricular framework</w:t>
      </w:r>
      <w:r w:rsidR="00843E11">
        <w:rPr>
          <w:rFonts w:cstheme="minorHAnsi"/>
        </w:rPr>
        <w:t xml:space="preserve">. This paper also makes recommendations for future work in this </w:t>
      </w:r>
      <w:r w:rsidR="00A44FCD">
        <w:rPr>
          <w:rFonts w:cstheme="minorHAnsi"/>
        </w:rPr>
        <w:t>field and</w:t>
      </w:r>
      <w:r w:rsidR="00843E11">
        <w:rPr>
          <w:rFonts w:cstheme="minorHAnsi"/>
        </w:rPr>
        <w:t xml:space="preserve"> explores the importance of collaboration between teaching staff in schools. </w:t>
      </w:r>
    </w:p>
    <w:p w14:paraId="5F14891F" w14:textId="31DD406E" w:rsidR="00114BDA" w:rsidRDefault="00114BDA" w:rsidP="00114BDA">
      <w:pPr>
        <w:spacing w:line="360" w:lineRule="auto"/>
        <w:jc w:val="both"/>
        <w:rPr>
          <w:rFonts w:cstheme="minorHAnsi"/>
        </w:rPr>
      </w:pPr>
    </w:p>
    <w:p w14:paraId="0FFD9175" w14:textId="0DC1F2A6" w:rsidR="00114BDA" w:rsidRDefault="00114BDA" w:rsidP="00114BDA">
      <w:pPr>
        <w:spacing w:line="360" w:lineRule="auto"/>
        <w:jc w:val="both"/>
        <w:rPr>
          <w:rFonts w:cstheme="minorHAnsi"/>
        </w:rPr>
      </w:pPr>
    </w:p>
    <w:p w14:paraId="6486862C" w14:textId="17D624D9" w:rsidR="00114BDA" w:rsidRDefault="00114BDA" w:rsidP="00114BDA">
      <w:pPr>
        <w:spacing w:line="360" w:lineRule="auto"/>
        <w:jc w:val="both"/>
        <w:rPr>
          <w:rFonts w:cstheme="minorHAnsi"/>
        </w:rPr>
      </w:pPr>
    </w:p>
    <w:p w14:paraId="0D504AAA" w14:textId="5C4D0737" w:rsidR="00114BDA" w:rsidRDefault="00114BDA" w:rsidP="00114BDA">
      <w:pPr>
        <w:spacing w:line="360" w:lineRule="auto"/>
        <w:jc w:val="both"/>
        <w:rPr>
          <w:rFonts w:cstheme="minorHAnsi"/>
        </w:rPr>
      </w:pPr>
    </w:p>
    <w:p w14:paraId="121AB04F" w14:textId="24EA8CAF" w:rsidR="00114BDA" w:rsidRDefault="00114BDA" w:rsidP="00114BDA">
      <w:pPr>
        <w:spacing w:line="360" w:lineRule="auto"/>
        <w:jc w:val="both"/>
        <w:rPr>
          <w:rFonts w:cstheme="minorHAnsi"/>
        </w:rPr>
      </w:pPr>
    </w:p>
    <w:p w14:paraId="5523E213" w14:textId="5CA4DE33" w:rsidR="00114BDA" w:rsidRDefault="00114BDA" w:rsidP="00114BDA">
      <w:pPr>
        <w:spacing w:line="360" w:lineRule="auto"/>
        <w:jc w:val="both"/>
        <w:rPr>
          <w:rFonts w:cstheme="minorHAnsi"/>
        </w:rPr>
      </w:pPr>
    </w:p>
    <w:p w14:paraId="3BED2890" w14:textId="1439F495" w:rsidR="00114BDA" w:rsidRDefault="00114BDA" w:rsidP="00114BDA">
      <w:pPr>
        <w:spacing w:line="360" w:lineRule="auto"/>
        <w:jc w:val="both"/>
        <w:rPr>
          <w:rFonts w:cstheme="minorHAnsi"/>
        </w:rPr>
      </w:pPr>
    </w:p>
    <w:p w14:paraId="0E68AA8F" w14:textId="6063ECCA" w:rsidR="00114BDA" w:rsidRDefault="00114BDA" w:rsidP="00114BDA">
      <w:pPr>
        <w:spacing w:line="360" w:lineRule="auto"/>
        <w:jc w:val="both"/>
        <w:rPr>
          <w:rFonts w:cstheme="minorHAnsi"/>
        </w:rPr>
      </w:pPr>
    </w:p>
    <w:p w14:paraId="747FEE1A" w14:textId="6ADE4AC9" w:rsidR="00114BDA" w:rsidRDefault="00114BDA" w:rsidP="00114BDA">
      <w:pPr>
        <w:spacing w:line="360" w:lineRule="auto"/>
        <w:jc w:val="both"/>
        <w:rPr>
          <w:rFonts w:cstheme="minorHAnsi"/>
        </w:rPr>
      </w:pPr>
    </w:p>
    <w:p w14:paraId="6CE7FE39" w14:textId="1B10BEA1" w:rsidR="00114BDA" w:rsidRDefault="00114BDA" w:rsidP="00114BDA">
      <w:pPr>
        <w:spacing w:line="360" w:lineRule="auto"/>
        <w:jc w:val="both"/>
        <w:rPr>
          <w:rFonts w:cstheme="minorHAnsi"/>
        </w:rPr>
      </w:pPr>
    </w:p>
    <w:p w14:paraId="6C6DEBF2" w14:textId="50018B5D" w:rsidR="00114BDA" w:rsidRDefault="00114BDA" w:rsidP="00114BDA">
      <w:pPr>
        <w:spacing w:line="360" w:lineRule="auto"/>
        <w:jc w:val="both"/>
        <w:rPr>
          <w:rFonts w:cstheme="minorHAnsi"/>
        </w:rPr>
      </w:pPr>
    </w:p>
    <w:p w14:paraId="664C50B7" w14:textId="18C165D5" w:rsidR="00114BDA" w:rsidRDefault="00114BDA" w:rsidP="00114BDA">
      <w:pPr>
        <w:spacing w:line="360" w:lineRule="auto"/>
        <w:jc w:val="both"/>
        <w:rPr>
          <w:rFonts w:cstheme="minorHAnsi"/>
        </w:rPr>
      </w:pPr>
    </w:p>
    <w:p w14:paraId="43868120" w14:textId="138870D3" w:rsidR="00114BDA" w:rsidRDefault="00114BDA" w:rsidP="00114BDA">
      <w:pPr>
        <w:spacing w:line="360" w:lineRule="auto"/>
        <w:jc w:val="both"/>
        <w:rPr>
          <w:rFonts w:cstheme="minorHAnsi"/>
        </w:rPr>
      </w:pPr>
    </w:p>
    <w:p w14:paraId="51267411" w14:textId="4B3F9E05" w:rsidR="001A1C9F" w:rsidRDefault="00843E11" w:rsidP="00843E11">
      <w:pPr>
        <w:rPr>
          <w:rFonts w:cstheme="minorHAnsi"/>
        </w:rPr>
      </w:pPr>
      <w:r>
        <w:rPr>
          <w:rFonts w:cstheme="minorHAnsi"/>
        </w:rPr>
        <w:br w:type="page"/>
      </w:r>
    </w:p>
    <w:p w14:paraId="1FDB3E4A" w14:textId="57E1830D" w:rsidR="00114BDA" w:rsidRDefault="00114BDA" w:rsidP="000618E3">
      <w:pPr>
        <w:pStyle w:val="Heading1"/>
        <w:numPr>
          <w:ilvl w:val="0"/>
          <w:numId w:val="6"/>
        </w:numPr>
      </w:pPr>
      <w:bookmarkStart w:id="3" w:name="_Toc131682228"/>
      <w:r>
        <w:lastRenderedPageBreak/>
        <w:t xml:space="preserve">Chapter 1: </w:t>
      </w:r>
      <w:r>
        <w:t>Introduction</w:t>
      </w:r>
      <w:bookmarkEnd w:id="3"/>
    </w:p>
    <w:p w14:paraId="56856E33" w14:textId="24EF2895" w:rsidR="000618E3" w:rsidRDefault="000618E3" w:rsidP="000618E3"/>
    <w:p w14:paraId="05F4A0FE" w14:textId="311F2BB0" w:rsidR="000618E3" w:rsidRPr="000618E3" w:rsidRDefault="000618E3" w:rsidP="000618E3">
      <w:pPr>
        <w:pStyle w:val="Heading2"/>
      </w:pPr>
      <w:bookmarkStart w:id="4" w:name="_Toc131682229"/>
      <w:r>
        <w:t>1.1 Background</w:t>
      </w:r>
      <w:bookmarkEnd w:id="4"/>
    </w:p>
    <w:p w14:paraId="38F15FF2" w14:textId="77777777" w:rsidR="00114BDA" w:rsidRDefault="00114BDA" w:rsidP="00114BDA">
      <w:pPr>
        <w:spacing w:line="360" w:lineRule="auto"/>
        <w:jc w:val="both"/>
        <w:rPr>
          <w:rFonts w:cstheme="minorHAnsi"/>
        </w:rPr>
      </w:pPr>
    </w:p>
    <w:p w14:paraId="1EFA9032" w14:textId="77777777" w:rsidR="00114BDA" w:rsidRDefault="00114BDA" w:rsidP="00114BDA">
      <w:pPr>
        <w:spacing w:line="360" w:lineRule="auto"/>
        <w:jc w:val="both"/>
        <w:rPr>
          <w:rFonts w:cstheme="minorHAnsi"/>
        </w:rPr>
      </w:pPr>
      <w:r>
        <w:rPr>
          <w:rFonts w:cstheme="minorHAnsi"/>
        </w:rPr>
        <w:t xml:space="preserve">The word ‘curriculum’ is derived from the Latin word ‘Currere’ which means to run or to proceed (Hlebowitsh, 2004). The word refers to the ‘course of deeds and experiences through which children grow to become mature adults’ (Hlebowitsh, 2004), and for the young people of today growing up means growing up in a world where the climate is at the forefront of discussions, the media, and will start to become more and more prevalent in their day to day lives. Thus, pupils should experience a curriculum that is well equipped to prepare them for this in the future. For this to be carried out successfully, the curriculum - a well-defined and prescribed course of studies that students need to be completed for them to pass any given level of education (Musingafi </w:t>
      </w:r>
      <w:r w:rsidRPr="00FC61EE">
        <w:rPr>
          <w:rFonts w:cstheme="minorHAnsi"/>
          <w:i/>
          <w:iCs/>
        </w:rPr>
        <w:t>et a</w:t>
      </w:r>
      <w:r>
        <w:rPr>
          <w:rFonts w:cstheme="minorHAnsi"/>
        </w:rPr>
        <w:t>l., 2015) - needs to carefully consider this need. The goal of a successful educational programme should meet the needs and current demands of the culture, the society, and the expectations of the population being served (Alsubaie, 2016). For this to transpire, curriculum development and educational reform should continually be under review (Johnson, 2001).</w:t>
      </w:r>
    </w:p>
    <w:p w14:paraId="0D7A9A5F" w14:textId="77777777" w:rsidR="00114BDA" w:rsidRDefault="00114BDA" w:rsidP="00114BDA">
      <w:pPr>
        <w:spacing w:line="360" w:lineRule="auto"/>
        <w:jc w:val="both"/>
        <w:rPr>
          <w:rFonts w:cstheme="minorHAnsi"/>
        </w:rPr>
      </w:pPr>
    </w:p>
    <w:p w14:paraId="3380D793" w14:textId="400016CA" w:rsidR="00114BDA" w:rsidRDefault="00114BDA" w:rsidP="00114BDA">
      <w:pPr>
        <w:spacing w:line="360" w:lineRule="auto"/>
        <w:jc w:val="both"/>
        <w:rPr>
          <w:rFonts w:cstheme="minorHAnsi"/>
        </w:rPr>
      </w:pPr>
      <w:r>
        <w:rPr>
          <w:rFonts w:cstheme="minorHAnsi"/>
        </w:rPr>
        <w:t xml:space="preserve">A formal teaching setting needs teaching and learning to be well structured for effectiveness and efficacy, which is not easy given that the process is a ‘highly complex and pervasive phenomenon’ (Musingafi </w:t>
      </w:r>
      <w:r w:rsidRPr="00FC61EE">
        <w:rPr>
          <w:rFonts w:cstheme="minorHAnsi"/>
          <w:i/>
          <w:iCs/>
        </w:rPr>
        <w:t>et al</w:t>
      </w:r>
      <w:r>
        <w:rPr>
          <w:rFonts w:cstheme="minorHAnsi"/>
        </w:rPr>
        <w:t xml:space="preserve">., 2015). A successful formal teaching and learning process requires proper selection and arrangement of the teaching items or materials (Musingafi </w:t>
      </w:r>
      <w:r w:rsidRPr="00FC61EE">
        <w:rPr>
          <w:rFonts w:cstheme="minorHAnsi"/>
          <w:i/>
          <w:iCs/>
        </w:rPr>
        <w:t>et al</w:t>
      </w:r>
      <w:r>
        <w:rPr>
          <w:rFonts w:cstheme="minorHAnsi"/>
        </w:rPr>
        <w:t xml:space="preserve">., 2015), and this should be as consistent as possible across schools, and also across Wales. A curriculum should be predetermined in subject matter, and a planned sequence of experiences leading to certifiable completion; it is the base for the learning outcomes and activities through which the teaching and learning process moves and advances (Musingafi </w:t>
      </w:r>
      <w:r w:rsidRPr="00FC61EE">
        <w:rPr>
          <w:rFonts w:cstheme="minorHAnsi"/>
          <w:i/>
          <w:iCs/>
        </w:rPr>
        <w:t>et al</w:t>
      </w:r>
      <w:r>
        <w:rPr>
          <w:rFonts w:cstheme="minorHAnsi"/>
        </w:rPr>
        <w:t>., 2015).</w:t>
      </w:r>
    </w:p>
    <w:p w14:paraId="5E771CEC" w14:textId="1A9D65E6" w:rsidR="000618E3" w:rsidRDefault="000618E3" w:rsidP="00114BDA">
      <w:pPr>
        <w:spacing w:line="360" w:lineRule="auto"/>
        <w:jc w:val="both"/>
        <w:rPr>
          <w:rFonts w:cstheme="minorHAnsi"/>
        </w:rPr>
      </w:pPr>
    </w:p>
    <w:p w14:paraId="235AEC11" w14:textId="06D8D1D6" w:rsidR="000618E3" w:rsidRDefault="000618E3" w:rsidP="000618E3">
      <w:pPr>
        <w:pStyle w:val="Heading2"/>
      </w:pPr>
      <w:bookmarkStart w:id="5" w:name="_Toc131682230"/>
      <w:r>
        <w:t>1.2 Rationale for this Study</w:t>
      </w:r>
      <w:bookmarkEnd w:id="5"/>
    </w:p>
    <w:p w14:paraId="70DAEA8E" w14:textId="77777777" w:rsidR="00114BDA" w:rsidRDefault="00114BDA" w:rsidP="00114BDA">
      <w:pPr>
        <w:spacing w:line="360" w:lineRule="auto"/>
        <w:jc w:val="both"/>
        <w:rPr>
          <w:rFonts w:cstheme="minorHAnsi"/>
        </w:rPr>
      </w:pPr>
    </w:p>
    <w:p w14:paraId="196546B8" w14:textId="4534EC72" w:rsidR="00114BDA" w:rsidRDefault="00114BDA" w:rsidP="00114BDA">
      <w:pPr>
        <w:spacing w:line="360" w:lineRule="auto"/>
        <w:jc w:val="both"/>
        <w:rPr>
          <w:rFonts w:cstheme="minorHAnsi"/>
        </w:rPr>
      </w:pPr>
      <w:r>
        <w:rPr>
          <w:rFonts w:cstheme="minorHAnsi"/>
        </w:rPr>
        <w:t xml:space="preserve">To respond to the uncertainties of the future and to imagine possible futures, we need the ability to be creative and innovative, as this is imperative to dealing with the intertwined </w:t>
      </w:r>
      <w:r>
        <w:rPr>
          <w:rFonts w:cstheme="minorHAnsi"/>
        </w:rPr>
        <w:lastRenderedPageBreak/>
        <w:t>challenges of environmental</w:t>
      </w:r>
      <w:r w:rsidR="00FA3C10">
        <w:rPr>
          <w:rFonts w:cstheme="minorHAnsi"/>
        </w:rPr>
        <w:t xml:space="preserve"> and socioeconomic</w:t>
      </w:r>
      <w:r>
        <w:rPr>
          <w:rFonts w:cstheme="minorHAnsi"/>
        </w:rPr>
        <w:t xml:space="preserve"> issues (Huckle, 2006). Learners today need a broad skillset to function in a sustainable world, including collaboration, problem framing, critical thinking, innovation and creativity (Hannay </w:t>
      </w:r>
      <w:r w:rsidRPr="00FC61EE">
        <w:rPr>
          <w:rFonts w:cstheme="minorHAnsi"/>
          <w:i/>
          <w:iCs/>
        </w:rPr>
        <w:t>et al.,</w:t>
      </w:r>
      <w:r>
        <w:rPr>
          <w:rFonts w:cstheme="minorHAnsi"/>
        </w:rPr>
        <w:t xml:space="preserve"> 2012; Weicht </w:t>
      </w:r>
      <w:r w:rsidRPr="00FC61EE">
        <w:rPr>
          <w:rFonts w:cstheme="minorHAnsi"/>
          <w:i/>
          <w:iCs/>
        </w:rPr>
        <w:t>et al.,</w:t>
      </w:r>
      <w:r>
        <w:rPr>
          <w:rFonts w:cstheme="minorHAnsi"/>
        </w:rPr>
        <w:t xml:space="preserve"> 2020).</w:t>
      </w:r>
    </w:p>
    <w:p w14:paraId="5D56C181" w14:textId="77777777" w:rsidR="00114BDA" w:rsidRDefault="00114BDA" w:rsidP="00114BDA">
      <w:pPr>
        <w:spacing w:line="360" w:lineRule="auto"/>
        <w:jc w:val="both"/>
        <w:rPr>
          <w:rFonts w:cstheme="minorHAnsi"/>
        </w:rPr>
      </w:pPr>
    </w:p>
    <w:p w14:paraId="644A68B3" w14:textId="7B1FBC0F" w:rsidR="00114BDA" w:rsidRDefault="00114BDA" w:rsidP="00114BDA">
      <w:pPr>
        <w:spacing w:line="360" w:lineRule="auto"/>
        <w:jc w:val="both"/>
        <w:rPr>
          <w:rFonts w:cstheme="minorHAnsi"/>
        </w:rPr>
      </w:pPr>
      <w:r w:rsidRPr="00D274F7">
        <w:rPr>
          <w:rFonts w:cstheme="minorHAnsi"/>
        </w:rPr>
        <w:t xml:space="preserve">Since September 2015, the United Nations Sustainable Development Goals have been adopted in fields from science to education (Vasconcelos </w:t>
      </w:r>
      <w:r w:rsidRPr="00D274F7">
        <w:rPr>
          <w:rFonts w:cstheme="minorHAnsi"/>
          <w:i/>
          <w:iCs/>
        </w:rPr>
        <w:t>et al</w:t>
      </w:r>
      <w:r w:rsidRPr="00D274F7">
        <w:rPr>
          <w:rFonts w:cstheme="minorHAnsi"/>
        </w:rPr>
        <w:t>., 2021), and it has long been recognised that teachers should be promoting positive attitudes towards the environment and sustainability by encouraging appreciation of and concern for the environment (NCC, 1990: cited in Cotton, 2006). Cocoran and Wals (</w:t>
      </w:r>
      <w:r w:rsidRPr="00713004">
        <w:rPr>
          <w:rFonts w:cstheme="minorHAnsi"/>
        </w:rPr>
        <w:t>2004) also</w:t>
      </w:r>
      <w:r w:rsidRPr="00D274F7">
        <w:rPr>
          <w:rFonts w:cstheme="minorHAnsi"/>
        </w:rPr>
        <w:t xml:space="preserve"> recognised the importance of environmental education about and for sustainability</w:t>
      </w:r>
      <w:r>
        <w:rPr>
          <w:rFonts w:cstheme="minorHAnsi"/>
        </w:rPr>
        <w:t>,</w:t>
      </w:r>
      <w:r w:rsidRPr="00D274F7">
        <w:rPr>
          <w:rFonts w:cstheme="minorHAnsi"/>
        </w:rPr>
        <w:t xml:space="preserve"> given the complex and comprehensive changes expected as sustainability pathways are developed. </w:t>
      </w:r>
    </w:p>
    <w:p w14:paraId="0B7E81C4" w14:textId="0F44E87D" w:rsidR="000618E3" w:rsidRDefault="000618E3" w:rsidP="00114BDA">
      <w:pPr>
        <w:spacing w:line="360" w:lineRule="auto"/>
        <w:jc w:val="both"/>
        <w:rPr>
          <w:rFonts w:cstheme="minorHAnsi"/>
        </w:rPr>
      </w:pPr>
    </w:p>
    <w:p w14:paraId="6197C44C" w14:textId="2410C649" w:rsidR="000618E3" w:rsidRPr="00D274F7" w:rsidRDefault="000618E3" w:rsidP="000618E3">
      <w:pPr>
        <w:pStyle w:val="Heading2"/>
      </w:pPr>
      <w:bookmarkStart w:id="6" w:name="_Toc131682231"/>
      <w:r>
        <w:t>1.3 Sustainable Education in Wales</w:t>
      </w:r>
      <w:bookmarkEnd w:id="6"/>
    </w:p>
    <w:p w14:paraId="159F7804" w14:textId="77777777" w:rsidR="00114BDA" w:rsidRPr="00D274F7" w:rsidRDefault="00114BDA" w:rsidP="00114BDA">
      <w:pPr>
        <w:spacing w:line="360" w:lineRule="auto"/>
        <w:jc w:val="both"/>
        <w:rPr>
          <w:rFonts w:cstheme="minorHAnsi"/>
        </w:rPr>
      </w:pPr>
    </w:p>
    <w:p w14:paraId="21CBF4E4" w14:textId="35866C25" w:rsidR="00114BDA" w:rsidRPr="00D274F7" w:rsidRDefault="00114BDA" w:rsidP="00114BDA">
      <w:pPr>
        <w:spacing w:line="360" w:lineRule="auto"/>
        <w:jc w:val="both"/>
        <w:rPr>
          <w:rFonts w:cstheme="minorHAnsi"/>
        </w:rPr>
      </w:pPr>
      <w:r w:rsidRPr="00D274F7">
        <w:rPr>
          <w:rFonts w:cstheme="minorHAnsi"/>
        </w:rPr>
        <w:t xml:space="preserve">Education for sustainability is recognised as a mechanism for addressing such complex challenges (Michel, 2022), and therefore there is an argument that sustainability should be a focus of school curricula. Moreover, it could also be argued that for the topic to reach as many pupils as possible, and to be contextualised in as many ways possible, it should be taught as a cross-curricular theme. Typically, sustainability is taught in Science or Geography classrooms </w:t>
      </w:r>
      <w:r w:rsidR="000618E3">
        <w:rPr>
          <w:rFonts w:cstheme="minorHAnsi"/>
        </w:rPr>
        <w:t xml:space="preserve">in the United Kingdom and Wales </w:t>
      </w:r>
      <w:r w:rsidRPr="00D274F7">
        <w:rPr>
          <w:rFonts w:cstheme="minorHAnsi"/>
        </w:rPr>
        <w:t xml:space="preserve">(Michel, 2022), but this can somewhat ‘narrow the audience’. </w:t>
      </w:r>
      <w:r>
        <w:rPr>
          <w:rFonts w:cstheme="minorHAnsi"/>
        </w:rPr>
        <w:t xml:space="preserve">Sustainability and education for sustainability are complex endeavours that must build upon an understanding of the interconnectedness and multidisciplinary nature of the economic, social and environmental aspects of society (Curran, 2009; Rosen, 2009; </w:t>
      </w:r>
      <w:r>
        <w:t xml:space="preserve">Šlaus and Jacobs, 2011). </w:t>
      </w:r>
    </w:p>
    <w:p w14:paraId="287E9497" w14:textId="77777777" w:rsidR="00114BDA" w:rsidRPr="00D274F7" w:rsidRDefault="00114BDA" w:rsidP="00114BDA">
      <w:pPr>
        <w:spacing w:line="360" w:lineRule="auto"/>
        <w:jc w:val="both"/>
        <w:rPr>
          <w:rFonts w:cstheme="minorHAnsi"/>
        </w:rPr>
      </w:pPr>
    </w:p>
    <w:p w14:paraId="1B171C74" w14:textId="33854D63" w:rsidR="00114BDA" w:rsidRDefault="00114BDA" w:rsidP="00114BDA">
      <w:pPr>
        <w:spacing w:line="360" w:lineRule="auto"/>
        <w:jc w:val="both"/>
        <w:rPr>
          <w:rFonts w:cstheme="minorHAnsi"/>
        </w:rPr>
      </w:pPr>
      <w:r w:rsidRPr="00D274F7">
        <w:rPr>
          <w:rFonts w:cstheme="minorHAnsi"/>
        </w:rPr>
        <w:t>In addition to reaching as many pupils as possible, teaching sustainability across the curriculum will allow each subject to address complex problems that cut across environmental</w:t>
      </w:r>
      <w:r w:rsidR="00FA3C10">
        <w:rPr>
          <w:rFonts w:cstheme="minorHAnsi"/>
        </w:rPr>
        <w:t xml:space="preserve"> and socioeconomic</w:t>
      </w:r>
      <w:r w:rsidRPr="00D274F7">
        <w:rPr>
          <w:rFonts w:cstheme="minorHAnsi"/>
        </w:rPr>
        <w:t xml:space="preserve"> domains from local and global scales (Fadeeva and Mochizuki 2010; </w:t>
      </w:r>
      <w:r w:rsidR="000618E3" w:rsidRPr="00D274F7">
        <w:rPr>
          <w:rFonts w:cstheme="minorHAnsi"/>
        </w:rPr>
        <w:t>Buckley and Michel 2020</w:t>
      </w:r>
      <w:r w:rsidR="000618E3">
        <w:rPr>
          <w:rFonts w:cstheme="minorHAnsi"/>
        </w:rPr>
        <w:t xml:space="preserve">; </w:t>
      </w:r>
      <w:r w:rsidRPr="00D274F7">
        <w:rPr>
          <w:rFonts w:cstheme="minorHAnsi"/>
        </w:rPr>
        <w:t>Michel 2020</w:t>
      </w:r>
      <w:r>
        <w:rPr>
          <w:rFonts w:cstheme="minorHAnsi"/>
        </w:rPr>
        <w:t xml:space="preserve">). </w:t>
      </w:r>
      <w:r w:rsidRPr="00D274F7">
        <w:rPr>
          <w:rFonts w:cstheme="minorHAnsi"/>
        </w:rPr>
        <w:t>However, the curriculum in Wales does not currently explicitly state this should be the case, despite a recent reform of the Welsh National Curriculum.</w:t>
      </w:r>
      <w:r>
        <w:rPr>
          <w:rFonts w:cstheme="minorHAnsi"/>
        </w:rPr>
        <w:t xml:space="preserve"> Rather, it stipulates that pupils should be developed to </w:t>
      </w:r>
      <w:r w:rsidRPr="00FB1D43">
        <w:rPr>
          <w:rFonts w:cstheme="minorHAnsi"/>
        </w:rPr>
        <w:t>become “ethical, informed citizens”</w:t>
      </w:r>
      <w:r w:rsidR="00FB1D43">
        <w:rPr>
          <w:rFonts w:cstheme="minorHAnsi"/>
        </w:rPr>
        <w:t xml:space="preserve"> (</w:t>
      </w:r>
      <w:r w:rsidR="00FB1D43" w:rsidRPr="00A922B6">
        <w:rPr>
          <w:rFonts w:cstheme="minorHAnsi"/>
        </w:rPr>
        <w:t>Welsh Government, 2020</w:t>
      </w:r>
      <w:r w:rsidR="00A922B6">
        <w:rPr>
          <w:rFonts w:cstheme="minorHAnsi"/>
        </w:rPr>
        <w:t>; accessed via the CFW webpage)</w:t>
      </w:r>
      <w:r w:rsidRPr="000618E3">
        <w:rPr>
          <w:rFonts w:cstheme="minorHAnsi"/>
        </w:rPr>
        <w:t>.</w:t>
      </w:r>
      <w:r>
        <w:rPr>
          <w:rFonts w:cstheme="minorHAnsi"/>
        </w:rPr>
        <w:t xml:space="preserve"> One could argue that </w:t>
      </w:r>
      <w:r>
        <w:rPr>
          <w:rFonts w:cstheme="minorHAnsi"/>
        </w:rPr>
        <w:lastRenderedPageBreak/>
        <w:t>for this to be true, pupils should have a decent understanding on problems that cut across social, economic and environmental domains. However, it is not clear from newly produced guidance how to develop these attributes in pupils, therefore presenting the challenge of how best to do it.</w:t>
      </w:r>
      <w:r w:rsidR="000618E3">
        <w:rPr>
          <w:rFonts w:cstheme="minorHAnsi"/>
        </w:rPr>
        <w:t xml:space="preserve"> Once a conclusion is reached on how to best achieve this, it could be used in schools throughout Wales, and could also potentially be used by schools outside of Wales that have a similar structure and demographic to the school used in this study.</w:t>
      </w:r>
    </w:p>
    <w:p w14:paraId="60AB5F70" w14:textId="77777777" w:rsidR="00114BDA" w:rsidRDefault="00114BDA" w:rsidP="00114BDA">
      <w:pPr>
        <w:spacing w:line="360" w:lineRule="auto"/>
        <w:jc w:val="both"/>
        <w:rPr>
          <w:rFonts w:cstheme="minorHAnsi"/>
        </w:rPr>
      </w:pPr>
    </w:p>
    <w:p w14:paraId="2979289A" w14:textId="77777777" w:rsidR="00114BDA" w:rsidRPr="00D274F7" w:rsidRDefault="00114BDA" w:rsidP="00114BDA">
      <w:pPr>
        <w:spacing w:line="360" w:lineRule="auto"/>
        <w:jc w:val="both"/>
        <w:rPr>
          <w:rFonts w:cstheme="minorHAnsi"/>
        </w:rPr>
      </w:pPr>
      <w:r>
        <w:rPr>
          <w:rFonts w:cstheme="minorHAnsi"/>
        </w:rPr>
        <w:t xml:space="preserve">Sidenvall </w:t>
      </w:r>
      <w:r w:rsidRPr="001163A1">
        <w:rPr>
          <w:rFonts w:cstheme="minorHAnsi"/>
          <w:i/>
          <w:iCs/>
        </w:rPr>
        <w:t>et al.</w:t>
      </w:r>
      <w:r>
        <w:rPr>
          <w:rFonts w:cstheme="minorHAnsi"/>
        </w:rPr>
        <w:t xml:space="preserve">, (2022) state that ‘there is no one way to define a problem’, and that the literature agrees that facing a problem means that we cannot simply use a previously given path, experience or method to find the solution. The same would be true when considering the problems facing the education system in Wales; a system that has faced criticism and pressure in the past. In a bid to overcome this, the Welsh Assembly Government pledged a whole system overhaul which commenced with a review of the system in place at the time. </w:t>
      </w:r>
    </w:p>
    <w:p w14:paraId="2817586A" w14:textId="77777777" w:rsidR="00114BDA" w:rsidRPr="00D274F7" w:rsidRDefault="00114BDA" w:rsidP="00114BDA">
      <w:pPr>
        <w:spacing w:line="360" w:lineRule="auto"/>
        <w:jc w:val="both"/>
        <w:rPr>
          <w:rFonts w:cstheme="minorHAnsi"/>
        </w:rPr>
      </w:pPr>
    </w:p>
    <w:p w14:paraId="22A7A464" w14:textId="77777777" w:rsidR="00114BDA" w:rsidRDefault="00114BDA" w:rsidP="00114BDA">
      <w:pPr>
        <w:spacing w:line="360" w:lineRule="auto"/>
        <w:jc w:val="both"/>
        <w:rPr>
          <w:rFonts w:cstheme="minorHAnsi"/>
        </w:rPr>
      </w:pPr>
      <w:r w:rsidRPr="00D274F7">
        <w:rPr>
          <w:rFonts w:cstheme="minorHAnsi"/>
        </w:rPr>
        <w:t xml:space="preserve">The last decade has seen the Welsh Curriculum receive criticisms, largely driven by international comparisons, such as the PISA tests, in which Wales has historically </w:t>
      </w:r>
      <w:r>
        <w:rPr>
          <w:rFonts w:cstheme="minorHAnsi"/>
        </w:rPr>
        <w:t>underperformed compared to</w:t>
      </w:r>
      <w:r w:rsidRPr="00D274F7">
        <w:rPr>
          <w:rFonts w:cstheme="minorHAnsi"/>
        </w:rPr>
        <w:t xml:space="preserve"> its neighbouring countries (Power </w:t>
      </w:r>
      <w:r w:rsidRPr="00D274F7">
        <w:rPr>
          <w:rFonts w:cstheme="minorHAnsi"/>
          <w:i/>
          <w:iCs/>
        </w:rPr>
        <w:t>et al.,</w:t>
      </w:r>
      <w:r w:rsidRPr="00D274F7">
        <w:rPr>
          <w:rFonts w:cstheme="minorHAnsi"/>
        </w:rPr>
        <w:t xml:space="preserve"> 2020). </w:t>
      </w:r>
      <w:r>
        <w:rPr>
          <w:rFonts w:cstheme="minorHAnsi"/>
        </w:rPr>
        <w:t xml:space="preserve">Following this series of bad results in international comparisons, the Welsh Government pursued the creation of a new curriculum, that aimed at creating an entrepreneurial culture both through the curriculum and assessment approach (Penaluna </w:t>
      </w:r>
      <w:r w:rsidRPr="00FC61EE">
        <w:rPr>
          <w:rFonts w:cstheme="minorHAnsi"/>
          <w:i/>
          <w:iCs/>
        </w:rPr>
        <w:t>et al</w:t>
      </w:r>
      <w:r>
        <w:rPr>
          <w:rFonts w:cstheme="minorHAnsi"/>
        </w:rPr>
        <w:t xml:space="preserve">., 2020; Margherita </w:t>
      </w:r>
      <w:r w:rsidRPr="00FC61EE">
        <w:rPr>
          <w:rFonts w:cstheme="minorHAnsi"/>
          <w:i/>
          <w:iCs/>
        </w:rPr>
        <w:t>et al</w:t>
      </w:r>
      <w:r>
        <w:rPr>
          <w:rFonts w:cstheme="minorHAnsi"/>
        </w:rPr>
        <w:t xml:space="preserve">., 2016; Weicht and </w:t>
      </w:r>
      <w:r w:rsidRPr="00657BC8">
        <w:rPr>
          <w:rFonts w:cstheme="minorHAnsi"/>
        </w:rPr>
        <w:t>Jónsdóttir,</w:t>
      </w:r>
      <w:r>
        <w:rPr>
          <w:rFonts w:cstheme="minorHAnsi"/>
        </w:rPr>
        <w:t xml:space="preserve"> 2021; Power </w:t>
      </w:r>
      <w:r w:rsidRPr="00FC61EE">
        <w:rPr>
          <w:rFonts w:cstheme="minorHAnsi"/>
          <w:i/>
          <w:iCs/>
        </w:rPr>
        <w:t>et al</w:t>
      </w:r>
      <w:r>
        <w:rPr>
          <w:rFonts w:cstheme="minorHAnsi"/>
        </w:rPr>
        <w:t xml:space="preserve">., 2020). </w:t>
      </w:r>
      <w:r w:rsidRPr="00D274F7">
        <w:rPr>
          <w:rFonts w:cstheme="minorHAnsi"/>
        </w:rPr>
        <w:t xml:space="preserve">Additionally, in December 2013, the then English Secretary of State for Education Michael Gove warned voters in England that ‘you need only look over the Severn to see a country going backwards’ (Power </w:t>
      </w:r>
      <w:r w:rsidRPr="00D274F7">
        <w:rPr>
          <w:rFonts w:cstheme="minorHAnsi"/>
          <w:i/>
          <w:iCs/>
        </w:rPr>
        <w:t>et al</w:t>
      </w:r>
      <w:r w:rsidRPr="00D274F7">
        <w:rPr>
          <w:rFonts w:cstheme="minorHAnsi"/>
        </w:rPr>
        <w:t xml:space="preserve">., 2020). To combat this, the Welsh Government commissioned Graham Donaldson, a former teacher and school inspector, to undertake an independent review of the curriculum in Wales (Power </w:t>
      </w:r>
      <w:r w:rsidRPr="00D274F7">
        <w:rPr>
          <w:rFonts w:cstheme="minorHAnsi"/>
          <w:i/>
          <w:iCs/>
        </w:rPr>
        <w:t>et al</w:t>
      </w:r>
      <w:r w:rsidRPr="00D274F7">
        <w:rPr>
          <w:rFonts w:cstheme="minorHAnsi"/>
        </w:rPr>
        <w:t xml:space="preserve">., 2020). </w:t>
      </w:r>
    </w:p>
    <w:p w14:paraId="145A478E" w14:textId="77777777" w:rsidR="00114BDA" w:rsidRPr="00D274F7" w:rsidRDefault="00114BDA" w:rsidP="00114BDA">
      <w:pPr>
        <w:spacing w:line="360" w:lineRule="auto"/>
        <w:jc w:val="both"/>
        <w:rPr>
          <w:rFonts w:cstheme="minorHAnsi"/>
        </w:rPr>
      </w:pPr>
    </w:p>
    <w:p w14:paraId="6677C10A" w14:textId="2F95AA50" w:rsidR="00114BDA" w:rsidRDefault="00114BDA" w:rsidP="00114BDA">
      <w:pPr>
        <w:spacing w:line="360" w:lineRule="auto"/>
        <w:jc w:val="both"/>
        <w:rPr>
          <w:rFonts w:cstheme="minorHAnsi"/>
        </w:rPr>
      </w:pPr>
      <w:r>
        <w:rPr>
          <w:rFonts w:cstheme="minorHAnsi"/>
        </w:rPr>
        <w:t>The</w:t>
      </w:r>
      <w:r w:rsidRPr="006A242C">
        <w:t xml:space="preserve"> </w:t>
      </w:r>
      <w:r>
        <w:t>“Successful Futures; Independent Review of Curriculum and Assessment Arrangements in Wales</w:t>
      </w:r>
      <w:r>
        <w:rPr>
          <w:rFonts w:cstheme="minorHAnsi"/>
        </w:rPr>
        <w:t xml:space="preserve">” report (or Donaldson review) sought to determine how Welsh schools can prepare learners for an uncertain future (Donaldson, 2015). </w:t>
      </w:r>
      <w:r w:rsidRPr="00D274F7">
        <w:rPr>
          <w:rFonts w:cstheme="minorHAnsi"/>
        </w:rPr>
        <w:t>The report written by Donaldson</w:t>
      </w:r>
      <w:r>
        <w:rPr>
          <w:rFonts w:cstheme="minorHAnsi"/>
        </w:rPr>
        <w:t xml:space="preserve"> </w:t>
      </w:r>
      <w:r w:rsidRPr="00D274F7">
        <w:rPr>
          <w:rFonts w:cstheme="minorHAnsi"/>
        </w:rPr>
        <w:t xml:space="preserve">was published in 2015 and received significant cross-party support, with Huw Lewis (Minister for Education and Skills at the time) fully accepting the recommendations of the report (Power </w:t>
      </w:r>
      <w:r w:rsidRPr="00D274F7">
        <w:rPr>
          <w:rFonts w:cstheme="minorHAnsi"/>
          <w:i/>
          <w:iCs/>
        </w:rPr>
        <w:t>et al</w:t>
      </w:r>
      <w:r w:rsidRPr="00D274F7">
        <w:rPr>
          <w:rFonts w:cstheme="minorHAnsi"/>
        </w:rPr>
        <w:t xml:space="preserve">., 2020). </w:t>
      </w:r>
      <w:r>
        <w:rPr>
          <w:rFonts w:cstheme="minorHAnsi"/>
        </w:rPr>
        <w:t xml:space="preserve">Donaldson outlined that education should help learners to become “enterprising </w:t>
      </w:r>
      <w:r>
        <w:rPr>
          <w:rFonts w:cstheme="minorHAnsi"/>
        </w:rPr>
        <w:lastRenderedPageBreak/>
        <w:t xml:space="preserve">and creative contributors’ who will be able to contribute </w:t>
      </w:r>
      <w:r w:rsidR="00A44FCD">
        <w:rPr>
          <w:rFonts w:cstheme="minorHAnsi"/>
        </w:rPr>
        <w:t>to</w:t>
      </w:r>
      <w:r>
        <w:rPr>
          <w:rFonts w:cstheme="minorHAnsi"/>
        </w:rPr>
        <w:t xml:space="preserve"> life and work, and be ethical, infirmed citizens who are ready to be citizens of Wales and the world” </w:t>
      </w:r>
      <w:r w:rsidRPr="00657BC8">
        <w:rPr>
          <w:rFonts w:cstheme="minorHAnsi"/>
        </w:rPr>
        <w:t>(Donaldson, 2015).</w:t>
      </w:r>
      <w:r>
        <w:rPr>
          <w:rFonts w:cstheme="minorHAnsi"/>
        </w:rPr>
        <w:t xml:space="preserve"> </w:t>
      </w:r>
      <w:r w:rsidRPr="00D274F7">
        <w:rPr>
          <w:rFonts w:cstheme="minorHAnsi"/>
        </w:rPr>
        <w:t xml:space="preserve">These recommendations were then used to develop the new Curriculum for Wales, which was rolled out in September of </w:t>
      </w:r>
      <w:r>
        <w:rPr>
          <w:rFonts w:cstheme="minorHAnsi"/>
        </w:rPr>
        <w:t>last</w:t>
      </w:r>
      <w:r w:rsidRPr="00D274F7">
        <w:rPr>
          <w:rFonts w:cstheme="minorHAnsi"/>
        </w:rPr>
        <w:t xml:space="preserve"> year (2022). </w:t>
      </w:r>
      <w:r>
        <w:rPr>
          <w:rFonts w:cstheme="minorHAnsi"/>
        </w:rPr>
        <w:t xml:space="preserve">The new Curriculum for Wales (CFW) is a strategic response to criticism on the education system in Wales (Weicht and </w:t>
      </w:r>
      <w:r w:rsidRPr="006A242C">
        <w:rPr>
          <w:rFonts w:cstheme="minorHAnsi"/>
        </w:rPr>
        <w:t>Jónsdóttir,</w:t>
      </w:r>
      <w:r>
        <w:rPr>
          <w:rFonts w:cstheme="minorHAnsi"/>
        </w:rPr>
        <w:t xml:space="preserve"> 2021).</w:t>
      </w:r>
    </w:p>
    <w:p w14:paraId="1B358E27" w14:textId="77777777" w:rsidR="00114BDA" w:rsidRDefault="00114BDA" w:rsidP="00114BDA">
      <w:pPr>
        <w:spacing w:line="360" w:lineRule="auto"/>
        <w:jc w:val="both"/>
        <w:rPr>
          <w:rFonts w:cstheme="minorHAnsi"/>
        </w:rPr>
      </w:pPr>
    </w:p>
    <w:p w14:paraId="709B28C2" w14:textId="77777777" w:rsidR="00114BDA" w:rsidRPr="00D274F7" w:rsidRDefault="00114BDA" w:rsidP="00114BDA">
      <w:pPr>
        <w:spacing w:line="360" w:lineRule="auto"/>
        <w:jc w:val="both"/>
        <w:rPr>
          <w:rFonts w:cstheme="minorHAnsi"/>
        </w:rPr>
      </w:pPr>
      <w:r>
        <w:rPr>
          <w:rFonts w:cstheme="minorHAnsi"/>
        </w:rPr>
        <w:t xml:space="preserve">The proposed Curriculum for Wales 2022 presents a bold new vision for curriculum, teaching and learning (Sinnema </w:t>
      </w:r>
      <w:r w:rsidRPr="00FC61EE">
        <w:rPr>
          <w:rFonts w:cstheme="minorHAnsi"/>
          <w:i/>
          <w:iCs/>
        </w:rPr>
        <w:t>et al</w:t>
      </w:r>
      <w:r>
        <w:rPr>
          <w:rFonts w:cstheme="minorHAnsi"/>
        </w:rPr>
        <w:t>., 2020). As well as four key purposes, it affords substantially more flexibility and autonomy to teachers and schools, positions learners central to decision making, promotes active forms of pedagogy and reduces specification of curriculum content. Thus, allowing schools to make more autonomous decisions around what content to deliver, and how to deliver it.</w:t>
      </w:r>
    </w:p>
    <w:p w14:paraId="0B779C55" w14:textId="77777777" w:rsidR="00114BDA" w:rsidRPr="00D274F7" w:rsidRDefault="00114BDA" w:rsidP="00114BDA">
      <w:pPr>
        <w:spacing w:line="360" w:lineRule="auto"/>
        <w:jc w:val="both"/>
        <w:rPr>
          <w:rFonts w:cstheme="minorHAnsi"/>
        </w:rPr>
      </w:pPr>
    </w:p>
    <w:p w14:paraId="06B5141E" w14:textId="77777777" w:rsidR="00114BDA" w:rsidRPr="00D274F7" w:rsidRDefault="00114BDA" w:rsidP="00114BDA">
      <w:pPr>
        <w:spacing w:line="360" w:lineRule="auto"/>
        <w:jc w:val="both"/>
        <w:rPr>
          <w:rFonts w:cstheme="minorHAnsi"/>
        </w:rPr>
      </w:pPr>
      <w:r w:rsidRPr="00D274F7">
        <w:rPr>
          <w:rFonts w:cstheme="minorHAnsi"/>
        </w:rPr>
        <w:t>Under the new curriculum, schools are required to develop their own school level curricula which should be based on, and designed to, instil the four core purposes of the new curriculum:</w:t>
      </w:r>
    </w:p>
    <w:p w14:paraId="6BD16EF4" w14:textId="77777777" w:rsidR="00114BDA" w:rsidRPr="00D274F7" w:rsidRDefault="00114BDA" w:rsidP="00114BDA">
      <w:pPr>
        <w:pStyle w:val="ListParagraph"/>
        <w:numPr>
          <w:ilvl w:val="0"/>
          <w:numId w:val="1"/>
        </w:numPr>
        <w:spacing w:line="360" w:lineRule="auto"/>
        <w:jc w:val="both"/>
        <w:rPr>
          <w:rFonts w:cstheme="minorHAnsi"/>
        </w:rPr>
      </w:pPr>
      <w:r w:rsidRPr="00D274F7">
        <w:rPr>
          <w:rFonts w:cstheme="minorHAnsi"/>
        </w:rPr>
        <w:t xml:space="preserve">ambitious, capable learners who are ready to learn throughout their lives. </w:t>
      </w:r>
    </w:p>
    <w:p w14:paraId="5C9A7F59" w14:textId="77777777" w:rsidR="00114BDA" w:rsidRPr="00D274F7" w:rsidRDefault="00114BDA" w:rsidP="00114BDA">
      <w:pPr>
        <w:pStyle w:val="ListParagraph"/>
        <w:numPr>
          <w:ilvl w:val="0"/>
          <w:numId w:val="1"/>
        </w:numPr>
        <w:spacing w:line="360" w:lineRule="auto"/>
        <w:jc w:val="both"/>
        <w:rPr>
          <w:rFonts w:cstheme="minorHAnsi"/>
        </w:rPr>
      </w:pPr>
      <w:r w:rsidRPr="00D274F7">
        <w:rPr>
          <w:rFonts w:cstheme="minorHAnsi"/>
        </w:rPr>
        <w:t xml:space="preserve">healthy, confident individuals who are ready to lead fulfilling lives as valued members of society. </w:t>
      </w:r>
    </w:p>
    <w:p w14:paraId="2E146B26" w14:textId="77777777" w:rsidR="00114BDA" w:rsidRPr="00D274F7" w:rsidRDefault="00114BDA" w:rsidP="00114BDA">
      <w:pPr>
        <w:pStyle w:val="ListParagraph"/>
        <w:numPr>
          <w:ilvl w:val="0"/>
          <w:numId w:val="1"/>
        </w:numPr>
        <w:spacing w:line="360" w:lineRule="auto"/>
        <w:jc w:val="both"/>
        <w:rPr>
          <w:rFonts w:cstheme="minorHAnsi"/>
        </w:rPr>
      </w:pPr>
      <w:r w:rsidRPr="00D274F7">
        <w:rPr>
          <w:rFonts w:cstheme="minorHAnsi"/>
        </w:rPr>
        <w:t xml:space="preserve">enterprising, creative contributors who are ready to play a full part in life and work; and </w:t>
      </w:r>
    </w:p>
    <w:p w14:paraId="605F6745" w14:textId="77777777" w:rsidR="00114BDA" w:rsidRPr="00D274F7" w:rsidRDefault="00114BDA" w:rsidP="00114BDA">
      <w:pPr>
        <w:pStyle w:val="ListParagraph"/>
        <w:numPr>
          <w:ilvl w:val="0"/>
          <w:numId w:val="1"/>
        </w:numPr>
        <w:spacing w:line="360" w:lineRule="auto"/>
        <w:jc w:val="both"/>
        <w:rPr>
          <w:rFonts w:cstheme="minorHAnsi"/>
        </w:rPr>
      </w:pPr>
      <w:r w:rsidRPr="00D274F7">
        <w:rPr>
          <w:rFonts w:cstheme="minorHAnsi"/>
        </w:rPr>
        <w:t xml:space="preserve">ethical, informed citizens who are ready to be citizens of Wales and the world </w:t>
      </w:r>
      <w:r>
        <w:rPr>
          <w:rFonts w:cstheme="minorHAnsi"/>
        </w:rPr>
        <w:t>(Welsh Government, 2020b)</w:t>
      </w:r>
    </w:p>
    <w:p w14:paraId="4709B36F" w14:textId="77777777" w:rsidR="00114BDA" w:rsidRPr="00D274F7" w:rsidRDefault="00114BDA" w:rsidP="00114BDA">
      <w:pPr>
        <w:spacing w:line="360" w:lineRule="auto"/>
        <w:jc w:val="both"/>
        <w:rPr>
          <w:rFonts w:cstheme="minorHAnsi"/>
        </w:rPr>
      </w:pPr>
      <w:r w:rsidRPr="00D274F7">
        <w:rPr>
          <w:rFonts w:cstheme="minorHAnsi"/>
        </w:rPr>
        <w:t>As well as the four core purposes are the three cross-curricular responsibilities:</w:t>
      </w:r>
    </w:p>
    <w:p w14:paraId="5A357C58" w14:textId="77777777" w:rsidR="00114BDA" w:rsidRPr="00D274F7" w:rsidRDefault="00114BDA" w:rsidP="00114BDA">
      <w:pPr>
        <w:pStyle w:val="ListParagraph"/>
        <w:numPr>
          <w:ilvl w:val="0"/>
          <w:numId w:val="2"/>
        </w:numPr>
        <w:spacing w:line="360" w:lineRule="auto"/>
        <w:jc w:val="both"/>
        <w:rPr>
          <w:rFonts w:cstheme="minorHAnsi"/>
        </w:rPr>
      </w:pPr>
      <w:r w:rsidRPr="00D274F7">
        <w:rPr>
          <w:rFonts w:cstheme="minorHAnsi"/>
        </w:rPr>
        <w:t>literacy</w:t>
      </w:r>
    </w:p>
    <w:p w14:paraId="50F01FB3" w14:textId="77777777" w:rsidR="00114BDA" w:rsidRPr="00D274F7" w:rsidRDefault="00114BDA" w:rsidP="00114BDA">
      <w:pPr>
        <w:pStyle w:val="ListParagraph"/>
        <w:numPr>
          <w:ilvl w:val="0"/>
          <w:numId w:val="2"/>
        </w:numPr>
        <w:spacing w:line="360" w:lineRule="auto"/>
        <w:jc w:val="both"/>
        <w:rPr>
          <w:rFonts w:cstheme="minorHAnsi"/>
        </w:rPr>
      </w:pPr>
      <w:r w:rsidRPr="00D274F7">
        <w:rPr>
          <w:rFonts w:cstheme="minorHAnsi"/>
        </w:rPr>
        <w:t>numeracy</w:t>
      </w:r>
    </w:p>
    <w:p w14:paraId="26FCE6CD" w14:textId="77777777" w:rsidR="00114BDA" w:rsidRPr="00D274F7" w:rsidRDefault="00114BDA" w:rsidP="00114BDA">
      <w:pPr>
        <w:pStyle w:val="ListParagraph"/>
        <w:numPr>
          <w:ilvl w:val="0"/>
          <w:numId w:val="2"/>
        </w:numPr>
        <w:spacing w:line="360" w:lineRule="auto"/>
        <w:jc w:val="both"/>
        <w:rPr>
          <w:rFonts w:cstheme="minorHAnsi"/>
        </w:rPr>
      </w:pPr>
      <w:r w:rsidRPr="00D274F7">
        <w:rPr>
          <w:rFonts w:cstheme="minorHAnsi"/>
        </w:rPr>
        <w:t>digital competence</w:t>
      </w:r>
    </w:p>
    <w:p w14:paraId="4F2F18F8" w14:textId="77777777" w:rsidR="00114BDA" w:rsidRPr="00D274F7" w:rsidRDefault="00114BDA" w:rsidP="00114BDA">
      <w:pPr>
        <w:spacing w:line="360" w:lineRule="auto"/>
        <w:jc w:val="both"/>
        <w:rPr>
          <w:rFonts w:cstheme="minorHAnsi"/>
        </w:rPr>
      </w:pPr>
    </w:p>
    <w:p w14:paraId="5CDDBB68" w14:textId="77777777" w:rsidR="00114BDA" w:rsidRDefault="00114BDA" w:rsidP="00114BDA">
      <w:pPr>
        <w:spacing w:line="360" w:lineRule="auto"/>
        <w:jc w:val="both"/>
        <w:rPr>
          <w:rFonts w:cstheme="minorHAnsi"/>
        </w:rPr>
      </w:pPr>
      <w:r w:rsidRPr="00D274F7">
        <w:rPr>
          <w:rFonts w:cstheme="minorHAnsi"/>
        </w:rPr>
        <w:t xml:space="preserve">To put it briefly, these new purposes are aiming to ensure ‘that our young people are able to lead fulfilling personal, civic and professional </w:t>
      </w:r>
      <w:r w:rsidRPr="00A10EDC">
        <w:rPr>
          <w:rFonts w:cstheme="minorHAnsi"/>
        </w:rPr>
        <w:t>lives’ (Welsh Government, 2019).</w:t>
      </w:r>
      <w:r w:rsidRPr="00D274F7">
        <w:rPr>
          <w:rFonts w:cstheme="minorHAnsi"/>
        </w:rPr>
        <w:t xml:space="preserve"> This decision to focus on explicit aims as opposed to discrete subject areas as in the old Welsh Curriculum </w:t>
      </w:r>
      <w:r w:rsidRPr="00D274F7">
        <w:rPr>
          <w:rFonts w:cstheme="minorHAnsi"/>
        </w:rPr>
        <w:lastRenderedPageBreak/>
        <w:t>has been designed to guide the entire curriculum (Gatley, 2020). The bulk of the curriculum’s content is set out by the Areas of Learning and Experience, which are made up of groupings of school subjects</w:t>
      </w:r>
      <w:r>
        <w:rPr>
          <w:rFonts w:cstheme="minorHAnsi"/>
        </w:rPr>
        <w:t xml:space="preserve">. </w:t>
      </w:r>
      <w:r w:rsidRPr="00D274F7">
        <w:rPr>
          <w:rFonts w:cstheme="minorHAnsi"/>
        </w:rPr>
        <w:t xml:space="preserve">In his 2015 review, Donaldson claims that maintaining an ‘identifiable core of disciplinary and instrumental knowledge’ and a ‘broad and balanced education’ is a priority </w:t>
      </w:r>
      <w:r>
        <w:rPr>
          <w:rFonts w:cstheme="minorHAnsi"/>
        </w:rPr>
        <w:t>(Donaldson, 2015).</w:t>
      </w:r>
      <w:r w:rsidRPr="00D274F7">
        <w:rPr>
          <w:rFonts w:cstheme="minorHAnsi"/>
        </w:rPr>
        <w:t xml:space="preserve"> Given the pressing environmental issues and crises around the world, there could be an argument that sustainability and environmental education is needed across the curriculum to ensure material is ‘broad and balanced’ and seen as ‘instrumental knowledge’. </w:t>
      </w:r>
    </w:p>
    <w:p w14:paraId="416B7267" w14:textId="77777777" w:rsidR="00114BDA" w:rsidRDefault="00114BDA" w:rsidP="00114BDA">
      <w:pPr>
        <w:spacing w:line="360" w:lineRule="auto"/>
        <w:jc w:val="both"/>
        <w:rPr>
          <w:rFonts w:cstheme="minorHAnsi"/>
        </w:rPr>
      </w:pPr>
    </w:p>
    <w:p w14:paraId="5210A94A" w14:textId="77777777" w:rsidR="00114BDA" w:rsidRDefault="00114BDA" w:rsidP="00114BDA">
      <w:pPr>
        <w:spacing w:line="360" w:lineRule="auto"/>
        <w:jc w:val="both"/>
        <w:rPr>
          <w:rFonts w:cstheme="minorHAnsi"/>
        </w:rPr>
      </w:pPr>
      <w:r>
        <w:rPr>
          <w:rFonts w:cstheme="minorHAnsi"/>
        </w:rPr>
        <w:t xml:space="preserve">The new Curriculum for Wales (CFW) places an emphasis on a connection with society, authentic context, and cross-curricular links through real-life experiences (Weicht and </w:t>
      </w:r>
      <w:r w:rsidRPr="003E10AD">
        <w:rPr>
          <w:rFonts w:cstheme="minorHAnsi"/>
        </w:rPr>
        <w:t>Jónsdóttir,</w:t>
      </w:r>
      <w:r>
        <w:rPr>
          <w:rFonts w:cstheme="minorHAnsi"/>
        </w:rPr>
        <w:t xml:space="preserve"> 2021). Learners are encouraged to exercise their democratic rights, imagine possible futures, and take social action (Weicht and </w:t>
      </w:r>
      <w:r w:rsidRPr="003E10AD">
        <w:rPr>
          <w:rFonts w:cstheme="minorHAnsi"/>
        </w:rPr>
        <w:t>Jónsdóttir,</w:t>
      </w:r>
      <w:r>
        <w:rPr>
          <w:rFonts w:cstheme="minorHAnsi"/>
        </w:rPr>
        <w:t xml:space="preserve"> 2021). </w:t>
      </w:r>
    </w:p>
    <w:p w14:paraId="643B6DD9" w14:textId="77777777" w:rsidR="00114BDA" w:rsidRDefault="00114BDA" w:rsidP="00114BDA">
      <w:pPr>
        <w:spacing w:line="360" w:lineRule="auto"/>
        <w:jc w:val="both"/>
        <w:rPr>
          <w:rFonts w:cstheme="minorHAnsi"/>
        </w:rPr>
      </w:pPr>
    </w:p>
    <w:p w14:paraId="56F2023C" w14:textId="77777777" w:rsidR="00114BDA" w:rsidRPr="00D274F7" w:rsidRDefault="00114BDA" w:rsidP="00114BDA">
      <w:pPr>
        <w:spacing w:line="360" w:lineRule="auto"/>
        <w:jc w:val="both"/>
        <w:rPr>
          <w:rFonts w:cstheme="minorHAnsi"/>
        </w:rPr>
      </w:pPr>
      <w:r>
        <w:rPr>
          <w:rFonts w:cstheme="minorHAnsi"/>
        </w:rPr>
        <w:t xml:space="preserve">A competency based curriculum seeks to link the education received in the classroom to real-life experiences, as this is seen to help learners acquire knowledge, skills, values and attitudes to assess, criticise, analyse and practically apply this to reality (Mulenga and Kabombwe, 2019). In this regard, learners should be provided with contextualised examples during the teaching and learning process which they will be able to apply later in life. The new curriculum in Wales also sees teachers and practitioners afforded more autonomy and flexibility in curriculum design, a positive of which is it increases the responsiveness to local needs and interests (Sinnema </w:t>
      </w:r>
      <w:r w:rsidRPr="00FC61EE">
        <w:rPr>
          <w:rFonts w:cstheme="minorHAnsi"/>
          <w:i/>
          <w:iCs/>
        </w:rPr>
        <w:t>et al.,</w:t>
      </w:r>
      <w:r>
        <w:rPr>
          <w:rFonts w:cstheme="minorHAnsi"/>
        </w:rPr>
        <w:t xml:space="preserve"> 2020). </w:t>
      </w:r>
    </w:p>
    <w:p w14:paraId="1D4CA0EC" w14:textId="77777777" w:rsidR="00114BDA" w:rsidRPr="00D274F7" w:rsidRDefault="00114BDA" w:rsidP="00114BDA">
      <w:pPr>
        <w:spacing w:line="360" w:lineRule="auto"/>
        <w:jc w:val="both"/>
        <w:rPr>
          <w:rFonts w:cstheme="minorHAnsi"/>
        </w:rPr>
      </w:pPr>
    </w:p>
    <w:p w14:paraId="1FC65182" w14:textId="549040FE" w:rsidR="00114BDA" w:rsidRDefault="00114BDA" w:rsidP="00114BDA">
      <w:pPr>
        <w:spacing w:line="360" w:lineRule="auto"/>
        <w:jc w:val="both"/>
        <w:rPr>
          <w:rFonts w:cstheme="minorHAnsi"/>
        </w:rPr>
      </w:pPr>
      <w:r w:rsidRPr="00D274F7">
        <w:rPr>
          <w:rFonts w:cstheme="minorHAnsi"/>
        </w:rPr>
        <w:t xml:space="preserve">This report will explore the importance of educating pupils about the environment and </w:t>
      </w:r>
      <w:r w:rsidR="00A44FCD" w:rsidRPr="00D274F7">
        <w:rPr>
          <w:rFonts w:cstheme="minorHAnsi"/>
        </w:rPr>
        <w:t>sustainability and</w:t>
      </w:r>
      <w:r w:rsidRPr="00D274F7">
        <w:rPr>
          <w:rFonts w:cstheme="minorHAnsi"/>
        </w:rPr>
        <w:t xml:space="preserve"> examine successful ways of delivering this topic across the curriculum of a secondary school in South Wales.</w:t>
      </w:r>
      <w:r w:rsidR="001A1C9F">
        <w:rPr>
          <w:rFonts w:cstheme="minorHAnsi"/>
        </w:rPr>
        <w:t xml:space="preserve"> The overall research aim for this study is to explore the possibility of a whole school, cross-curricular framework to support the delivery of environmental education in all subjects, and by all teachers. The specific objectives of this study will be:</w:t>
      </w:r>
    </w:p>
    <w:p w14:paraId="53BA6061" w14:textId="485C3305" w:rsidR="001A1C9F" w:rsidRPr="001A1C9F" w:rsidRDefault="001A1C9F" w:rsidP="001A1C9F">
      <w:pPr>
        <w:pStyle w:val="ListParagraph"/>
        <w:numPr>
          <w:ilvl w:val="0"/>
          <w:numId w:val="7"/>
        </w:numPr>
        <w:spacing w:line="360" w:lineRule="auto"/>
        <w:jc w:val="both"/>
        <w:rPr>
          <w:rFonts w:cstheme="minorHAnsi"/>
        </w:rPr>
      </w:pPr>
      <w:r w:rsidRPr="001A1C9F">
        <w:rPr>
          <w:rFonts w:cstheme="minorHAnsi"/>
        </w:rPr>
        <w:t xml:space="preserve">To identify areas where environmental education is already being delivered. </w:t>
      </w:r>
    </w:p>
    <w:p w14:paraId="141E2D3F" w14:textId="0D2EBB90" w:rsidR="001A1C9F" w:rsidRPr="001A1C9F" w:rsidRDefault="001A1C9F" w:rsidP="001A1C9F">
      <w:pPr>
        <w:pStyle w:val="ListParagraph"/>
        <w:numPr>
          <w:ilvl w:val="0"/>
          <w:numId w:val="7"/>
        </w:numPr>
        <w:spacing w:line="360" w:lineRule="auto"/>
        <w:jc w:val="both"/>
        <w:rPr>
          <w:rFonts w:cstheme="minorHAnsi"/>
        </w:rPr>
      </w:pPr>
      <w:r w:rsidRPr="001A1C9F">
        <w:rPr>
          <w:rFonts w:cstheme="minorHAnsi"/>
        </w:rPr>
        <w:t>To evaluate current schemes of work for their environmental content.</w:t>
      </w:r>
    </w:p>
    <w:p w14:paraId="0EA153D5" w14:textId="6F04CD79" w:rsidR="001A1C9F" w:rsidRDefault="001A1C9F" w:rsidP="001A1C9F">
      <w:pPr>
        <w:pStyle w:val="ListParagraph"/>
        <w:numPr>
          <w:ilvl w:val="0"/>
          <w:numId w:val="7"/>
        </w:numPr>
        <w:spacing w:line="360" w:lineRule="auto"/>
        <w:jc w:val="both"/>
        <w:rPr>
          <w:rFonts w:cstheme="minorHAnsi"/>
        </w:rPr>
      </w:pPr>
      <w:r w:rsidRPr="001A1C9F">
        <w:rPr>
          <w:rFonts w:cstheme="minorHAnsi"/>
        </w:rPr>
        <w:lastRenderedPageBreak/>
        <w:t>To propose a number of recommendations as to where more environmental education can be included in lessons and schemes of work.</w:t>
      </w:r>
    </w:p>
    <w:p w14:paraId="6ABFE8EE" w14:textId="77777777" w:rsidR="001A1C9F" w:rsidRDefault="001A1C9F" w:rsidP="001A1C9F">
      <w:pPr>
        <w:spacing w:line="360" w:lineRule="auto"/>
        <w:jc w:val="both"/>
        <w:rPr>
          <w:rFonts w:cstheme="minorHAnsi"/>
        </w:rPr>
      </w:pPr>
    </w:p>
    <w:p w14:paraId="264B9850" w14:textId="0C19ADBE" w:rsidR="001A1C9F" w:rsidRPr="001A1C9F" w:rsidRDefault="001A1C9F" w:rsidP="001A1C9F">
      <w:pPr>
        <w:spacing w:line="360" w:lineRule="auto"/>
        <w:jc w:val="both"/>
        <w:rPr>
          <w:rFonts w:cstheme="minorHAnsi"/>
        </w:rPr>
      </w:pPr>
      <w:r>
        <w:rPr>
          <w:rFonts w:cstheme="minorHAnsi"/>
        </w:rPr>
        <w:t>The following section of this report looks at relevant literature to this proposed work, including similar studies that have been undertaken.</w:t>
      </w:r>
    </w:p>
    <w:p w14:paraId="16319E8D" w14:textId="77777777" w:rsidR="00114BDA" w:rsidRDefault="00114BDA" w:rsidP="00114BDA">
      <w:pPr>
        <w:spacing w:line="360" w:lineRule="auto"/>
        <w:jc w:val="both"/>
        <w:rPr>
          <w:rFonts w:cstheme="minorHAnsi"/>
        </w:rPr>
      </w:pPr>
    </w:p>
    <w:p w14:paraId="089C5527" w14:textId="77777777" w:rsidR="00114BDA" w:rsidRDefault="00114BDA" w:rsidP="00114BDA">
      <w:pPr>
        <w:spacing w:line="360" w:lineRule="auto"/>
        <w:jc w:val="both"/>
      </w:pPr>
    </w:p>
    <w:p w14:paraId="45C1501A" w14:textId="1504D38C" w:rsidR="00114BDA" w:rsidRDefault="00114BDA"/>
    <w:p w14:paraId="7534582E" w14:textId="7427D0FF" w:rsidR="00114BDA" w:rsidRDefault="00114BDA"/>
    <w:p w14:paraId="3689C33E" w14:textId="5E13FE0F" w:rsidR="00114BDA" w:rsidRDefault="00114BDA"/>
    <w:p w14:paraId="40066BCD" w14:textId="516275F5" w:rsidR="00114BDA" w:rsidRDefault="00114BDA"/>
    <w:p w14:paraId="495413B7" w14:textId="398539E8" w:rsidR="00114BDA" w:rsidRDefault="00114BDA"/>
    <w:p w14:paraId="470B5EBC" w14:textId="1A3E29E4" w:rsidR="00114BDA" w:rsidRDefault="00114BDA"/>
    <w:p w14:paraId="5DD9D044" w14:textId="0817A2A3" w:rsidR="00114BDA" w:rsidRDefault="00114BDA"/>
    <w:p w14:paraId="0DC70A34" w14:textId="27DF2F34" w:rsidR="00114BDA" w:rsidRDefault="00114BDA"/>
    <w:p w14:paraId="3822AE37" w14:textId="25824308" w:rsidR="00114BDA" w:rsidRDefault="00114BDA"/>
    <w:p w14:paraId="11525596" w14:textId="1EAA2081" w:rsidR="00114BDA" w:rsidRDefault="00114BDA"/>
    <w:p w14:paraId="7FADB380" w14:textId="45CC3002" w:rsidR="00114BDA" w:rsidRDefault="00114BDA"/>
    <w:p w14:paraId="455A95F7" w14:textId="3F380B62" w:rsidR="00114BDA" w:rsidRDefault="00114BDA"/>
    <w:p w14:paraId="64198298" w14:textId="41B3F2CF" w:rsidR="00114BDA" w:rsidRDefault="00114BDA"/>
    <w:p w14:paraId="2F76D720" w14:textId="7D27BDFD" w:rsidR="00114BDA" w:rsidRDefault="00114BDA"/>
    <w:p w14:paraId="78B08B2B" w14:textId="27D7DEFE" w:rsidR="00114BDA" w:rsidRDefault="00114BDA"/>
    <w:p w14:paraId="1F927F2E" w14:textId="5225D76F" w:rsidR="00114BDA" w:rsidRDefault="00114BDA"/>
    <w:p w14:paraId="10C6A15B" w14:textId="2F28E658" w:rsidR="00114BDA" w:rsidRDefault="00114BDA"/>
    <w:p w14:paraId="4F197FFB" w14:textId="204F9B00" w:rsidR="00114BDA" w:rsidRDefault="00114BDA"/>
    <w:p w14:paraId="6C2BF4BD" w14:textId="6D58E5C7" w:rsidR="00114BDA" w:rsidRDefault="00114BDA"/>
    <w:p w14:paraId="71BA1AEE" w14:textId="67E05321" w:rsidR="00627A98" w:rsidRPr="00560EEA" w:rsidRDefault="00560EEA" w:rsidP="00560EEA">
      <w:pPr>
        <w:pStyle w:val="Heading1"/>
      </w:pPr>
      <w:r>
        <w:br w:type="page"/>
      </w:r>
      <w:bookmarkStart w:id="7" w:name="_Toc131682232"/>
      <w:r w:rsidR="001A1C9F">
        <w:lastRenderedPageBreak/>
        <w:t xml:space="preserve">2.0 </w:t>
      </w:r>
      <w:r w:rsidR="00627A98">
        <w:t>Chapter 2: Literature Review</w:t>
      </w:r>
      <w:bookmarkEnd w:id="7"/>
    </w:p>
    <w:p w14:paraId="4B8E756F" w14:textId="4BE171C1" w:rsidR="00627A98" w:rsidRDefault="00627A98" w:rsidP="00627A98">
      <w:pPr>
        <w:spacing w:line="360" w:lineRule="auto"/>
        <w:jc w:val="both"/>
        <w:rPr>
          <w:rFonts w:cstheme="minorHAnsi"/>
          <w:u w:val="single"/>
        </w:rPr>
      </w:pPr>
    </w:p>
    <w:p w14:paraId="00A02597" w14:textId="32BCAA74" w:rsidR="001A1C9F" w:rsidRDefault="001A1C9F" w:rsidP="001A1C9F">
      <w:pPr>
        <w:spacing w:line="360" w:lineRule="auto"/>
        <w:jc w:val="both"/>
        <w:rPr>
          <w:rFonts w:cstheme="minorHAnsi"/>
        </w:rPr>
      </w:pPr>
      <w:r>
        <w:rPr>
          <w:rFonts w:cstheme="minorHAnsi"/>
        </w:rPr>
        <w:t xml:space="preserve">This literature review analyses relevant </w:t>
      </w:r>
      <w:r w:rsidR="00A44FCD">
        <w:rPr>
          <w:rFonts w:cstheme="minorHAnsi"/>
        </w:rPr>
        <w:t>literature and</w:t>
      </w:r>
      <w:r>
        <w:rPr>
          <w:rFonts w:cstheme="minorHAnsi"/>
        </w:rPr>
        <w:t xml:space="preserve"> </w:t>
      </w:r>
      <w:r>
        <w:rPr>
          <w:rFonts w:cstheme="minorHAnsi"/>
        </w:rPr>
        <w:t xml:space="preserve">explores how environmental education has been approached in the past. It also looks at curriculum reform and development, using examples from Wales and the wider world. Finally, a review of how various curricula have been implemented in </w:t>
      </w:r>
      <w:r w:rsidR="005109F3">
        <w:rPr>
          <w:rFonts w:cstheme="minorHAnsi"/>
        </w:rPr>
        <w:t>different settings will be evaluated and used to inform this study.</w:t>
      </w:r>
    </w:p>
    <w:p w14:paraId="22D5D6DA" w14:textId="77777777" w:rsidR="001A1C9F" w:rsidRDefault="001A1C9F" w:rsidP="00627A98">
      <w:pPr>
        <w:spacing w:line="360" w:lineRule="auto"/>
        <w:jc w:val="both"/>
        <w:rPr>
          <w:rFonts w:cstheme="minorHAnsi"/>
          <w:u w:val="single"/>
        </w:rPr>
      </w:pPr>
    </w:p>
    <w:p w14:paraId="0EC0F628" w14:textId="4D51CB3C" w:rsidR="00627A98" w:rsidRPr="00627A98" w:rsidRDefault="001A1C9F" w:rsidP="00627A98">
      <w:pPr>
        <w:pStyle w:val="Heading2"/>
      </w:pPr>
      <w:bookmarkStart w:id="8" w:name="_Toc131682233"/>
      <w:r>
        <w:t xml:space="preserve">2.1 </w:t>
      </w:r>
      <w:r w:rsidR="00627A98" w:rsidRPr="00627A98">
        <w:t>Education for the Environment</w:t>
      </w:r>
      <w:bookmarkEnd w:id="8"/>
    </w:p>
    <w:p w14:paraId="7625CE28" w14:textId="77777777" w:rsidR="001A1C9F" w:rsidRDefault="001A1C9F" w:rsidP="00627A98">
      <w:pPr>
        <w:spacing w:line="360" w:lineRule="auto"/>
        <w:jc w:val="both"/>
        <w:rPr>
          <w:rFonts w:cstheme="minorHAnsi"/>
        </w:rPr>
      </w:pPr>
    </w:p>
    <w:p w14:paraId="4EEC912C" w14:textId="29567DD3" w:rsidR="00627A98" w:rsidRPr="00D22BA5" w:rsidRDefault="00627A98" w:rsidP="00627A98">
      <w:pPr>
        <w:spacing w:line="360" w:lineRule="auto"/>
        <w:jc w:val="both"/>
        <w:rPr>
          <w:rFonts w:cstheme="minorHAnsi"/>
        </w:rPr>
      </w:pPr>
      <w:r>
        <w:rPr>
          <w:rFonts w:cstheme="minorHAnsi"/>
        </w:rPr>
        <w:t>It has long been proposed that environmental education should be about changing attitudes and engaging pupils in taking action on environmental problems (</w:t>
      </w:r>
      <w:r>
        <w:t xml:space="preserve">Breiting and Mogensen 1999; Posch 1999). This sentiment remains in the present day curriculum, with one aim of the new CFW being to develop fully informed, ethical citizens of Wales and the world. Environmental problems stemming from anthropogenic change, such as climate crises and environmental degradation pose a risk to humanity (Allen </w:t>
      </w:r>
      <w:r w:rsidRPr="00D22BA5">
        <w:rPr>
          <w:i/>
          <w:iCs/>
        </w:rPr>
        <w:t>et al</w:t>
      </w:r>
      <w:r>
        <w:t xml:space="preserve">. 2000; Rosenzweig </w:t>
      </w:r>
      <w:r w:rsidRPr="00D22BA5">
        <w:rPr>
          <w:i/>
          <w:iCs/>
        </w:rPr>
        <w:t>et al</w:t>
      </w:r>
      <w:r>
        <w:t xml:space="preserve">. 2008). Such threats are also linked to intensified social dilemmas like generational poverty and economic inequality (Agyeman </w:t>
      </w:r>
      <w:r w:rsidRPr="00D22BA5">
        <w:rPr>
          <w:i/>
          <w:iCs/>
        </w:rPr>
        <w:t>et al.,</w:t>
      </w:r>
      <w:r>
        <w:t xml:space="preserve"> 2003; Iverson 2016</w:t>
      </w:r>
      <w:r w:rsidRPr="0084425B">
        <w:t>).</w:t>
      </w:r>
      <w:r>
        <w:t xml:space="preserve"> Hence the importance of educating young people about such issues, so that they can have an awareness of issues in their local areas, and indeed the world. </w:t>
      </w:r>
      <w:r>
        <w:rPr>
          <w:rFonts w:cstheme="minorHAnsi"/>
        </w:rPr>
        <w:t xml:space="preserve">The CFW suggests that learners should have the opportunity to explore the multiple and connected issues of sustainability through “entrepreneurial education”, which affords them opportunities to </w:t>
      </w:r>
      <w:r>
        <w:t xml:space="preserve">“understand the interconnected nature of economic, environmental and social sustainability; justice and authority; and the need to live in and contribute to a fair and inclusive society” </w:t>
      </w:r>
      <w:r w:rsidRPr="00D22BA5">
        <w:t>(Welsh Government, 2020).</w:t>
      </w:r>
    </w:p>
    <w:p w14:paraId="648A13BB" w14:textId="77777777" w:rsidR="00627A98" w:rsidRDefault="00627A98" w:rsidP="00627A98">
      <w:pPr>
        <w:spacing w:line="360" w:lineRule="auto"/>
        <w:jc w:val="both"/>
      </w:pPr>
    </w:p>
    <w:p w14:paraId="2023E977" w14:textId="77777777" w:rsidR="00627A98" w:rsidRPr="00921919" w:rsidRDefault="00627A98" w:rsidP="00627A98">
      <w:pPr>
        <w:spacing w:line="360" w:lineRule="auto"/>
        <w:jc w:val="both"/>
        <w:rPr>
          <w:rFonts w:cstheme="minorHAnsi"/>
        </w:rPr>
      </w:pPr>
      <w:r>
        <w:t xml:space="preserve">The definition of environmental sustainability has been around since 1987, when the Brundtland Commissions report entitled ‘Our Common Future’ defined it as “meeting the needs of the present without compromising the ability of future generations to meet their own need”. And while sustainability is rooted in the natural environment, it is also very much a social issue (Michel, 2022). The term sustainability therefore refers to consideration of the natural environment, the needs of future generations, and the structural inequities embedded in decision-making about the natural environment (Michel, 2022). </w:t>
      </w:r>
    </w:p>
    <w:p w14:paraId="1CC04FBA" w14:textId="77777777" w:rsidR="00627A98" w:rsidRDefault="00627A98" w:rsidP="00627A98">
      <w:pPr>
        <w:spacing w:line="360" w:lineRule="auto"/>
        <w:jc w:val="both"/>
        <w:rPr>
          <w:rFonts w:cstheme="minorHAnsi"/>
          <w:u w:val="single"/>
        </w:rPr>
      </w:pPr>
    </w:p>
    <w:p w14:paraId="18BF4FB7" w14:textId="77777777" w:rsidR="00627A98" w:rsidRDefault="00627A98" w:rsidP="00627A98">
      <w:pPr>
        <w:spacing w:line="360" w:lineRule="auto"/>
        <w:jc w:val="both"/>
      </w:pPr>
      <w:r w:rsidRPr="003B2FF4">
        <w:rPr>
          <w:rFonts w:cstheme="minorHAnsi"/>
        </w:rPr>
        <w:lastRenderedPageBreak/>
        <w:t xml:space="preserve">In the past, many aspects of education for the environment have been adopted by curriculum developers (for example, </w:t>
      </w:r>
      <w:r w:rsidRPr="003B2FF4">
        <w:t xml:space="preserve">Naish </w:t>
      </w:r>
      <w:r w:rsidRPr="00D22BA5">
        <w:rPr>
          <w:i/>
          <w:iCs/>
        </w:rPr>
        <w:t>et al</w:t>
      </w:r>
      <w:r w:rsidRPr="003B2FF4">
        <w:t>. 1987</w:t>
      </w:r>
      <w:r>
        <w:t>;</w:t>
      </w:r>
      <w:r w:rsidRPr="003B2FF4">
        <w:t xml:space="preserve"> Curriculum Council for Wales 1992, 1993)</w:t>
      </w:r>
      <w:r>
        <w:t xml:space="preserve">, </w:t>
      </w:r>
      <w:r w:rsidRPr="003B2FF4">
        <w:t>including the national curriculum guidance document produced by the National Curriculum Council in 1990</w:t>
      </w:r>
      <w:r>
        <w:t xml:space="preserve">. </w:t>
      </w:r>
      <w:r w:rsidRPr="003B2FF4">
        <w:t>At the time this guidance paper was written, environmental education was considered an important feature of the curriculum and was a statutory, cross-curricular theme, with the guidance stating, “[Teachers should be] promoting positive attitudes towards the environment by encouraging</w:t>
      </w:r>
      <w:r>
        <w:t>:</w:t>
      </w:r>
      <w:r w:rsidRPr="003B2FF4">
        <w:t xml:space="preserve"> appreciation of and concern for the environment; independence of thought; respect for others’ beliefs” (NCC, 1990).</w:t>
      </w:r>
      <w:r>
        <w:t xml:space="preserve"> However, Cotton (2006) argues that there is little evidence provided on appropriate strategies for encouraging “appreciation of and concern for the environment”. There appears to be a similar comparison that could be made between this notion, and the new CFW. There are a number of seemingly important priorities in the new curriculum, but as it is being launched as supporting autonomy for schools and teachers, there is little to no guidance on how to encourage these positive attitudes to the world around them. There have been responses of both and excitement and scepticism from current teaching staff. They are excited about the greater autonomy, but sceptical about how successful the implementation of the curriculum will be, given the lack of prescriptiveness. </w:t>
      </w:r>
    </w:p>
    <w:p w14:paraId="7E61DB58" w14:textId="77777777" w:rsidR="00627A98" w:rsidRDefault="00627A98" w:rsidP="00627A98">
      <w:pPr>
        <w:spacing w:line="360" w:lineRule="auto"/>
        <w:jc w:val="both"/>
      </w:pPr>
    </w:p>
    <w:p w14:paraId="3E1D28D4" w14:textId="3D313636" w:rsidR="00627A98" w:rsidRDefault="00627A98" w:rsidP="00627A98">
      <w:pPr>
        <w:spacing w:line="360" w:lineRule="auto"/>
        <w:jc w:val="both"/>
      </w:pPr>
      <w:r>
        <w:t xml:space="preserve">Studies that have been conducted into the effectiveness of environmental education interventions are dated (for example Gross and Pizzini 1979; Yount and Horton 1992; Showers and Shrigley 1995; Uzzell 1999), and the literature does not seem to contain many up-to-date studies on the matter. Nevertheless, the studies that have been conducted into students’ attitudes on the environment remain relevant, however these studies have frequently produced contradictory results and largely fail to draw any substantial conclusions (Cotton, 2006). Rickinson (2001) undertook a review of the relevant literature at the time and found evidence to suggest that some interventions can lead to attitude change in the short-term, but little is known about the characteristics of successful programmes. It is possible that little is known about the effectiveness of programmes in the long-term due to lack of follow up research. It has been suggested by </w:t>
      </w:r>
      <w:r w:rsidRPr="00D22BA5">
        <w:t xml:space="preserve">Fullan (2001) </w:t>
      </w:r>
      <w:r w:rsidRPr="00E80CB2">
        <w:t>that</w:t>
      </w:r>
      <w:r>
        <w:t xml:space="preserve"> there are a number of possible reasons for this lack of long-term monitoring, one of which is a change in management or senior leaders in a school, meaning that staff that implement a strategy might not be in post long enough to reach a conclusion. Furthermore, for curriculum changes and new initiatives to be </w:t>
      </w:r>
      <w:r>
        <w:lastRenderedPageBreak/>
        <w:t>proven successful, they should remain in effect for a number of years (Grigg, 2016) allowing them to be monitored and altered as time goes by.</w:t>
      </w:r>
    </w:p>
    <w:p w14:paraId="23F98CD4" w14:textId="77777777" w:rsidR="001A1C9F" w:rsidRPr="001A1C9F" w:rsidRDefault="001A1C9F" w:rsidP="00627A98">
      <w:pPr>
        <w:spacing w:line="360" w:lineRule="auto"/>
        <w:jc w:val="both"/>
      </w:pPr>
    </w:p>
    <w:p w14:paraId="7FB413BF" w14:textId="5C0EC3BF" w:rsidR="00627A98" w:rsidRPr="00912A94" w:rsidRDefault="001A1C9F" w:rsidP="00627A98">
      <w:pPr>
        <w:pStyle w:val="Heading2"/>
      </w:pPr>
      <w:bookmarkStart w:id="9" w:name="_Toc131682234"/>
      <w:r>
        <w:t xml:space="preserve">2.2 </w:t>
      </w:r>
      <w:r w:rsidR="00627A98" w:rsidRPr="003B6935">
        <w:t>Curriculum Reform</w:t>
      </w:r>
      <w:bookmarkEnd w:id="9"/>
    </w:p>
    <w:p w14:paraId="3A667236" w14:textId="77777777" w:rsidR="00627A98" w:rsidRDefault="00627A98" w:rsidP="00627A98">
      <w:pPr>
        <w:spacing w:line="360" w:lineRule="auto"/>
        <w:jc w:val="both"/>
        <w:rPr>
          <w:rFonts w:cstheme="minorHAnsi"/>
        </w:rPr>
      </w:pPr>
    </w:p>
    <w:p w14:paraId="073843C8" w14:textId="77777777" w:rsidR="00627A98" w:rsidRDefault="00627A98" w:rsidP="00627A98">
      <w:pPr>
        <w:spacing w:line="360" w:lineRule="auto"/>
        <w:jc w:val="both"/>
        <w:rPr>
          <w:rFonts w:cstheme="minorHAnsi"/>
        </w:rPr>
      </w:pPr>
      <w:r>
        <w:rPr>
          <w:rFonts w:cstheme="minorHAnsi"/>
        </w:rPr>
        <w:t xml:space="preserve">The current cycle of curriculum reform in Wales was heralded in the Successful Futers Report (Donaldson, 2015), and has since been created by working groups consisting of Pioneer Schools, representatives from Estyn (school inspectorate), local authorities and Government (Sinnema </w:t>
      </w:r>
      <w:r w:rsidRPr="00D22BA5">
        <w:rPr>
          <w:rFonts w:cstheme="minorHAnsi"/>
          <w:i/>
          <w:iCs/>
        </w:rPr>
        <w:t>et al</w:t>
      </w:r>
      <w:r>
        <w:rPr>
          <w:rFonts w:cstheme="minorHAnsi"/>
        </w:rPr>
        <w:t xml:space="preserve">., 2020). Prior to implementation of the CFW, ‘Pioneer Schools’ were tasked with the development of the curriculum in more detail (Weight and </w:t>
      </w:r>
      <w:r w:rsidRPr="003E10AD">
        <w:rPr>
          <w:rFonts w:cstheme="minorHAnsi"/>
        </w:rPr>
        <w:t xml:space="preserve">Jónsdóttir, </w:t>
      </w:r>
      <w:r>
        <w:rPr>
          <w:rFonts w:cstheme="minorHAnsi"/>
        </w:rPr>
        <w:t xml:space="preserve">2021). Co-construction of the curriculum has been a ‘strong feature’ of the reform, and Crick and Priestley (2019) suggest that this has been a genuine rather than contrived process of engagement. The report by Donaldson focussed on how to help learners become active citizens and lifelong learners, and this played out in a pedagogy focussed on methods to develop skills with an emphasis on progression (Donaldson, 2015). These recommendations were accepted by the Welsh Government in full, and became the blueprint for the new CFW, which was scheduled to be rolled out to schools in 2022/23 (Weicht and </w:t>
      </w:r>
      <w:r w:rsidRPr="003E10AD">
        <w:rPr>
          <w:rFonts w:cstheme="minorHAnsi"/>
        </w:rPr>
        <w:t>Jónsdóttir,</w:t>
      </w:r>
      <w:r>
        <w:rPr>
          <w:rFonts w:cstheme="minorHAnsi"/>
        </w:rPr>
        <w:t xml:space="preserve"> 2021).</w:t>
      </w:r>
    </w:p>
    <w:p w14:paraId="148D120C" w14:textId="77777777" w:rsidR="00627A98" w:rsidRDefault="00627A98" w:rsidP="00627A98">
      <w:pPr>
        <w:spacing w:line="360" w:lineRule="auto"/>
        <w:jc w:val="both"/>
        <w:rPr>
          <w:rFonts w:cstheme="minorHAnsi"/>
        </w:rPr>
      </w:pPr>
    </w:p>
    <w:p w14:paraId="02FA074B" w14:textId="77777777" w:rsidR="00627A98" w:rsidRDefault="00627A98" w:rsidP="00627A98">
      <w:pPr>
        <w:spacing w:line="360" w:lineRule="auto"/>
        <w:jc w:val="both"/>
        <w:rPr>
          <w:rFonts w:cstheme="minorHAnsi"/>
        </w:rPr>
      </w:pPr>
      <w:r>
        <w:rPr>
          <w:rFonts w:cstheme="minorHAnsi"/>
        </w:rPr>
        <w:t xml:space="preserve">The CFW document does not break down knowledge into subjects that should be taught at different levels (Welsh Government, 2020), but instead sets out six ‘areas’, which are: </w:t>
      </w:r>
      <w:r>
        <w:t>Expressive Arts; Health and Well-being; Humanities; Language, Literacy and Communication; Mathematics and Numeracy; and Science and Technology (</w:t>
      </w:r>
      <w:r>
        <w:rPr>
          <w:rFonts w:cstheme="minorHAnsi"/>
        </w:rPr>
        <w:t xml:space="preserve">Weicht and </w:t>
      </w:r>
      <w:r w:rsidRPr="003E10AD">
        <w:rPr>
          <w:rFonts w:cstheme="minorHAnsi"/>
        </w:rPr>
        <w:t>Jónsdóttir,</w:t>
      </w:r>
      <w:r>
        <w:rPr>
          <w:rFonts w:cstheme="minorHAnsi"/>
        </w:rPr>
        <w:t xml:space="preserve"> 2021). The focus of the new curriculum is on interdisciplinary, student-centred, active learning, with real-life relevance (European Commission, 2014, cited in Weicht and </w:t>
      </w:r>
      <w:r w:rsidRPr="003E10AD">
        <w:rPr>
          <w:rFonts w:cstheme="minorHAnsi"/>
        </w:rPr>
        <w:t>Jónsdóttir,</w:t>
      </w:r>
      <w:r>
        <w:rPr>
          <w:rFonts w:cstheme="minorHAnsi"/>
        </w:rPr>
        <w:t xml:space="preserve"> 2021). The CFW also details that teaching and learning should allow learners to develop their critical thinking, problem solving and decision making skills, and for them to generate different types of value (financial, cultural, social, and learning)(Welsh Government, 2020). It also states that teaching and learning should be based on a whole-school approach (Weicht and </w:t>
      </w:r>
      <w:r w:rsidRPr="003E10AD">
        <w:rPr>
          <w:rFonts w:cstheme="minorHAnsi"/>
        </w:rPr>
        <w:t>Jónsdóttir,</w:t>
      </w:r>
      <w:r>
        <w:rPr>
          <w:rFonts w:cstheme="minorHAnsi"/>
        </w:rPr>
        <w:t xml:space="preserve"> 2021), suggesting that cross-curricular links should be strengthened, with the previous structure of insular subjects being broken down slightly to allow for interdependent skills to be developed.</w:t>
      </w:r>
    </w:p>
    <w:p w14:paraId="4CF66CD0" w14:textId="77777777" w:rsidR="00627A98" w:rsidRDefault="00627A98" w:rsidP="00627A98">
      <w:pPr>
        <w:spacing w:line="360" w:lineRule="auto"/>
        <w:jc w:val="both"/>
        <w:rPr>
          <w:rFonts w:cstheme="minorHAnsi"/>
        </w:rPr>
      </w:pPr>
    </w:p>
    <w:p w14:paraId="24B9339E" w14:textId="77777777" w:rsidR="00627A98" w:rsidRPr="00B818EE" w:rsidRDefault="00627A98" w:rsidP="00627A98">
      <w:pPr>
        <w:spacing w:line="360" w:lineRule="auto"/>
        <w:rPr>
          <w:rFonts w:cstheme="minorHAnsi"/>
        </w:rPr>
      </w:pPr>
      <w:r w:rsidRPr="00B818EE">
        <w:rPr>
          <w:rFonts w:cstheme="minorHAnsi"/>
        </w:rPr>
        <w:t xml:space="preserve">The Four Purposes of the new CFW aim to develop pupils as: </w:t>
      </w:r>
    </w:p>
    <w:p w14:paraId="6FFE0CE3" w14:textId="77777777" w:rsidR="00627A98" w:rsidRPr="00B818EE" w:rsidRDefault="00627A98" w:rsidP="00627A98">
      <w:pPr>
        <w:pStyle w:val="ListParagraph"/>
        <w:numPr>
          <w:ilvl w:val="0"/>
          <w:numId w:val="3"/>
        </w:numPr>
        <w:spacing w:line="360" w:lineRule="auto"/>
      </w:pPr>
      <w:r w:rsidRPr="00B818EE">
        <w:rPr>
          <w:rFonts w:cstheme="minorHAnsi"/>
        </w:rPr>
        <w:lastRenderedPageBreak/>
        <w:t>‘</w:t>
      </w:r>
      <w:r w:rsidRPr="00B818EE">
        <w:t xml:space="preserve">ambitious, capable learners, ready to learn throughout their lives; </w:t>
      </w:r>
    </w:p>
    <w:p w14:paraId="00414E2A" w14:textId="77777777" w:rsidR="00627A98" w:rsidRPr="00B818EE" w:rsidRDefault="00627A98" w:rsidP="00627A98">
      <w:pPr>
        <w:pStyle w:val="ListParagraph"/>
        <w:numPr>
          <w:ilvl w:val="0"/>
          <w:numId w:val="3"/>
        </w:numPr>
        <w:spacing w:line="360" w:lineRule="auto"/>
      </w:pPr>
      <w:r w:rsidRPr="00B818EE">
        <w:t xml:space="preserve">enterprising, creative contributors, ready to play a full part in life and work; </w:t>
      </w:r>
    </w:p>
    <w:p w14:paraId="646051BC" w14:textId="77777777" w:rsidR="00627A98" w:rsidRPr="00B818EE" w:rsidRDefault="00627A98" w:rsidP="00627A98">
      <w:pPr>
        <w:pStyle w:val="ListParagraph"/>
        <w:numPr>
          <w:ilvl w:val="0"/>
          <w:numId w:val="3"/>
        </w:numPr>
        <w:spacing w:line="360" w:lineRule="auto"/>
      </w:pPr>
      <w:r w:rsidRPr="00B818EE">
        <w:t xml:space="preserve">ethical, informed citizens of Wales and the world; </w:t>
      </w:r>
    </w:p>
    <w:p w14:paraId="294D90C2" w14:textId="2BB2B2DF" w:rsidR="00B818EE" w:rsidRPr="00B818EE" w:rsidRDefault="00627A98" w:rsidP="00B818EE">
      <w:pPr>
        <w:pStyle w:val="ListParagraph"/>
        <w:numPr>
          <w:ilvl w:val="0"/>
          <w:numId w:val="3"/>
        </w:numPr>
        <w:spacing w:line="360" w:lineRule="auto"/>
      </w:pPr>
      <w:r w:rsidRPr="00B818EE">
        <w:t xml:space="preserve">healthy, confident individuals, ready to lead fulfilling lives as valued members of society’ (Welsh Government, 2019). </w:t>
      </w:r>
    </w:p>
    <w:p w14:paraId="6D49633E" w14:textId="77777777" w:rsidR="00627A98" w:rsidRDefault="00627A98" w:rsidP="00627A98">
      <w:pPr>
        <w:spacing w:line="360" w:lineRule="auto"/>
        <w:jc w:val="both"/>
      </w:pPr>
      <w:r>
        <w:t xml:space="preserve">Framing the national curriculum in this broad sense has become common in many recently developed national curricula (Sinnema </w:t>
      </w:r>
      <w:r w:rsidRPr="00D22BA5">
        <w:rPr>
          <w:i/>
          <w:iCs/>
        </w:rPr>
        <w:t>et al.,</w:t>
      </w:r>
      <w:r>
        <w:t xml:space="preserve"> 2020). Similar foci are evident in the curricula aspirations for Australia, British Colombia, New Zealand and Scotland (Sinnema </w:t>
      </w:r>
      <w:r w:rsidRPr="00D22BA5">
        <w:rPr>
          <w:i/>
          <w:iCs/>
        </w:rPr>
        <w:t>et al</w:t>
      </w:r>
      <w:r>
        <w:t>., 2020), with the Australian Curriculum setting out the goal for ‘all young Australians to become successful learners, confident and creative individuals, and active and informed citizens’ (Australian Ministerial Council on Education &amp; Youth, 2008). Similarly, the British Colombia curriculum supports ‘the development of citizens who are competent thinkers and communicators, and who are personally and socially competent in all areas of their lives’ (British Columbia Ministry of Education, 2015). Finally, the New Zealand curriculum vision is for ‘young people who will be confident, connected, actively involved, lifelong learners’ (Ministry of Education, 2007).</w:t>
      </w:r>
    </w:p>
    <w:p w14:paraId="33712255" w14:textId="77777777" w:rsidR="00627A98" w:rsidRDefault="00627A98" w:rsidP="00627A98">
      <w:pPr>
        <w:spacing w:line="360" w:lineRule="auto"/>
      </w:pPr>
    </w:p>
    <w:p w14:paraId="163EE46F" w14:textId="77777777" w:rsidR="00627A98" w:rsidRDefault="00627A98" w:rsidP="00627A98">
      <w:pPr>
        <w:spacing w:line="360" w:lineRule="auto"/>
        <w:jc w:val="both"/>
        <w:rPr>
          <w:rFonts w:cstheme="minorHAnsi"/>
        </w:rPr>
      </w:pPr>
      <w:r>
        <w:rPr>
          <w:rFonts w:cstheme="minorHAnsi"/>
        </w:rPr>
        <w:t xml:space="preserve">Empowering learners to become active in building a socially just and sustainable society is a clear aim of the new CFW (Weicht and </w:t>
      </w:r>
      <w:r w:rsidRPr="003E10AD">
        <w:rPr>
          <w:rFonts w:cstheme="minorHAnsi"/>
        </w:rPr>
        <w:t>Jónsdóttir,</w:t>
      </w:r>
      <w:r>
        <w:rPr>
          <w:rFonts w:cstheme="minorHAnsi"/>
        </w:rPr>
        <w:t xml:space="preserve"> 2021). The Welsh Government believes that schools are ‘best placed’ to make decisions about the needs of their learners, and therefore has tasked schools to develop the curriculum based on ‘What Matters’ statements (European Commission, 2014). It is then up to the schools to develop a vision for themselves and design a curriculum </w:t>
      </w:r>
      <w:r w:rsidRPr="00B818EE">
        <w:rPr>
          <w:rFonts w:cstheme="minorHAnsi"/>
        </w:rPr>
        <w:t>to implement that vision in their school (Welsh Government, 2020). Where flexibility for local curriculum design is embraced as part of national curriculum framework, evidence suggests that many teachers and schools ‘thrive and grow to become exceptional designers of curriculum’ creating opportunities for learning from pockets of expertise that are available to help others (</w:t>
      </w:r>
      <w:r w:rsidRPr="00B818EE">
        <w:t xml:space="preserve">Handelzalts, 2009; Huizinga, 2014; Sinnema, 2018; Volman </w:t>
      </w:r>
      <w:r w:rsidRPr="00B818EE">
        <w:rPr>
          <w:i/>
          <w:iCs/>
        </w:rPr>
        <w:t>et al</w:t>
      </w:r>
      <w:r w:rsidRPr="00B818EE">
        <w:t>., 2018).</w:t>
      </w:r>
      <w:r w:rsidRPr="00B818EE">
        <w:rPr>
          <w:rFonts w:cstheme="minorHAnsi"/>
        </w:rPr>
        <w:t xml:space="preserve"> However, teachers have previously expressed concern over frequent changes in the curriculum, and stated that they wanted a more relevant and engaging curriculum; thoughts that were echoed</w:t>
      </w:r>
      <w:r>
        <w:rPr>
          <w:rFonts w:cstheme="minorHAnsi"/>
        </w:rPr>
        <w:t xml:space="preserve"> in the Donaldson review (Grigg, 2016). In a survey conducted by Grigg (2016), teachers expressed a desire for a “slimmed down curriculum” and a “sensible and </w:t>
      </w:r>
      <w:r>
        <w:rPr>
          <w:rFonts w:cstheme="minorHAnsi"/>
        </w:rPr>
        <w:lastRenderedPageBreak/>
        <w:t xml:space="preserve">consistent curriculum and assessment structure that meets the needs of students and the world of work without creating a ‘game of hurdles’ for schools to jump”. Therefore, allowing schools more autonomy in the design of their curricula should allow decisions to be made which best suit their pupils and the places from which their pupils come. </w:t>
      </w:r>
    </w:p>
    <w:p w14:paraId="05CE29BB" w14:textId="77777777" w:rsidR="00627A98" w:rsidRPr="002F4C8F" w:rsidRDefault="00627A98" w:rsidP="00627A98">
      <w:pPr>
        <w:spacing w:line="360" w:lineRule="auto"/>
        <w:jc w:val="both"/>
        <w:rPr>
          <w:rFonts w:cstheme="minorHAnsi"/>
          <w:u w:val="single"/>
        </w:rPr>
      </w:pPr>
    </w:p>
    <w:p w14:paraId="51238F46" w14:textId="6600DAE8" w:rsidR="00627A98" w:rsidRDefault="00627A98" w:rsidP="00627A98">
      <w:pPr>
        <w:spacing w:line="360" w:lineRule="auto"/>
        <w:jc w:val="both"/>
        <w:rPr>
          <w:rFonts w:cstheme="minorHAnsi"/>
        </w:rPr>
      </w:pPr>
      <w:r w:rsidRPr="00B818EE">
        <w:rPr>
          <w:rFonts w:cstheme="minorHAnsi"/>
        </w:rPr>
        <w:t xml:space="preserve">It could be suggested that to guide pupils into becoming ‘ethical, informed citizens who are ready to be citizens of Wales and the world’ (Welsh Government, 2020b) they must have an appreciation for sustainability and the importance of protecting the environment. </w:t>
      </w:r>
      <w:r w:rsidR="00B818EE" w:rsidRPr="00B818EE">
        <w:rPr>
          <w:rFonts w:cstheme="minorHAnsi"/>
        </w:rPr>
        <w:t>T</w:t>
      </w:r>
      <w:r w:rsidRPr="00B818EE">
        <w:rPr>
          <w:rFonts w:cstheme="minorHAnsi"/>
        </w:rPr>
        <w:t>hey should be able to consider others, the environment and one’s actions, and to be ready to engage with contemporary issues based on one’s values (Welsh Government, 2020). Although</w:t>
      </w:r>
      <w:r w:rsidRPr="00D274F7">
        <w:rPr>
          <w:rFonts w:cstheme="minorHAnsi"/>
        </w:rPr>
        <w:t xml:space="preserve"> </w:t>
      </w:r>
      <w:r>
        <w:rPr>
          <w:rFonts w:cstheme="minorHAnsi"/>
        </w:rPr>
        <w:t xml:space="preserve">this type of </w:t>
      </w:r>
      <w:r w:rsidRPr="00D274F7">
        <w:rPr>
          <w:rFonts w:cstheme="minorHAnsi"/>
        </w:rPr>
        <w:t>citizenship can be taught both in and out of the classroom, the heart of educating students for active, democratic citizenship remains in the classroom where teachers can facilitate key development of knowledge, practical skills and social responsibility (Checkoway, 2001)</w:t>
      </w:r>
      <w:r>
        <w:rPr>
          <w:rFonts w:cstheme="minorHAnsi"/>
        </w:rPr>
        <w:t>.</w:t>
      </w:r>
      <w:r w:rsidRPr="00D274F7">
        <w:rPr>
          <w:rFonts w:cstheme="minorHAnsi"/>
        </w:rPr>
        <w:t xml:space="preserve"> While sustainability is typically thought of an  environmental issue, it is also very much a social issue, and thus the Brundtland Commission’s (1987) definition represents an important shift from thinking about sustainability as only protecting the natural environment, to protecting it within the integration of social equity and economic vitality (Michel, 2022). </w:t>
      </w:r>
    </w:p>
    <w:p w14:paraId="5C3C4DF0" w14:textId="77777777" w:rsidR="00627A98" w:rsidRDefault="00627A98" w:rsidP="00627A98">
      <w:pPr>
        <w:spacing w:line="360" w:lineRule="auto"/>
        <w:jc w:val="both"/>
        <w:rPr>
          <w:rFonts w:cstheme="minorHAnsi"/>
        </w:rPr>
      </w:pPr>
    </w:p>
    <w:p w14:paraId="1086E468" w14:textId="77777777" w:rsidR="00627A98" w:rsidRDefault="00627A98" w:rsidP="00627A98">
      <w:pPr>
        <w:spacing w:line="360" w:lineRule="auto"/>
        <w:jc w:val="both"/>
        <w:rPr>
          <w:rFonts w:cstheme="minorHAnsi"/>
        </w:rPr>
      </w:pPr>
      <w:r w:rsidRPr="00D274F7">
        <w:rPr>
          <w:rFonts w:cstheme="minorHAnsi"/>
        </w:rPr>
        <w:t>Given the importance of environmental education in creating ‘ethical, informed citizens’ (</w:t>
      </w:r>
      <w:r>
        <w:rPr>
          <w:rFonts w:cstheme="minorHAnsi"/>
        </w:rPr>
        <w:t>Welsh Government, 2020b</w:t>
      </w:r>
      <w:r w:rsidRPr="00D274F7">
        <w:rPr>
          <w:rFonts w:cstheme="minorHAnsi"/>
        </w:rPr>
        <w:t>), there remains a deficiency in literature that explores how to teach this complex subject matter in a way that successfully cultivates the next generation of leaders to confront sustainability-related crises (Cortese 2003; Orr 2013; Sherman and Burns 2015)</w:t>
      </w:r>
      <w:r>
        <w:rPr>
          <w:rFonts w:cstheme="minorHAnsi"/>
        </w:rPr>
        <w:t xml:space="preserve">. </w:t>
      </w:r>
      <w:r>
        <w:rPr>
          <w:rFonts w:cstheme="minorHAnsi"/>
        </w:rPr>
        <w:t>However, there is a</w:t>
      </w:r>
      <w:r w:rsidRPr="00D274F7">
        <w:rPr>
          <w:rFonts w:cstheme="minorHAnsi"/>
        </w:rPr>
        <w:t>n emerging body of literature that aims to negate this deficiency</w:t>
      </w:r>
      <w:r>
        <w:rPr>
          <w:rFonts w:cstheme="minorHAnsi"/>
        </w:rPr>
        <w:t>, and</w:t>
      </w:r>
      <w:r w:rsidRPr="00D274F7">
        <w:rPr>
          <w:rFonts w:cstheme="minorHAnsi"/>
        </w:rPr>
        <w:t xml:space="preserve"> is based on Education for Sustainability</w:t>
      </w:r>
      <w:r>
        <w:rPr>
          <w:rFonts w:cstheme="minorHAnsi"/>
        </w:rPr>
        <w:t xml:space="preserve">; </w:t>
      </w:r>
      <w:r w:rsidRPr="00D274F7">
        <w:rPr>
          <w:rFonts w:cstheme="minorHAnsi"/>
        </w:rPr>
        <w:t>this has suggested that the concept can be understood as the process of developing students’ sustainability knowledge, attitudes and behaviours in favour of the environment and it’s economic and social implications (Michel, 2022). The goal of this concept is to motivate students to become sustainably engaged citizens through their commitment to environmental stewardship, and to reflect on the interaction of social justice, ethics, wellbeing, and ecological and economic factors (Blewitt 2010; Besong and Holland 2015; Leal Filho and Pace 2016; Michel 2020; Winter</w:t>
      </w:r>
      <w:r>
        <w:rPr>
          <w:rFonts w:cstheme="minorHAnsi"/>
        </w:rPr>
        <w:t xml:space="preserve"> </w:t>
      </w:r>
      <w:r w:rsidRPr="001F32C9">
        <w:rPr>
          <w:rFonts w:cstheme="minorHAnsi"/>
          <w:i/>
          <w:iCs/>
        </w:rPr>
        <w:t>et al.,</w:t>
      </w:r>
      <w:r>
        <w:rPr>
          <w:rFonts w:cstheme="minorHAnsi"/>
        </w:rPr>
        <w:t xml:space="preserve"> </w:t>
      </w:r>
      <w:r w:rsidRPr="00D274F7">
        <w:rPr>
          <w:rFonts w:cstheme="minorHAnsi"/>
        </w:rPr>
        <w:t>2016</w:t>
      </w:r>
      <w:r>
        <w:rPr>
          <w:rFonts w:cstheme="minorHAnsi"/>
        </w:rPr>
        <w:t>).</w:t>
      </w:r>
      <w:r w:rsidRPr="00D274F7">
        <w:rPr>
          <w:rFonts w:cstheme="minorHAnsi"/>
        </w:rPr>
        <w:t xml:space="preserve"> This concept would support the aim of the new Welsh </w:t>
      </w:r>
      <w:r w:rsidRPr="00B818EE">
        <w:rPr>
          <w:rFonts w:cstheme="minorHAnsi"/>
        </w:rPr>
        <w:t>curriculum in developing ‘ethical, informed citizens who are ready to be citizens of Wales and the world’ (Welsh Government, 2020b) and</w:t>
      </w:r>
      <w:r w:rsidRPr="00D274F7">
        <w:rPr>
          <w:rFonts w:cstheme="minorHAnsi"/>
        </w:rPr>
        <w:t xml:space="preserve"> should </w:t>
      </w:r>
      <w:r w:rsidRPr="00D274F7">
        <w:rPr>
          <w:rFonts w:cstheme="minorHAnsi"/>
        </w:rPr>
        <w:lastRenderedPageBreak/>
        <w:t xml:space="preserve">therefore be considered as a tool to facilitate decisions on how to deliver sustainability across the curriculum in schools.  </w:t>
      </w:r>
    </w:p>
    <w:p w14:paraId="21F512B2" w14:textId="77777777" w:rsidR="00627A98" w:rsidRDefault="00627A98" w:rsidP="00627A98">
      <w:pPr>
        <w:spacing w:line="360" w:lineRule="auto"/>
        <w:jc w:val="both"/>
        <w:rPr>
          <w:rFonts w:cstheme="minorHAnsi"/>
        </w:rPr>
      </w:pPr>
    </w:p>
    <w:p w14:paraId="51DAF0E2" w14:textId="77777777" w:rsidR="00627A98" w:rsidRPr="00D274F7" w:rsidRDefault="00627A98" w:rsidP="00627A98">
      <w:pPr>
        <w:spacing w:line="360" w:lineRule="auto"/>
        <w:jc w:val="both"/>
        <w:rPr>
          <w:rFonts w:cstheme="minorHAnsi"/>
        </w:rPr>
      </w:pPr>
      <w:r>
        <w:rPr>
          <w:rFonts w:cstheme="minorHAnsi"/>
        </w:rPr>
        <w:t xml:space="preserve">As we face these societal changes, gaps in the curriculum have appeared; that is to say, do we adequately cover social, political, and environmental issues in the current school curriculum? (Sinnema </w:t>
      </w:r>
      <w:r w:rsidRPr="00D22BA5">
        <w:rPr>
          <w:rFonts w:cstheme="minorHAnsi"/>
          <w:i/>
          <w:iCs/>
        </w:rPr>
        <w:t>et al</w:t>
      </w:r>
      <w:r>
        <w:rPr>
          <w:rFonts w:cstheme="minorHAnsi"/>
        </w:rPr>
        <w:t>., 2020). There is a tendency for new subjects to be ‘bolted on’ in an attempt to address these gaps, as a focus on ‘traditional subjects’ neglects alternative and often rigorous approaches to teaching knowledge that is interdisciplinary in nature (</w:t>
      </w:r>
      <w:r>
        <w:t xml:space="preserve">Beane, 1997; Wall and Leckie, 2017). Addressing such issues would require different thinking, and a shift from ‘what subjects do we teach?’ to ‘what knowledge, skills and attributes are required for educating pupils to be critically engaged in a modern society?’ (Sinnema </w:t>
      </w:r>
      <w:r w:rsidRPr="00D22BA5">
        <w:rPr>
          <w:i/>
          <w:iCs/>
        </w:rPr>
        <w:t>et al</w:t>
      </w:r>
      <w:r>
        <w:t>., 2020). Therefore, the teachers’ involvement in the curriculum development process is essential in meeting the needs of society, and this requires teachers to act and reflect on society’s needs in each stage of the development process (Alsubaie, 2016).</w:t>
      </w:r>
    </w:p>
    <w:p w14:paraId="6330314C" w14:textId="77777777" w:rsidR="00627A98" w:rsidRPr="00D274F7" w:rsidRDefault="00627A98" w:rsidP="00627A98">
      <w:pPr>
        <w:spacing w:line="360" w:lineRule="auto"/>
        <w:jc w:val="both"/>
        <w:rPr>
          <w:rFonts w:cstheme="minorHAnsi"/>
        </w:rPr>
      </w:pPr>
    </w:p>
    <w:p w14:paraId="4AE0208D" w14:textId="4BE1CA30" w:rsidR="00627A98" w:rsidRDefault="001A1C9F" w:rsidP="00627A98">
      <w:pPr>
        <w:pStyle w:val="Heading2"/>
      </w:pPr>
      <w:bookmarkStart w:id="10" w:name="_Toc131682235"/>
      <w:r>
        <w:t xml:space="preserve">2.3 </w:t>
      </w:r>
      <w:r w:rsidR="00627A98" w:rsidRPr="002F4C8F">
        <w:t>Curriculum Development</w:t>
      </w:r>
      <w:bookmarkEnd w:id="10"/>
    </w:p>
    <w:p w14:paraId="134DA94D" w14:textId="77777777" w:rsidR="00627A98" w:rsidRDefault="00627A98" w:rsidP="00627A98">
      <w:pPr>
        <w:spacing w:line="360" w:lineRule="auto"/>
        <w:jc w:val="both"/>
        <w:rPr>
          <w:rFonts w:cstheme="minorHAnsi"/>
          <w:u w:val="single"/>
        </w:rPr>
      </w:pPr>
    </w:p>
    <w:p w14:paraId="2564ADEA" w14:textId="77777777" w:rsidR="00627A98" w:rsidRDefault="00627A98" w:rsidP="00627A98">
      <w:pPr>
        <w:spacing w:line="360" w:lineRule="auto"/>
        <w:jc w:val="both"/>
        <w:rPr>
          <w:rFonts w:cstheme="minorHAnsi"/>
        </w:rPr>
      </w:pPr>
      <w:r>
        <w:rPr>
          <w:rFonts w:cstheme="minorHAnsi"/>
        </w:rPr>
        <w:t xml:space="preserve">Curriculum development has been described as a ‘stepwise process or procedure of developing a programme of studies, projects or course offerings for a group of people’ </w:t>
      </w:r>
      <w:r>
        <w:t>Onwuka, 1996; Oloruntegbe, 2003; Oloruntegbe and Daramola, 2007). The curriculum of a school will determine the knowledge and skills that pupils will leave with at the end of their schooling.</w:t>
      </w:r>
    </w:p>
    <w:p w14:paraId="2270B3AA" w14:textId="77777777" w:rsidR="00627A98" w:rsidRDefault="00627A98" w:rsidP="00627A98">
      <w:pPr>
        <w:spacing w:line="360" w:lineRule="auto"/>
        <w:jc w:val="both"/>
        <w:rPr>
          <w:rFonts w:cstheme="minorHAnsi"/>
        </w:rPr>
      </w:pPr>
    </w:p>
    <w:p w14:paraId="58A94970" w14:textId="6BD936A3" w:rsidR="00627A98" w:rsidRPr="00D274F7" w:rsidRDefault="00627A98" w:rsidP="00627A98">
      <w:pPr>
        <w:spacing w:line="360" w:lineRule="auto"/>
        <w:jc w:val="both"/>
        <w:rPr>
          <w:rFonts w:cstheme="minorHAnsi"/>
        </w:rPr>
      </w:pPr>
      <w:r>
        <w:rPr>
          <w:rFonts w:cstheme="minorHAnsi"/>
        </w:rPr>
        <w:t xml:space="preserve">Barnes (2018) argues that teachers should be personally involved in decisions about the style of teaching and the substance of curriculum in schools. However, at secondary school level classroom teachers have tended not to contribute much to the preparation of curricula in the past (Okai, 2010). Typically, teachers are only involved at the level of the scheme of work, unit, and lesson planning level. Within a scheme of work will be individual lessons which are guided by lesson plans. According to Okai (2010), lesson plans provide useful information to guide </w:t>
      </w:r>
      <w:r w:rsidRPr="00B818EE">
        <w:rPr>
          <w:rFonts w:cstheme="minorHAnsi"/>
        </w:rPr>
        <w:t>the teacher through the correct st</w:t>
      </w:r>
      <w:r w:rsidR="00B818EE" w:rsidRPr="00B818EE">
        <w:rPr>
          <w:rFonts w:cstheme="minorHAnsi"/>
        </w:rPr>
        <w:t>e</w:t>
      </w:r>
      <w:r w:rsidRPr="00B818EE">
        <w:rPr>
          <w:rFonts w:cstheme="minorHAnsi"/>
        </w:rPr>
        <w:t>ps required to ensure no time is wasted, meaningful</w:t>
      </w:r>
      <w:r>
        <w:rPr>
          <w:rFonts w:cstheme="minorHAnsi"/>
        </w:rPr>
        <w:t xml:space="preserve"> objectives are pursued, activities are related to the content, instructional materials are </w:t>
      </w:r>
      <w:r>
        <w:rPr>
          <w:rFonts w:cstheme="minorHAnsi"/>
        </w:rPr>
        <w:lastRenderedPageBreak/>
        <w:t>adequately selected, proper evaluation procedures are used and that the most important content is covered.</w:t>
      </w:r>
    </w:p>
    <w:p w14:paraId="71732EDE" w14:textId="77777777" w:rsidR="00627A98" w:rsidRDefault="00627A98" w:rsidP="00627A98">
      <w:pPr>
        <w:spacing w:line="360" w:lineRule="auto"/>
        <w:jc w:val="both"/>
        <w:rPr>
          <w:rFonts w:cstheme="minorHAnsi"/>
        </w:rPr>
      </w:pPr>
    </w:p>
    <w:p w14:paraId="6AD9EB0A" w14:textId="77777777" w:rsidR="00627A98" w:rsidRDefault="00627A98" w:rsidP="00627A98">
      <w:pPr>
        <w:spacing w:line="360" w:lineRule="auto"/>
        <w:jc w:val="both"/>
        <w:rPr>
          <w:rFonts w:cstheme="minorHAnsi"/>
        </w:rPr>
      </w:pPr>
      <w:r>
        <w:rPr>
          <w:rFonts w:cstheme="minorHAnsi"/>
        </w:rPr>
        <w:t>When the curriculum and the syllabus are sent to schools by the authorities concerned, there is a need to divide the yearly content of the syllabus into definite amounts of work that will be covered per term (Okai, 2010). The scheme of work is aimed at guiding the teacher, keeping records of what is taught, and conveniently organising the content that is to be taught (Okai, 2010). However, Alsubaie (2016) states that teachers should be involved in curriculum development so that their opinions and ideas can be incorporated into the curriculum that will be delivered across the school, by said teachers,</w:t>
      </w:r>
    </w:p>
    <w:p w14:paraId="451ACA28" w14:textId="77777777" w:rsidR="00627A98" w:rsidRDefault="00627A98" w:rsidP="00627A98">
      <w:pPr>
        <w:spacing w:line="360" w:lineRule="auto"/>
        <w:jc w:val="both"/>
        <w:rPr>
          <w:rFonts w:cstheme="minorHAnsi"/>
        </w:rPr>
      </w:pPr>
    </w:p>
    <w:p w14:paraId="2FCA2D2F" w14:textId="77777777" w:rsidR="00627A98" w:rsidRDefault="00627A98" w:rsidP="00627A98">
      <w:pPr>
        <w:spacing w:line="360" w:lineRule="auto"/>
        <w:jc w:val="both"/>
        <w:rPr>
          <w:rFonts w:cstheme="minorHAnsi"/>
        </w:rPr>
      </w:pPr>
      <w:r>
        <w:rPr>
          <w:rFonts w:cstheme="minorHAnsi"/>
        </w:rPr>
        <w:t>Handler (2010) also found that there is a need for teacher involvement in the development of curricula. Teachers can contribute by working with curriculum development teams and specialists to create materials, textbooks and content, all of which is important to align the content of the curriculum with students needs in the classroom (Alsubaie, 2016). The approach to curriculum development being taken by the Welsh Government, and its innovative nature, requires autonomy from teachers (Welsh Government, 2020). In a survey undertaken by Newton et al., (Welsh Government, 2020) found that teacher perception of the new curriculum depends on their schools, and they found that while the perception of the new curriculum is ‘shaded by the bad perception of the current curriculum’, respondents felt that the Pioneer Schools had a more positive outlook than schools outside of the Pioneer network. This is likely due to the fact that the Pioneer Schools are better prepared and have access to more and better resources, due in part to the time they have spent working on the new CFW. The survey also found Pioneer Schools to be “innovative” and “progressive” places where teachers already used the teaching methods laid out in the Successful Futures Report, which is of course the foundation for the CFW (Welsh Government, 2020).</w:t>
      </w:r>
    </w:p>
    <w:p w14:paraId="7A3436F1" w14:textId="77777777" w:rsidR="00627A98" w:rsidRDefault="00627A98" w:rsidP="00627A98">
      <w:pPr>
        <w:spacing w:line="360" w:lineRule="auto"/>
        <w:jc w:val="both"/>
        <w:rPr>
          <w:rFonts w:cstheme="minorHAnsi"/>
        </w:rPr>
      </w:pPr>
    </w:p>
    <w:p w14:paraId="402CB7B5" w14:textId="77777777" w:rsidR="00627A98" w:rsidRDefault="00627A98" w:rsidP="00627A98">
      <w:pPr>
        <w:spacing w:line="360" w:lineRule="auto"/>
        <w:jc w:val="both"/>
        <w:rPr>
          <w:rFonts w:cstheme="minorHAnsi"/>
        </w:rPr>
      </w:pPr>
      <w:r>
        <w:rPr>
          <w:rFonts w:cstheme="minorHAnsi"/>
        </w:rPr>
        <w:t xml:space="preserve">However, the introduction of the new curriculum conveys explicitly that it is intended to ‘support education professionals and practitioners to enjoy the autonomy to make school-level decisions within a common framework’ (Welsh Government, 2019). Furthermore, the curriculum for Wales does not focus on a desired endpoint but is instead a starting point for the curriculum decision making staff of the school (Sinnema </w:t>
      </w:r>
      <w:r w:rsidRPr="00D22BA5">
        <w:rPr>
          <w:rFonts w:cstheme="minorHAnsi"/>
          <w:i/>
          <w:iCs/>
        </w:rPr>
        <w:t>et al</w:t>
      </w:r>
      <w:r>
        <w:rPr>
          <w:rFonts w:cstheme="minorHAnsi"/>
        </w:rPr>
        <w:t xml:space="preserve">., 2020). The Welsh </w:t>
      </w:r>
      <w:r>
        <w:rPr>
          <w:rFonts w:cstheme="minorHAnsi"/>
        </w:rPr>
        <w:lastRenderedPageBreak/>
        <w:t>Government (2019) state that: ‘</w:t>
      </w:r>
      <w:r>
        <w:t xml:space="preserve">The statements of experiences, knowledge and skills are not exhaustive but are provided in support of the ‘what matters’ statements, as a common starting point for curriculum design and development in settings and schools, and in support of the learning expressed through the achievement outcomes. This approach is intended to give a clear sense of what should be considered while also providing the flexibility to develop school-level curricula in response to the specific needs of learners. </w:t>
      </w:r>
    </w:p>
    <w:p w14:paraId="0E9073D9" w14:textId="77777777" w:rsidR="00627A98" w:rsidRDefault="00627A98" w:rsidP="00627A98">
      <w:pPr>
        <w:spacing w:line="360" w:lineRule="auto"/>
        <w:jc w:val="both"/>
        <w:rPr>
          <w:rFonts w:cstheme="minorHAnsi"/>
        </w:rPr>
      </w:pPr>
    </w:p>
    <w:p w14:paraId="56B8FE2F" w14:textId="77777777" w:rsidR="00627A98" w:rsidRPr="00D274F7" w:rsidRDefault="00627A98" w:rsidP="00627A98">
      <w:pPr>
        <w:spacing w:line="360" w:lineRule="auto"/>
        <w:jc w:val="both"/>
        <w:rPr>
          <w:rFonts w:cstheme="minorHAnsi"/>
        </w:rPr>
      </w:pPr>
      <w:r>
        <w:rPr>
          <w:rFonts w:cstheme="minorHAnsi"/>
        </w:rPr>
        <w:t xml:space="preserve">The curriculum is typically conceptualised in three distinct ways (Kurtz et al., 2010) as it moves closer to the classroom. The intended curriculum has been described by Pak </w:t>
      </w:r>
      <w:r w:rsidRPr="00D22BA5">
        <w:rPr>
          <w:rFonts w:cstheme="minorHAnsi"/>
          <w:i/>
          <w:iCs/>
        </w:rPr>
        <w:t>et al</w:t>
      </w:r>
      <w:r>
        <w:rPr>
          <w:rFonts w:cstheme="minorHAnsi"/>
        </w:rPr>
        <w:t xml:space="preserve">., (2020) as a system wide official curriculum, such as academic standards which consist of: the enacted curriculum - which refers to how teachers bring content to life in their classrooms, and the attained curriculum - which refers to the understanding students gain during a lesson. In addition, some concepts also include the written curriculum (Tarr </w:t>
      </w:r>
      <w:r w:rsidRPr="00D22BA5">
        <w:rPr>
          <w:rFonts w:cstheme="minorHAnsi"/>
          <w:i/>
          <w:iCs/>
        </w:rPr>
        <w:t>et al</w:t>
      </w:r>
      <w:r>
        <w:rPr>
          <w:rFonts w:cstheme="minorHAnsi"/>
        </w:rPr>
        <w:t>., 2006). Therefore, it is important to understand how each of these layers of the whole curriculum adds into the ‘bigger picture’ to ensure that the curriculum works to its full efficacy. It is also important to ensure that there is consistency across the school as to how the curriculum is being delivered to develop the skills of pupils. This can be done by making cross-curricular links between subject areas so that pupils have the possibility to use their skills in a range of contexts, much like they would in their day-to-day lives when they leave school.</w:t>
      </w:r>
    </w:p>
    <w:p w14:paraId="11FC2D50" w14:textId="77777777" w:rsidR="00627A98" w:rsidRPr="00D274F7" w:rsidRDefault="00627A98" w:rsidP="00627A98">
      <w:pPr>
        <w:spacing w:line="360" w:lineRule="auto"/>
        <w:jc w:val="both"/>
        <w:rPr>
          <w:rFonts w:cstheme="minorHAnsi"/>
        </w:rPr>
      </w:pPr>
    </w:p>
    <w:p w14:paraId="1263208B" w14:textId="1F4BBF7E" w:rsidR="00627A98" w:rsidRPr="00D274F7" w:rsidRDefault="00627A98" w:rsidP="00627A98">
      <w:pPr>
        <w:spacing w:line="360" w:lineRule="auto"/>
        <w:jc w:val="both"/>
        <w:rPr>
          <w:rFonts w:cstheme="minorHAnsi"/>
        </w:rPr>
      </w:pPr>
      <w:r w:rsidRPr="00D274F7">
        <w:rPr>
          <w:rFonts w:cstheme="minorHAnsi"/>
        </w:rPr>
        <w:t xml:space="preserve">Cross-curricular links occur all the time in life outside the classroom, and virtually every problem we face requires several perspectives to solve it (Barnes, 2018). Experiences and environments around us can be understood and examined using the skills and knowledge developed across the range of subjects in the curriculum. For cross-curriculum teaching to be successful, it requires links to be made between two or more traditional subjects in response to authentic experiences and problems; this will allow new learning to occur in each subject (Barnes, 2018), based on a common theme. </w:t>
      </w:r>
      <w:r>
        <w:rPr>
          <w:rFonts w:cstheme="minorHAnsi"/>
        </w:rPr>
        <w:t xml:space="preserve">Learning and teaching should take place in a range of contexts, and be cross-curricular in nature (Weicht and </w:t>
      </w:r>
      <w:r w:rsidRPr="00C611E8">
        <w:rPr>
          <w:rFonts w:cstheme="minorHAnsi"/>
        </w:rPr>
        <w:t xml:space="preserve">Jónsdóttir, 2021). The new CFW is cross-disciplinary with its six “areas” and sets out mandatory cross-curricular skills (Weicht and Jónsdóttir, 2021). At present, these skills are literacy, numeracy and digital competence. Teaching of cross-curricular skills enables learners to access the breadth of the school’s curriculum and the wealth of opportunities it offers, equipping learners with the skills to </w:t>
      </w:r>
      <w:r w:rsidRPr="00C611E8">
        <w:rPr>
          <w:rFonts w:cstheme="minorHAnsi"/>
        </w:rPr>
        <w:lastRenderedPageBreak/>
        <w:t>realise the purpose of the curriculum (Weicht and Jónsdóttir, 2021). Teaching</w:t>
      </w:r>
      <w:r w:rsidRPr="00D274F7">
        <w:rPr>
          <w:rFonts w:cstheme="minorHAnsi"/>
        </w:rPr>
        <w:t xml:space="preserve"> in this way will likely need a framework of support to ensure staff are confident in what they are delivering in </w:t>
      </w:r>
      <w:r w:rsidRPr="00C611E8">
        <w:rPr>
          <w:rFonts w:cstheme="minorHAnsi"/>
        </w:rPr>
        <w:t>the first instance and would likely need to continue to develop and evolve, just as the theme</w:t>
      </w:r>
      <w:r w:rsidRPr="00D274F7">
        <w:rPr>
          <w:rFonts w:cstheme="minorHAnsi"/>
        </w:rPr>
        <w:t xml:space="preserve"> </w:t>
      </w:r>
      <w:r>
        <w:rPr>
          <w:rFonts w:cstheme="minorHAnsi"/>
        </w:rPr>
        <w:t xml:space="preserve">the framework is aiming to deliver  </w:t>
      </w:r>
      <w:r w:rsidRPr="00D274F7">
        <w:rPr>
          <w:rFonts w:cstheme="minorHAnsi"/>
        </w:rPr>
        <w:t xml:space="preserve">would continue to evolve develop outside of the classroom. </w:t>
      </w:r>
    </w:p>
    <w:p w14:paraId="7FE43D19" w14:textId="77777777" w:rsidR="00627A98" w:rsidRPr="00D274F7" w:rsidRDefault="00627A98" w:rsidP="00627A98">
      <w:pPr>
        <w:spacing w:line="360" w:lineRule="auto"/>
        <w:jc w:val="both"/>
        <w:rPr>
          <w:rFonts w:cstheme="minorHAnsi"/>
        </w:rPr>
      </w:pPr>
    </w:p>
    <w:p w14:paraId="7208E8A8" w14:textId="77777777" w:rsidR="00627A98" w:rsidRDefault="00627A98" w:rsidP="00627A98">
      <w:pPr>
        <w:spacing w:line="360" w:lineRule="auto"/>
        <w:jc w:val="both"/>
        <w:rPr>
          <w:rFonts w:cstheme="minorHAnsi"/>
        </w:rPr>
      </w:pPr>
      <w:r w:rsidRPr="00D274F7">
        <w:rPr>
          <w:rFonts w:cstheme="minorHAnsi"/>
        </w:rPr>
        <w:t>Champions of environmental education argue that teaching can never be a value-free activity, and that attitudes generally promoted are those of the dominant culture and of powerful groups in society (Cotton, 2006). Fien (1993) puts forward that the role of ‘socially critical environmental education’ is to challenge that dominant ideology and create scenarios where pupils can be introduced to alternative worldviews, to promote both personal and structural transformation</w:t>
      </w:r>
      <w:r>
        <w:rPr>
          <w:rFonts w:cstheme="minorHAnsi"/>
        </w:rPr>
        <w:t xml:space="preserve">. </w:t>
      </w:r>
      <w:r w:rsidRPr="00D274F7">
        <w:rPr>
          <w:rFonts w:cstheme="minorHAnsi"/>
        </w:rPr>
        <w:t>Others have also argued that the role of education should be to encourage independent thought, not to promote any one specific worldview (Jickling, 1992) and that the teacher should do their best to impart knowledge rather than attempt to act as an ‘agent of change’ (Aldrich-Moodie and Kwong, 1997)</w:t>
      </w:r>
      <w:r>
        <w:rPr>
          <w:rFonts w:cstheme="minorHAnsi"/>
        </w:rPr>
        <w:t xml:space="preserve">. </w:t>
      </w:r>
      <w:r w:rsidRPr="00D274F7">
        <w:rPr>
          <w:rFonts w:cstheme="minorHAnsi"/>
        </w:rPr>
        <w:t xml:space="preserve">Despite these notions being suggested almost 30 years ago, they remain valid today. </w:t>
      </w:r>
      <w:r>
        <w:rPr>
          <w:rFonts w:cstheme="minorHAnsi"/>
        </w:rPr>
        <w:t>This can be seen in t</w:t>
      </w:r>
      <w:r w:rsidRPr="00D274F7">
        <w:rPr>
          <w:rFonts w:cstheme="minorHAnsi"/>
        </w:rPr>
        <w:t xml:space="preserve">he new Welsh curriculum </w:t>
      </w:r>
      <w:r>
        <w:rPr>
          <w:rFonts w:cstheme="minorHAnsi"/>
        </w:rPr>
        <w:t xml:space="preserve">which </w:t>
      </w:r>
      <w:r w:rsidRPr="00D274F7">
        <w:rPr>
          <w:rFonts w:cstheme="minorHAnsi"/>
        </w:rPr>
        <w:t>strives to create learners who are fully informed, and able to make decisions based on a breadth of knowledge. Therefore, it is important that this is considered when creating a framework for the delivery of environmental education. Having a range of viewpoints and contexts will broaden learners’ knowledge and understanding of the topic</w:t>
      </w:r>
      <w:r>
        <w:rPr>
          <w:rFonts w:cstheme="minorHAnsi"/>
        </w:rPr>
        <w:t xml:space="preserve">, and an efficient way of doing this could be to introduce a framework which ensures these opportunities for discussion are created across the curriculum. </w:t>
      </w:r>
    </w:p>
    <w:p w14:paraId="5AD2698B" w14:textId="77777777" w:rsidR="00627A98" w:rsidRDefault="00627A98" w:rsidP="00627A98">
      <w:pPr>
        <w:spacing w:line="360" w:lineRule="auto"/>
        <w:jc w:val="both"/>
        <w:rPr>
          <w:rFonts w:cstheme="minorHAnsi"/>
        </w:rPr>
      </w:pPr>
    </w:p>
    <w:p w14:paraId="5527E4B8" w14:textId="77777777" w:rsidR="00627A98" w:rsidRPr="00D274F7" w:rsidRDefault="00627A98" w:rsidP="00627A98">
      <w:pPr>
        <w:spacing w:line="360" w:lineRule="auto"/>
        <w:jc w:val="both"/>
        <w:rPr>
          <w:rFonts w:cstheme="minorHAnsi"/>
        </w:rPr>
      </w:pPr>
      <w:r>
        <w:rPr>
          <w:rFonts w:cstheme="minorHAnsi"/>
        </w:rPr>
        <w:t xml:space="preserve">A particular agent for this change could be to implement </w:t>
      </w:r>
      <w:r w:rsidRPr="00D274F7">
        <w:rPr>
          <w:rFonts w:cstheme="minorHAnsi"/>
        </w:rPr>
        <w:t>Education for Sustainability</w:t>
      </w:r>
      <w:r>
        <w:rPr>
          <w:rFonts w:cstheme="minorHAnsi"/>
        </w:rPr>
        <w:t>, which</w:t>
      </w:r>
      <w:r w:rsidRPr="00D274F7">
        <w:rPr>
          <w:rFonts w:cstheme="minorHAnsi"/>
        </w:rPr>
        <w:t xml:space="preserve"> is recognised as a means for tackling complex sustainability challenges, given its ability to ‘inspire learners, change values, bring wholeness into the learning process, and to creatively transform our world through</w:t>
      </w:r>
      <w:r>
        <w:rPr>
          <w:rFonts w:cstheme="minorHAnsi"/>
        </w:rPr>
        <w:t xml:space="preserve"> a</w:t>
      </w:r>
      <w:r w:rsidRPr="00D274F7">
        <w:rPr>
          <w:rFonts w:cstheme="minorHAnsi"/>
        </w:rPr>
        <w:t xml:space="preserve"> shift in consciousness’ (Sherman and Burns, 2015). However, when is it solely taught in its traditional subjects, like Geography, it can only reach the pupils who take the subject (Michel, 2022)</w:t>
      </w:r>
      <w:r>
        <w:rPr>
          <w:rFonts w:cstheme="minorHAnsi"/>
        </w:rPr>
        <w:t xml:space="preserve"> and will only be delivered by the teachers of that subject</w:t>
      </w:r>
      <w:r w:rsidRPr="00D274F7">
        <w:rPr>
          <w:rFonts w:cstheme="minorHAnsi"/>
        </w:rPr>
        <w:t xml:space="preserve">. Thus, </w:t>
      </w:r>
      <w:r>
        <w:rPr>
          <w:rFonts w:cstheme="minorHAnsi"/>
        </w:rPr>
        <w:t xml:space="preserve">it has been suggested that </w:t>
      </w:r>
      <w:r w:rsidRPr="00D274F7">
        <w:rPr>
          <w:rFonts w:cstheme="minorHAnsi"/>
        </w:rPr>
        <w:t xml:space="preserve">sustainability as a subject matter should no longer be isolated to certain subjects, but instead should be imparted across the curriculum (Buckley and Michel 2020; Hopkinson and James 2010; Yarime </w:t>
      </w:r>
      <w:r w:rsidRPr="00D274F7">
        <w:rPr>
          <w:rFonts w:cstheme="minorHAnsi"/>
          <w:i/>
          <w:iCs/>
        </w:rPr>
        <w:t>et al</w:t>
      </w:r>
      <w:r w:rsidRPr="00D274F7">
        <w:rPr>
          <w:rFonts w:cstheme="minorHAnsi"/>
        </w:rPr>
        <w:t>. 2012)</w:t>
      </w:r>
      <w:r>
        <w:rPr>
          <w:rFonts w:cstheme="minorHAnsi"/>
        </w:rPr>
        <w:t xml:space="preserve">. </w:t>
      </w:r>
      <w:r w:rsidRPr="00D274F7">
        <w:rPr>
          <w:rFonts w:cstheme="minorHAnsi"/>
        </w:rPr>
        <w:t xml:space="preserve">Michel (2022) also puts forward that </w:t>
      </w:r>
      <w:r w:rsidRPr="00D274F7">
        <w:rPr>
          <w:rFonts w:cstheme="minorHAnsi"/>
        </w:rPr>
        <w:lastRenderedPageBreak/>
        <w:t>sustainability should be centred and integrated through subjects</w:t>
      </w:r>
      <w:r>
        <w:rPr>
          <w:rFonts w:cstheme="minorHAnsi"/>
        </w:rPr>
        <w:t>,</w:t>
      </w:r>
      <w:r w:rsidRPr="00D274F7">
        <w:rPr>
          <w:rFonts w:cstheme="minorHAnsi"/>
        </w:rPr>
        <w:t xml:space="preserve"> as opposed to occupying the periphery of the curriculum.</w:t>
      </w:r>
    </w:p>
    <w:p w14:paraId="767E3DE8" w14:textId="77777777" w:rsidR="00627A98" w:rsidRPr="00D274F7" w:rsidRDefault="00627A98" w:rsidP="00627A98">
      <w:pPr>
        <w:spacing w:line="360" w:lineRule="auto"/>
        <w:jc w:val="both"/>
        <w:rPr>
          <w:rFonts w:cstheme="minorHAnsi"/>
        </w:rPr>
      </w:pPr>
    </w:p>
    <w:p w14:paraId="521A3B65" w14:textId="16704C93" w:rsidR="00627A98" w:rsidRDefault="00627A98" w:rsidP="00627A98">
      <w:pPr>
        <w:spacing w:line="360" w:lineRule="auto"/>
        <w:jc w:val="both"/>
        <w:rPr>
          <w:rFonts w:cstheme="minorHAnsi"/>
        </w:rPr>
      </w:pPr>
      <w:r w:rsidRPr="00D274F7">
        <w:rPr>
          <w:rFonts w:cstheme="minorHAnsi"/>
        </w:rPr>
        <w:t xml:space="preserve">The new Welsh curriculum marks a ‘radical departure’ not only in what is taught, but how it’s taught (Power </w:t>
      </w:r>
      <w:r w:rsidRPr="00D274F7">
        <w:rPr>
          <w:rFonts w:cstheme="minorHAnsi"/>
          <w:i/>
          <w:iCs/>
        </w:rPr>
        <w:t>et al</w:t>
      </w:r>
      <w:r w:rsidRPr="00D274F7">
        <w:rPr>
          <w:rFonts w:cstheme="minorHAnsi"/>
        </w:rPr>
        <w:t xml:space="preserve">., 2020). The new guidance commends integration and promotes the importance of ‘collaboration and cross-disciplinary planning, learning and teaching, both within and across Areas’ </w:t>
      </w:r>
      <w:r>
        <w:rPr>
          <w:rFonts w:cstheme="minorHAnsi"/>
        </w:rPr>
        <w:t xml:space="preserve">(Welsh Government, 2020). </w:t>
      </w:r>
      <w:r w:rsidRPr="00D274F7">
        <w:rPr>
          <w:rFonts w:cstheme="minorHAnsi"/>
        </w:rPr>
        <w:t xml:space="preserve">Teachers are also encouraged to explore subject knowledge more creatively, making it student-centred with ‘active learning’ being encouraged to support ‘real-life’ relevance (Power </w:t>
      </w:r>
      <w:r w:rsidRPr="00D274F7">
        <w:rPr>
          <w:rFonts w:cstheme="minorHAnsi"/>
          <w:i/>
          <w:iCs/>
        </w:rPr>
        <w:t>et al</w:t>
      </w:r>
      <w:r w:rsidRPr="00D274F7">
        <w:rPr>
          <w:rFonts w:cstheme="minorHAnsi"/>
        </w:rPr>
        <w:t>., 2020). This supports the idea that a cross-</w:t>
      </w:r>
      <w:r w:rsidRPr="00C611E8">
        <w:rPr>
          <w:rFonts w:cstheme="minorHAnsi"/>
        </w:rPr>
        <w:t>curricular framework to support the delivery of sustainability in school would be beneficial and in-line with the new curriculum. The framework could also include ‘real-life’ examples to support staff in contextualising their teaching within their subject areas, and could also include local examples to support the learners in contextualising the new information.</w:t>
      </w:r>
    </w:p>
    <w:p w14:paraId="6D367359" w14:textId="77777777" w:rsidR="00CA1854" w:rsidRDefault="00CA1854" w:rsidP="00627A98">
      <w:pPr>
        <w:spacing w:line="360" w:lineRule="auto"/>
        <w:jc w:val="both"/>
        <w:rPr>
          <w:rFonts w:cstheme="minorHAnsi"/>
        </w:rPr>
      </w:pPr>
    </w:p>
    <w:p w14:paraId="53657F63" w14:textId="748D5131" w:rsidR="00627A98" w:rsidRDefault="001A1C9F" w:rsidP="00627A98">
      <w:pPr>
        <w:pStyle w:val="Heading2"/>
      </w:pPr>
      <w:bookmarkStart w:id="11" w:name="_Toc131682236"/>
      <w:r>
        <w:t xml:space="preserve">2.4 </w:t>
      </w:r>
      <w:r w:rsidR="00627A98" w:rsidRPr="002F4C8F">
        <w:t>Curriculum Implementation</w:t>
      </w:r>
      <w:bookmarkEnd w:id="11"/>
    </w:p>
    <w:p w14:paraId="77D4CFCE" w14:textId="77777777" w:rsidR="00627A98" w:rsidRDefault="00627A98" w:rsidP="00627A98">
      <w:pPr>
        <w:spacing w:line="360" w:lineRule="auto"/>
        <w:jc w:val="both"/>
        <w:rPr>
          <w:rFonts w:cstheme="minorHAnsi"/>
        </w:rPr>
      </w:pPr>
    </w:p>
    <w:p w14:paraId="3A34FFAE" w14:textId="37FDF733" w:rsidR="00627A98" w:rsidRDefault="00627A98" w:rsidP="00627A98">
      <w:pPr>
        <w:spacing w:line="360" w:lineRule="auto"/>
        <w:jc w:val="both"/>
        <w:rPr>
          <w:rFonts w:cstheme="minorHAnsi"/>
        </w:rPr>
      </w:pPr>
      <w:r w:rsidRPr="00F84A67">
        <w:rPr>
          <w:rFonts w:cstheme="minorHAnsi"/>
        </w:rPr>
        <w:t>Over the past several decades, proponents of ‘standards-based reform have argued that with the proper implementation of rigorous academic standards, aligned curriculum and accountability measures, teacher practice will become more rigorous and student achievement will rise (</w:t>
      </w:r>
      <w:r>
        <w:rPr>
          <w:rFonts w:cstheme="minorHAnsi"/>
        </w:rPr>
        <w:t xml:space="preserve">Clune 2001; Ogawa </w:t>
      </w:r>
      <w:r w:rsidRPr="00D22BA5">
        <w:rPr>
          <w:rFonts w:cstheme="minorHAnsi"/>
          <w:i/>
          <w:iCs/>
        </w:rPr>
        <w:t>et al.,</w:t>
      </w:r>
      <w:r>
        <w:rPr>
          <w:rFonts w:cstheme="minorHAnsi"/>
        </w:rPr>
        <w:t xml:space="preserve"> 2003). However, </w:t>
      </w:r>
      <w:r w:rsidRPr="00C611E8">
        <w:rPr>
          <w:rFonts w:cstheme="minorHAnsi"/>
        </w:rPr>
        <w:t>there is often resistance to the quality of standards implementation (Edgerton and Desimone, 2018) and impact of the standards movement on student achievement and long-standing achievement gaps (Loveless</w:t>
      </w:r>
      <w:r>
        <w:rPr>
          <w:rFonts w:cstheme="minorHAnsi"/>
        </w:rPr>
        <w:t xml:space="preserve">, 2020; Polikoff, 2020). Therefore, it is important to understand the barriers to implementation of new initiatives from school based staff prior to launching said new initiatives. Polikoff (2018) summarises the potential barriers, focussing on three areas: determining which materials are high-quality, getting schools to adopt those high-quality materials, and getting teachers to use those materials effectively. There are also professional learning barriers such as providing the time to understand and implement the new curriculum and how it connects to other school goals (Allen and Penuel, 2015; Obara and Sloan, 2010; Penuel </w:t>
      </w:r>
      <w:r w:rsidRPr="00D22BA5">
        <w:rPr>
          <w:rFonts w:cstheme="minorHAnsi"/>
          <w:i/>
          <w:iCs/>
        </w:rPr>
        <w:t>et al.,</w:t>
      </w:r>
      <w:r>
        <w:rPr>
          <w:rFonts w:cstheme="minorHAnsi"/>
        </w:rPr>
        <w:t xml:space="preserve"> 2011).</w:t>
      </w:r>
    </w:p>
    <w:p w14:paraId="1E419B24" w14:textId="77777777" w:rsidR="00627A98" w:rsidRDefault="00627A98" w:rsidP="00627A98">
      <w:pPr>
        <w:spacing w:line="360" w:lineRule="auto"/>
        <w:jc w:val="both"/>
        <w:rPr>
          <w:rFonts w:cstheme="minorHAnsi"/>
        </w:rPr>
      </w:pPr>
    </w:p>
    <w:p w14:paraId="55E98141" w14:textId="77777777" w:rsidR="00627A98" w:rsidRDefault="00627A98" w:rsidP="00627A98">
      <w:pPr>
        <w:spacing w:line="360" w:lineRule="auto"/>
        <w:jc w:val="both"/>
        <w:rPr>
          <w:rFonts w:cstheme="minorHAnsi"/>
        </w:rPr>
      </w:pPr>
      <w:r>
        <w:rPr>
          <w:rFonts w:cstheme="minorHAnsi"/>
        </w:rPr>
        <w:lastRenderedPageBreak/>
        <w:t xml:space="preserve">Educational initiatives can sometimes enter a cycle of initial enthusiasm which is followed by uncertainty over the fundamental concepts driving the initiative, implementation difficulties, and a disappointing conclusion that the reform has failed to bring about the desired results (Grigg, 2016). This leads to the reform being abandoned and the search for the next promising initiative begins (DeFour, 2004). Grace and Sharp (2000) also found that teachers attempting to implement an approach to environmental education as advocated in the literature faced sustained opposition from other teaching staff. </w:t>
      </w:r>
    </w:p>
    <w:p w14:paraId="7A1077E5" w14:textId="77777777" w:rsidR="00627A98" w:rsidRDefault="00627A98" w:rsidP="00627A98">
      <w:pPr>
        <w:spacing w:line="360" w:lineRule="auto"/>
        <w:jc w:val="both"/>
        <w:rPr>
          <w:rFonts w:cstheme="minorHAnsi"/>
        </w:rPr>
      </w:pPr>
    </w:p>
    <w:p w14:paraId="64D491DD" w14:textId="77777777" w:rsidR="00627A98" w:rsidRDefault="00627A98" w:rsidP="00627A98">
      <w:pPr>
        <w:spacing w:line="360" w:lineRule="auto"/>
        <w:jc w:val="both"/>
        <w:rPr>
          <w:rFonts w:cstheme="minorHAnsi"/>
        </w:rPr>
      </w:pPr>
      <w:r>
        <w:rPr>
          <w:rFonts w:cstheme="minorHAnsi"/>
        </w:rPr>
        <w:t xml:space="preserve">Alsubaie (2016) states that the most important person in the curriculum implementation is the teacher. With the knowledge, experience and competence they possess, they are central to any curriculum development effort (Alsubaie, 2016). Fortunately, it has been reported that teachers are excited about the new CFW (European Commission, 2014) as they see the new curriculum as less “prescriptive” and therefore less burdensome in terms of administrative work (Newton </w:t>
      </w:r>
      <w:r w:rsidRPr="00D22BA5">
        <w:rPr>
          <w:rFonts w:cstheme="minorHAnsi"/>
          <w:i/>
          <w:iCs/>
        </w:rPr>
        <w:t>et al.,</w:t>
      </w:r>
      <w:r>
        <w:rPr>
          <w:rFonts w:cstheme="minorHAnsi"/>
        </w:rPr>
        <w:t xml:space="preserve"> 2019).  However, to ensure that this positive attitude is maintained so that the knowledge and expertise that teachers hold is successfully utilised, it is important that teachers are adequately trained in delivering the new curriculum, to ensure that the mindset to try new ideas is fostered (Weicht and </w:t>
      </w:r>
      <w:r w:rsidRPr="003E10AD">
        <w:rPr>
          <w:rFonts w:cstheme="minorHAnsi"/>
        </w:rPr>
        <w:t>Jónsdóttir,</w:t>
      </w:r>
      <w:r>
        <w:rPr>
          <w:rFonts w:cstheme="minorHAnsi"/>
        </w:rPr>
        <w:t xml:space="preserve"> 2021).</w:t>
      </w:r>
    </w:p>
    <w:p w14:paraId="49ECA6EC" w14:textId="77777777" w:rsidR="00627A98" w:rsidRDefault="00627A98" w:rsidP="00627A98">
      <w:pPr>
        <w:spacing w:line="360" w:lineRule="auto"/>
        <w:jc w:val="both"/>
        <w:rPr>
          <w:rFonts w:cstheme="minorHAnsi"/>
        </w:rPr>
      </w:pPr>
    </w:p>
    <w:p w14:paraId="16CC8B32" w14:textId="77777777" w:rsidR="00627A98" w:rsidRDefault="00627A98" w:rsidP="00627A98">
      <w:pPr>
        <w:spacing w:line="360" w:lineRule="auto"/>
        <w:jc w:val="both"/>
        <w:rPr>
          <w:rFonts w:cstheme="minorHAnsi"/>
        </w:rPr>
      </w:pPr>
      <w:r>
        <w:rPr>
          <w:rFonts w:cstheme="minorHAnsi"/>
        </w:rPr>
        <w:t xml:space="preserve">Barriers to implementation of new initiatives can also reflect the presence of </w:t>
      </w:r>
      <w:r w:rsidRPr="006612E3">
        <w:rPr>
          <w:rFonts w:cstheme="minorHAnsi"/>
        </w:rPr>
        <w:t xml:space="preserve">both technical and adaptive challenges to curriculum implementation (Heifetz </w:t>
      </w:r>
      <w:r w:rsidRPr="00D22BA5">
        <w:rPr>
          <w:rFonts w:cstheme="minorHAnsi"/>
          <w:i/>
          <w:iCs/>
        </w:rPr>
        <w:t>et al</w:t>
      </w:r>
      <w:r w:rsidRPr="006612E3">
        <w:rPr>
          <w:rFonts w:cstheme="minorHAnsi"/>
        </w:rPr>
        <w:t>., 2009)</w:t>
      </w:r>
      <w:r>
        <w:rPr>
          <w:rFonts w:cstheme="minorHAnsi"/>
        </w:rPr>
        <w:t xml:space="preserve">. Technical challenges are those that can be solved through the application of existing solutions, procedures and expert guidance, however the barrier of identifying high-quality curricular materials reflects the technical challenge of determining curricular alignment (Pak </w:t>
      </w:r>
      <w:r w:rsidRPr="00D22BA5">
        <w:rPr>
          <w:rFonts w:cstheme="minorHAnsi"/>
          <w:i/>
          <w:iCs/>
        </w:rPr>
        <w:t>et al.,</w:t>
      </w:r>
      <w:r>
        <w:rPr>
          <w:rFonts w:cstheme="minorHAnsi"/>
        </w:rPr>
        <w:t xml:space="preserve"> 2020). The new Welsh curriculum offers only limited specification of content, and so requires professional decisions to be made by teachers and practitioners about the knowledge that should be developed through their teaching (Sinnema </w:t>
      </w:r>
      <w:r w:rsidRPr="00D22BA5">
        <w:rPr>
          <w:rFonts w:cstheme="minorHAnsi"/>
          <w:i/>
          <w:iCs/>
        </w:rPr>
        <w:t>et al</w:t>
      </w:r>
      <w:r>
        <w:rPr>
          <w:rFonts w:cstheme="minorHAnsi"/>
        </w:rPr>
        <w:t xml:space="preserve">., 2020) and thus how to implement the new curriculum policy in order to achieve this. It would also be pertinent to remember that when the primary focus is on content, other curricular practices such as pedagogy, assessment and provision often get neglected (Sinnema </w:t>
      </w:r>
      <w:r w:rsidRPr="00D22BA5">
        <w:rPr>
          <w:rFonts w:cstheme="minorHAnsi"/>
          <w:i/>
          <w:iCs/>
        </w:rPr>
        <w:t>et al</w:t>
      </w:r>
      <w:r>
        <w:rPr>
          <w:rFonts w:cstheme="minorHAnsi"/>
        </w:rPr>
        <w:t>., 2020). Taken alongside this needs to be the fact that implementing an initiative that relates to subject knowledge (</w:t>
      </w:r>
      <w:r w:rsidRPr="00400F53">
        <w:rPr>
          <w:rFonts w:cstheme="minorHAnsi"/>
          <w:i/>
          <w:iCs/>
        </w:rPr>
        <w:t>i.e.,</w:t>
      </w:r>
      <w:r>
        <w:rPr>
          <w:rFonts w:cstheme="minorHAnsi"/>
        </w:rPr>
        <w:t xml:space="preserve"> environmental education) could present further barriers to implementation, given varying level of personal knowledge and understanding of staff.</w:t>
      </w:r>
    </w:p>
    <w:p w14:paraId="4004C060" w14:textId="77777777" w:rsidR="00627A98" w:rsidRDefault="00627A98" w:rsidP="00627A98">
      <w:pPr>
        <w:spacing w:line="360" w:lineRule="auto"/>
        <w:jc w:val="both"/>
        <w:rPr>
          <w:rFonts w:cstheme="minorHAnsi"/>
        </w:rPr>
      </w:pPr>
    </w:p>
    <w:p w14:paraId="1154FA18" w14:textId="77777777" w:rsidR="00627A98" w:rsidRDefault="00627A98" w:rsidP="00627A98">
      <w:pPr>
        <w:spacing w:line="360" w:lineRule="auto"/>
        <w:jc w:val="both"/>
        <w:rPr>
          <w:rFonts w:cstheme="minorHAnsi"/>
        </w:rPr>
      </w:pPr>
      <w:r w:rsidRPr="00D274F7">
        <w:rPr>
          <w:rFonts w:cstheme="minorHAnsi"/>
        </w:rPr>
        <w:t>In 1992, Orr identified that sustainability and environmental education are particularly difficult to teach</w:t>
      </w:r>
      <w:r>
        <w:rPr>
          <w:rFonts w:cstheme="minorHAnsi"/>
        </w:rPr>
        <w:t xml:space="preserve">. </w:t>
      </w:r>
      <w:r w:rsidRPr="00D274F7">
        <w:rPr>
          <w:rFonts w:cstheme="minorHAnsi"/>
        </w:rPr>
        <w:t>Similarly, an investigation by Priestley and Minty (2013) found that staff struggled to enact curriculum reform in Scotland despite welcoming the changes</w:t>
      </w:r>
      <w:r>
        <w:rPr>
          <w:rFonts w:cstheme="minorHAnsi"/>
        </w:rPr>
        <w:t xml:space="preserve">. </w:t>
      </w:r>
      <w:r w:rsidRPr="00D274F7">
        <w:rPr>
          <w:rFonts w:cstheme="minorHAnsi"/>
        </w:rPr>
        <w:t xml:space="preserve">It could therefore be deduced that putting the two together – i.e., curriculum reform and an increase in education about sustainability – could prove further difficulties across the school. Although teachers might fully support the need for environmental education, the case may be that they do not know how to effectively incorporate it within their lessons, or their knowledge of the subject might be lacking. In this instance, a framework which details what each </w:t>
      </w:r>
      <w:r>
        <w:rPr>
          <w:rFonts w:cstheme="minorHAnsi"/>
        </w:rPr>
        <w:t>‘</w:t>
      </w:r>
      <w:r w:rsidRPr="00D274F7">
        <w:rPr>
          <w:rFonts w:cstheme="minorHAnsi"/>
        </w:rPr>
        <w:t>Area</w:t>
      </w:r>
      <w:r>
        <w:rPr>
          <w:rFonts w:cstheme="minorHAnsi"/>
        </w:rPr>
        <w:t>’</w:t>
      </w:r>
      <w:r w:rsidRPr="00D274F7">
        <w:rPr>
          <w:rFonts w:cstheme="minorHAnsi"/>
        </w:rPr>
        <w:t xml:space="preserve"> within the school could realistically cover within the confines of their subject area would be a useful tool. </w:t>
      </w:r>
    </w:p>
    <w:p w14:paraId="040B2EAF" w14:textId="77777777" w:rsidR="00627A98" w:rsidRDefault="00627A98" w:rsidP="00627A98">
      <w:pPr>
        <w:spacing w:line="360" w:lineRule="auto"/>
        <w:jc w:val="both"/>
        <w:rPr>
          <w:rFonts w:cstheme="minorHAnsi"/>
        </w:rPr>
      </w:pPr>
    </w:p>
    <w:p w14:paraId="3C0A9963" w14:textId="77777777" w:rsidR="00627A98" w:rsidRDefault="00627A98" w:rsidP="00627A98">
      <w:pPr>
        <w:spacing w:line="360" w:lineRule="auto"/>
        <w:jc w:val="both"/>
        <w:rPr>
          <w:rFonts w:cstheme="minorHAnsi"/>
        </w:rPr>
      </w:pPr>
      <w:r>
        <w:rPr>
          <w:rFonts w:cstheme="minorHAnsi"/>
        </w:rPr>
        <w:t>Other barriers to implementation arise from obstacles such as high insecurity around teaching about environmental sustainability, levels of understanding of environmental sustainability, lack of knowledge on how to translate sustainability concepts into subject matter, and lack of educational strategies for teaching in the context of environmental sustainability (</w:t>
      </w:r>
      <w:r>
        <w:t xml:space="preserve">Denby and Rickards 2016; Leicht </w:t>
      </w:r>
      <w:r w:rsidRPr="00D22BA5">
        <w:rPr>
          <w:i/>
          <w:iCs/>
        </w:rPr>
        <w:t>et al</w:t>
      </w:r>
      <w:r>
        <w:t xml:space="preserve">. 2018). Research on teachers’ professional development has also shown that the content delivered in professional development courses should be coherent with the current content they are required to teach (Desimone and Garet, 2015). Studies in this area have also shown that teachers only find general teaching strategies useful if they are in the context of their specialist subject area (Shanahan and Shanahan, 2008). </w:t>
      </w:r>
    </w:p>
    <w:p w14:paraId="7DAB2C13" w14:textId="77777777" w:rsidR="00627A98" w:rsidRDefault="00627A98" w:rsidP="00627A98">
      <w:pPr>
        <w:spacing w:line="360" w:lineRule="auto"/>
        <w:jc w:val="both"/>
        <w:rPr>
          <w:rFonts w:cstheme="minorHAnsi"/>
        </w:rPr>
      </w:pPr>
    </w:p>
    <w:p w14:paraId="2AC6CF30" w14:textId="77777777" w:rsidR="00627A98" w:rsidRDefault="00627A98" w:rsidP="00627A98">
      <w:pPr>
        <w:spacing w:line="360" w:lineRule="auto"/>
        <w:jc w:val="both"/>
      </w:pPr>
      <w:r>
        <w:rPr>
          <w:rFonts w:cstheme="minorHAnsi"/>
        </w:rPr>
        <w:t xml:space="preserve">A survey undertaken by Grigg (2016) found that teachers in Wales still perceive that the Welsh Government pushes too many initiatives, too quickly. Many respondents to the survey were concerned about ‘unnecessary bureaucracy’, and when asked what the biggest obstacle was, they responded with comments such as: </w:t>
      </w:r>
      <w:r>
        <w:t xml:space="preserve">“regular changing of priorities’; ‘shifting of the goal posts’; ‘form filling’; ‘additional paperwork’; ’too many initiatives’; ‘constantly changing priorities, a barrage of initiatives. Just give us the curriculum and let us teach’; ‘not enough time to embed initiatives before they are replaced’; and ‘having to jump through hoops to satisfy various initiatives” (Grigg, 2016). Increasing levels of over-accountability was another cause for concern highlighted by the survey, with the following comment illustrating that fact: “Paperwork and bureaucracy are overwhelming. Teaching and lesson planning takes up only </w:t>
      </w:r>
      <w:r>
        <w:lastRenderedPageBreak/>
        <w:t xml:space="preserve">about 50% of my time. The rest is ticking boxes and making sure paperwork and evidence of my work as a teacher is available for when I am assessed” (Grigg, 2016). </w:t>
      </w:r>
    </w:p>
    <w:p w14:paraId="280728B3" w14:textId="77777777" w:rsidR="00627A98" w:rsidRDefault="00627A98" w:rsidP="00627A98">
      <w:pPr>
        <w:spacing w:line="360" w:lineRule="auto"/>
        <w:jc w:val="both"/>
      </w:pPr>
    </w:p>
    <w:p w14:paraId="35B120B6" w14:textId="3C69ECA8" w:rsidR="00627A98" w:rsidRDefault="00627A98" w:rsidP="00627A98">
      <w:pPr>
        <w:spacing w:line="360" w:lineRule="auto"/>
        <w:jc w:val="both"/>
        <w:rPr>
          <w:rFonts w:cstheme="minorHAnsi"/>
        </w:rPr>
      </w:pPr>
      <w:r w:rsidRPr="00C611E8">
        <w:rPr>
          <w:rFonts w:cstheme="minorHAnsi"/>
        </w:rPr>
        <w:t>A possibl</w:t>
      </w:r>
      <w:r w:rsidR="00C611E8" w:rsidRPr="00C611E8">
        <w:rPr>
          <w:rFonts w:cstheme="minorHAnsi"/>
        </w:rPr>
        <w:t>e</w:t>
      </w:r>
      <w:r w:rsidRPr="00C611E8">
        <w:rPr>
          <w:rFonts w:cstheme="minorHAnsi"/>
        </w:rPr>
        <w:t xml:space="preserve"> remedy to such barriers would be greater flexibility of a curriculum, and there are</w:t>
      </w:r>
      <w:r>
        <w:rPr>
          <w:rFonts w:cstheme="minorHAnsi"/>
        </w:rPr>
        <w:t xml:space="preserve"> arguments that reduced prescription in curriculum policies can increase teachers’ sense of control, and therefore, their commitment and satisfaction, and also it enables responsiveness to local needs and interests (Sinnema and Aitken, 2013). Moreover, studies of the relationship between autonomy and student performance lend support for such autonomy and the flexibility afforded to practitioners for school-based curriculum design (Sinnema </w:t>
      </w:r>
      <w:r w:rsidRPr="00D22BA5">
        <w:rPr>
          <w:rFonts w:cstheme="minorHAnsi"/>
          <w:i/>
          <w:iCs/>
        </w:rPr>
        <w:t>et al</w:t>
      </w:r>
      <w:r>
        <w:rPr>
          <w:rFonts w:cstheme="minorHAnsi"/>
        </w:rPr>
        <w:t>., 2020). The Programme for International Student Assessment (PISA) reports that an intelligent combination of both autonomy and accountability is associated with better student performance (OECD, 2016).</w:t>
      </w:r>
    </w:p>
    <w:p w14:paraId="6740BD1B" w14:textId="77777777" w:rsidR="00627A98" w:rsidRPr="00F84A67" w:rsidRDefault="00627A98" w:rsidP="00627A98">
      <w:pPr>
        <w:spacing w:line="360" w:lineRule="auto"/>
        <w:jc w:val="both"/>
        <w:rPr>
          <w:rFonts w:cstheme="minorHAnsi"/>
        </w:rPr>
      </w:pPr>
    </w:p>
    <w:p w14:paraId="39A3B097" w14:textId="2BCB58E0" w:rsidR="00627A98" w:rsidRDefault="00627A98" w:rsidP="00627A98">
      <w:pPr>
        <w:spacing w:line="360" w:lineRule="auto"/>
        <w:jc w:val="both"/>
        <w:rPr>
          <w:rFonts w:cstheme="minorHAnsi"/>
        </w:rPr>
      </w:pPr>
      <w:r>
        <w:rPr>
          <w:rFonts w:cstheme="minorHAnsi"/>
        </w:rPr>
        <w:t xml:space="preserve">Teacher collaboration is seen as essential to bridge the gap between the work of individual teachers within their own subjects and classrooms, and schoolwide aspirations (Sinnema </w:t>
      </w:r>
      <w:r w:rsidRPr="00D22BA5">
        <w:rPr>
          <w:rFonts w:cstheme="minorHAnsi"/>
          <w:i/>
          <w:iCs/>
        </w:rPr>
        <w:t>et al</w:t>
      </w:r>
      <w:r>
        <w:rPr>
          <w:rFonts w:cstheme="minorHAnsi"/>
        </w:rPr>
        <w:t xml:space="preserve">., 2020). </w:t>
      </w:r>
      <w:r w:rsidRPr="00D274F7">
        <w:rPr>
          <w:rFonts w:cstheme="minorHAnsi"/>
        </w:rPr>
        <w:t>School teachers will have their own knowledge, understanding, and beliefs on the environment and sustainability. They w</w:t>
      </w:r>
      <w:r w:rsidR="00D57BA6">
        <w:rPr>
          <w:rFonts w:cstheme="minorHAnsi"/>
        </w:rPr>
        <w:t>ill not</w:t>
      </w:r>
      <w:r w:rsidRPr="00D274F7">
        <w:rPr>
          <w:rFonts w:cstheme="minorHAnsi"/>
        </w:rPr>
        <w:t>, however, necessarily have the skills to effectively integrate this into the teaching of their own specialist subjects. Research has shown that teachers are typically selective in the strategies they use in their classrooms, based on their judgements of what is appropriate for their subjects or their pupils (Reed, 2009)</w:t>
      </w:r>
      <w:r>
        <w:rPr>
          <w:rFonts w:cstheme="minorHAnsi"/>
        </w:rPr>
        <w:t xml:space="preserve">. </w:t>
      </w:r>
      <w:r w:rsidRPr="00D274F7">
        <w:rPr>
          <w:rFonts w:cstheme="minorHAnsi"/>
        </w:rPr>
        <w:t xml:space="preserve">Of course, there are examples of where cross-curricular themes have been introduced to curricula in the past. One example is Literacy, with most schools appointing staff members to coordinate the consistent implementation of this across the school. Usually, a framework is created in which each subject will be listed with details of how they can include more literacy focus within their subjects and themes of work. The implementation of such tasks are then checked periodically throughout the </w:t>
      </w:r>
      <w:r w:rsidRPr="00C611E8">
        <w:rPr>
          <w:rFonts w:cstheme="minorHAnsi"/>
        </w:rPr>
        <w:t>year during work scrutiny.</w:t>
      </w:r>
      <w:r w:rsidRPr="00D274F7">
        <w:rPr>
          <w:rFonts w:cstheme="minorHAnsi"/>
        </w:rPr>
        <w:t xml:space="preserve"> </w:t>
      </w:r>
    </w:p>
    <w:p w14:paraId="57BA6D64" w14:textId="77777777" w:rsidR="00627A98" w:rsidRDefault="00627A98" w:rsidP="00627A98">
      <w:pPr>
        <w:spacing w:line="360" w:lineRule="auto"/>
        <w:jc w:val="both"/>
        <w:rPr>
          <w:rFonts w:cstheme="minorHAnsi"/>
        </w:rPr>
      </w:pPr>
    </w:p>
    <w:p w14:paraId="26037BAF" w14:textId="143C1D56" w:rsidR="00627A98" w:rsidRDefault="00627A98" w:rsidP="00627A98">
      <w:pPr>
        <w:spacing w:line="360" w:lineRule="auto"/>
        <w:jc w:val="both"/>
        <w:rPr>
          <w:rFonts w:cstheme="minorHAnsi"/>
        </w:rPr>
      </w:pPr>
      <w:r>
        <w:rPr>
          <w:rFonts w:cstheme="minorHAnsi"/>
        </w:rPr>
        <w:t xml:space="preserve">A study undertaken by Walker (1997) which was conducted in Australia, found that the requirements for implementing a socially critical environmental education theme into the curriculum, particularly one that tackles taking action on environmental problems, was simply </w:t>
      </w:r>
      <w:r w:rsidRPr="00B818EE">
        <w:rPr>
          <w:rFonts w:cstheme="minorHAnsi"/>
        </w:rPr>
        <w:t>too great for many teachers to take on board. This has also been the case in Wales, with</w:t>
      </w:r>
      <w:r>
        <w:rPr>
          <w:rFonts w:cstheme="minorHAnsi"/>
        </w:rPr>
        <w:t xml:space="preserve"> initiatives such as the Literacy and Numeracy Frameworks, introduced as a cross-curricular </w:t>
      </w:r>
      <w:r>
        <w:rPr>
          <w:rFonts w:cstheme="minorHAnsi"/>
        </w:rPr>
        <w:lastRenderedPageBreak/>
        <w:t xml:space="preserve">theme which became statutory in September 2013 (Welsh Government, 2013). </w:t>
      </w:r>
      <w:r w:rsidRPr="00D274F7">
        <w:rPr>
          <w:rFonts w:cstheme="minorHAnsi"/>
        </w:rPr>
        <w:t>Despite having a designated member of staff to create and manage a framework, it is often the case that teachers struggle to embed literacy into their lessons effectively. It is possible that this could be due to a lack of training on how to develop literacy skills of pupils, with Dillon and colleagues (2015)</w:t>
      </w:r>
      <w:r>
        <w:rPr>
          <w:rFonts w:cstheme="minorHAnsi"/>
        </w:rPr>
        <w:t xml:space="preserve"> </w:t>
      </w:r>
      <w:r w:rsidRPr="00D274F7">
        <w:rPr>
          <w:rFonts w:cstheme="minorHAnsi"/>
        </w:rPr>
        <w:t>reporting that although research has shown how literacy practices are embedded, there is still little empirical work on how teachers at secondary level learn to teach literacy.  Research on teachers’ professional development has emphasised that the professional development content should be coherent with teachers’ present teaching content (Desimone and Garet, 2015)</w:t>
      </w:r>
      <w:r>
        <w:rPr>
          <w:rFonts w:cstheme="minorHAnsi"/>
        </w:rPr>
        <w:t xml:space="preserve">. </w:t>
      </w:r>
      <w:r w:rsidRPr="00D274F7">
        <w:rPr>
          <w:rFonts w:cstheme="minorHAnsi"/>
        </w:rPr>
        <w:t>Studies in content-area literacy have investigated such coherence in terms of what literacy strategies seem appropriate for teachers of different subjects (Kristen, 2019). Such research has shown that different literacy strategies are preferred by teachers of different subjects (Nichols</w:t>
      </w:r>
      <w:r>
        <w:rPr>
          <w:rFonts w:cstheme="minorHAnsi"/>
        </w:rPr>
        <w:t xml:space="preserve"> </w:t>
      </w:r>
      <w:r w:rsidRPr="00D22BA5">
        <w:rPr>
          <w:rFonts w:cstheme="minorHAnsi"/>
          <w:i/>
          <w:iCs/>
        </w:rPr>
        <w:t>et al</w:t>
      </w:r>
      <w:r>
        <w:rPr>
          <w:rFonts w:cstheme="minorHAnsi"/>
        </w:rPr>
        <w:t xml:space="preserve">., </w:t>
      </w:r>
      <w:r w:rsidRPr="00D274F7">
        <w:rPr>
          <w:rFonts w:cstheme="minorHAnsi"/>
        </w:rPr>
        <w:t xml:space="preserve">2007), which is likely to also be the case when embedding sustainability across the curriculum. </w:t>
      </w:r>
    </w:p>
    <w:p w14:paraId="6EACA0B1" w14:textId="77777777" w:rsidR="00627A98" w:rsidRDefault="00627A98" w:rsidP="00627A98">
      <w:pPr>
        <w:spacing w:line="360" w:lineRule="auto"/>
        <w:jc w:val="both"/>
        <w:rPr>
          <w:rFonts w:cstheme="minorHAnsi"/>
        </w:rPr>
      </w:pPr>
    </w:p>
    <w:p w14:paraId="6F9DA860" w14:textId="77777777" w:rsidR="00627A98" w:rsidRDefault="00627A98" w:rsidP="00627A98">
      <w:pPr>
        <w:spacing w:line="360" w:lineRule="auto"/>
      </w:pPr>
    </w:p>
    <w:p w14:paraId="0673EB86" w14:textId="1BF00445" w:rsidR="00114BDA" w:rsidRDefault="00114BDA"/>
    <w:p w14:paraId="61E09D1C" w14:textId="00F83768" w:rsidR="00560EEA" w:rsidRDefault="00560EEA"/>
    <w:p w14:paraId="4D724A67" w14:textId="349D1F0C" w:rsidR="00560EEA" w:rsidRDefault="00560EEA"/>
    <w:p w14:paraId="0ABCD532" w14:textId="094B9DBC" w:rsidR="00560EEA" w:rsidRDefault="00560EEA"/>
    <w:p w14:paraId="34EEDC1C" w14:textId="4A7EFB75" w:rsidR="00560EEA" w:rsidRDefault="00560EEA"/>
    <w:p w14:paraId="048196D1" w14:textId="7A838532" w:rsidR="00560EEA" w:rsidRDefault="00560EEA"/>
    <w:p w14:paraId="2299D4FD" w14:textId="028CB146" w:rsidR="00560EEA" w:rsidRDefault="00560EEA"/>
    <w:p w14:paraId="6A798938" w14:textId="53920B6D" w:rsidR="00560EEA" w:rsidRDefault="00560EEA"/>
    <w:p w14:paraId="24CD3C86" w14:textId="7097B80B" w:rsidR="00560EEA" w:rsidRDefault="00560EEA"/>
    <w:p w14:paraId="077C7643" w14:textId="4CD189FB" w:rsidR="00560EEA" w:rsidRDefault="00560EEA"/>
    <w:p w14:paraId="1DA75161" w14:textId="36E9BEFF" w:rsidR="00560EEA" w:rsidRDefault="00560EEA"/>
    <w:p w14:paraId="4050FE6D" w14:textId="7E3D6181" w:rsidR="00560EEA" w:rsidRDefault="00560EEA"/>
    <w:p w14:paraId="13D27DC3" w14:textId="0D2F6AE6" w:rsidR="00560EEA" w:rsidRDefault="00560EEA"/>
    <w:p w14:paraId="6F24B0D9" w14:textId="6DA176FB" w:rsidR="00560EEA" w:rsidRDefault="00560EEA"/>
    <w:p w14:paraId="665E68A7" w14:textId="4EE1B70B" w:rsidR="00560EEA" w:rsidRDefault="00560EEA"/>
    <w:p w14:paraId="4437FBCF" w14:textId="32C413BC" w:rsidR="00560EEA" w:rsidRDefault="00560EEA"/>
    <w:p w14:paraId="2735DD7A" w14:textId="587E646A" w:rsidR="00560EEA" w:rsidRDefault="00560EEA"/>
    <w:p w14:paraId="03DF2136" w14:textId="2209BAE8" w:rsidR="00560EEA" w:rsidRDefault="00560EEA"/>
    <w:p w14:paraId="6A542926" w14:textId="39BB92F6" w:rsidR="00560EEA" w:rsidRDefault="00560EEA"/>
    <w:p w14:paraId="6C01C061" w14:textId="1A3E415A" w:rsidR="00560EEA" w:rsidRDefault="00560EEA"/>
    <w:p w14:paraId="615DD3C3" w14:textId="6791D746" w:rsidR="00560EEA" w:rsidRDefault="00560EEA">
      <w:r>
        <w:br w:type="page"/>
      </w:r>
    </w:p>
    <w:p w14:paraId="21B309EA" w14:textId="462A948A" w:rsidR="00560EEA" w:rsidRDefault="001A1C9F" w:rsidP="00560EEA">
      <w:pPr>
        <w:pStyle w:val="Heading1"/>
      </w:pPr>
      <w:bookmarkStart w:id="12" w:name="_Toc131682237"/>
      <w:r>
        <w:lastRenderedPageBreak/>
        <w:t xml:space="preserve">3.0 </w:t>
      </w:r>
      <w:r w:rsidR="00B120A2">
        <w:t xml:space="preserve">Chapter 3: </w:t>
      </w:r>
      <w:r w:rsidR="00560EEA">
        <w:t>Methodology</w:t>
      </w:r>
      <w:bookmarkEnd w:id="12"/>
    </w:p>
    <w:p w14:paraId="6C9029A0" w14:textId="77777777" w:rsidR="00560EEA" w:rsidRDefault="00560EEA" w:rsidP="00560EEA">
      <w:pPr>
        <w:spacing w:line="360" w:lineRule="auto"/>
        <w:jc w:val="both"/>
        <w:rPr>
          <w:rFonts w:cstheme="minorHAnsi"/>
        </w:rPr>
      </w:pPr>
    </w:p>
    <w:p w14:paraId="7199D43C" w14:textId="2B933751" w:rsidR="00560EEA" w:rsidRPr="00560EEA" w:rsidRDefault="001A1C9F" w:rsidP="00560EEA">
      <w:pPr>
        <w:pStyle w:val="Heading2"/>
      </w:pPr>
      <w:bookmarkStart w:id="13" w:name="_Toc131682238"/>
      <w:r>
        <w:t xml:space="preserve">3.1 </w:t>
      </w:r>
      <w:r w:rsidR="00560EEA" w:rsidRPr="00560EEA">
        <w:t>Background</w:t>
      </w:r>
      <w:r w:rsidR="00560EEA">
        <w:t xml:space="preserve"> Information</w:t>
      </w:r>
      <w:bookmarkEnd w:id="13"/>
    </w:p>
    <w:p w14:paraId="356FFE67" w14:textId="77777777" w:rsidR="00560EEA" w:rsidRDefault="00560EEA" w:rsidP="00560EEA">
      <w:pPr>
        <w:spacing w:line="360" w:lineRule="auto"/>
        <w:jc w:val="both"/>
        <w:rPr>
          <w:rFonts w:cstheme="minorHAnsi"/>
        </w:rPr>
      </w:pPr>
    </w:p>
    <w:p w14:paraId="5A62A636" w14:textId="484847A2" w:rsidR="003E2741" w:rsidRDefault="003E2741" w:rsidP="00560EEA">
      <w:pPr>
        <w:spacing w:line="360" w:lineRule="auto"/>
        <w:jc w:val="both"/>
        <w:rPr>
          <w:rFonts w:cstheme="minorHAnsi"/>
        </w:rPr>
      </w:pPr>
      <w:r w:rsidRPr="00D274F7">
        <w:rPr>
          <w:rFonts w:cstheme="minorHAnsi"/>
        </w:rPr>
        <w:t xml:space="preserve">The research for this project </w:t>
      </w:r>
      <w:r>
        <w:rPr>
          <w:rFonts w:cstheme="minorHAnsi"/>
        </w:rPr>
        <w:t>was</w:t>
      </w:r>
      <w:r w:rsidRPr="00D274F7">
        <w:rPr>
          <w:rFonts w:cstheme="minorHAnsi"/>
        </w:rPr>
        <w:t xml:space="preserve"> undertaken in </w:t>
      </w:r>
      <w:r>
        <w:rPr>
          <w:rFonts w:cstheme="minorHAnsi"/>
        </w:rPr>
        <w:t xml:space="preserve">a </w:t>
      </w:r>
      <w:r w:rsidRPr="00D274F7">
        <w:rPr>
          <w:rFonts w:cstheme="minorHAnsi"/>
        </w:rPr>
        <w:t>Secondary School in South Wales</w:t>
      </w:r>
      <w:r>
        <w:rPr>
          <w:rFonts w:cstheme="minorHAnsi"/>
        </w:rPr>
        <w:t>. This school was chosen as it is a comprehensive school, and therefore is representative of many other schools in Wales</w:t>
      </w:r>
      <w:r>
        <w:rPr>
          <w:rFonts w:cstheme="minorHAnsi"/>
        </w:rPr>
        <w:t xml:space="preserve">. The catchment area for the school is varied and welcomes pupils from a range of backgrounds. For this study, </w:t>
      </w:r>
      <w:r>
        <w:rPr>
          <w:rFonts w:cstheme="minorHAnsi"/>
        </w:rPr>
        <w:t xml:space="preserve">Heads of Faculty for each subject area were asked to share a scheme of work for </w:t>
      </w:r>
      <w:r>
        <w:rPr>
          <w:rFonts w:cstheme="minorHAnsi"/>
        </w:rPr>
        <w:t>e</w:t>
      </w:r>
      <w:r>
        <w:rPr>
          <w:rFonts w:cstheme="minorHAnsi"/>
        </w:rPr>
        <w:t xml:space="preserve">ither year 7 or 8 that they would be happy to be analysed for this study. </w:t>
      </w:r>
      <w:r>
        <w:rPr>
          <w:rFonts w:cstheme="minorHAnsi"/>
        </w:rPr>
        <w:t xml:space="preserve"> Unfortunately, n</w:t>
      </w:r>
      <w:r>
        <w:rPr>
          <w:rFonts w:cstheme="minorHAnsi"/>
        </w:rPr>
        <w:t>ot all members of staff contributed meaning that for this study, schemes of work were looked at for: Geography, History, Religious Studies, Mathematics and Art.</w:t>
      </w:r>
    </w:p>
    <w:p w14:paraId="3306A2BD" w14:textId="77777777" w:rsidR="003E2741" w:rsidRDefault="003E2741" w:rsidP="00560EEA">
      <w:pPr>
        <w:spacing w:line="360" w:lineRule="auto"/>
        <w:jc w:val="both"/>
        <w:rPr>
          <w:rFonts w:cstheme="minorHAnsi"/>
        </w:rPr>
      </w:pPr>
    </w:p>
    <w:p w14:paraId="247F91F5" w14:textId="158F3C3D" w:rsidR="00560EEA" w:rsidRPr="00D274F7" w:rsidRDefault="00560EEA" w:rsidP="00560EEA">
      <w:pPr>
        <w:spacing w:line="360" w:lineRule="auto"/>
        <w:jc w:val="both"/>
        <w:rPr>
          <w:rFonts w:cstheme="minorHAnsi"/>
        </w:rPr>
      </w:pPr>
      <w:r w:rsidRPr="00D274F7">
        <w:rPr>
          <w:rFonts w:cstheme="minorHAnsi"/>
        </w:rPr>
        <w:t>There are several possible constraints when implementing environmental education in schools, including: lack of time, lack of unbiased resources, lack of school support, and lack of staff expertise and motivation (Tomlins and Froud, 1994; Ballantyne, 1999; Lee, 200</w:t>
      </w:r>
      <w:r w:rsidRPr="00316038">
        <w:rPr>
          <w:rFonts w:cstheme="minorHAnsi"/>
        </w:rPr>
        <w:t>0).</w:t>
      </w:r>
      <w:r w:rsidRPr="00D274F7">
        <w:rPr>
          <w:rFonts w:cstheme="minorHAnsi"/>
        </w:rPr>
        <w:t xml:space="preserve"> It is likely that teachers within the school will agree that educating pupils about sustainability is important, and this would concur with previous studies and research which reported that teachers are strongly in favour of environmental education, with</w:t>
      </w:r>
      <w:r>
        <w:rPr>
          <w:rFonts w:cstheme="minorHAnsi"/>
        </w:rPr>
        <w:t xml:space="preserve"> a desire to develop pupils with a</w:t>
      </w:r>
      <w:r w:rsidRPr="00D274F7">
        <w:rPr>
          <w:rFonts w:cstheme="minorHAnsi"/>
        </w:rPr>
        <w:t xml:space="preserve"> ‘personal responsibility for the environment’ (Tomlins and Froud, 1994; Grace and Sharp, 2000)</w:t>
      </w:r>
      <w:r>
        <w:rPr>
          <w:rFonts w:cstheme="minorHAnsi"/>
        </w:rPr>
        <w:t xml:space="preserve">. </w:t>
      </w:r>
      <w:r w:rsidRPr="00D274F7">
        <w:rPr>
          <w:rFonts w:cstheme="minorHAnsi"/>
        </w:rPr>
        <w:t>However, there has also been research conducted in the past which has produced more ambiguous results (Cotton, 2006). An international survey carried out by Ballantyne (1999) found that teachers in the UK were least committed to promoting a ‘particular environmental ethic’. In a comparative study of England and Hong Kong, Lee (1993) noted support for teaching attitudes of concern for the environment in both countries, but very little support for teaching strategies that might enable teachers to achieve this aim. Based on this, it could be surmised that teachers are keen and willing to develop appreciation of sustainability but are limited in their delivery due to constraints in their schools (Cotton, 2006).</w:t>
      </w:r>
    </w:p>
    <w:p w14:paraId="4D0F23FE" w14:textId="77777777" w:rsidR="00560EEA" w:rsidRPr="00D274F7" w:rsidRDefault="00560EEA" w:rsidP="00560EEA">
      <w:pPr>
        <w:spacing w:line="360" w:lineRule="auto"/>
        <w:jc w:val="both"/>
        <w:rPr>
          <w:rFonts w:cstheme="minorHAnsi"/>
        </w:rPr>
      </w:pPr>
    </w:p>
    <w:p w14:paraId="58E4A5C2" w14:textId="77777777" w:rsidR="00560EEA" w:rsidRPr="00D274F7" w:rsidRDefault="00560EEA" w:rsidP="00560EEA">
      <w:pPr>
        <w:spacing w:line="360" w:lineRule="auto"/>
        <w:jc w:val="both"/>
        <w:rPr>
          <w:rFonts w:cstheme="minorHAnsi"/>
        </w:rPr>
      </w:pPr>
      <w:r w:rsidRPr="00D274F7">
        <w:rPr>
          <w:rFonts w:cstheme="minorHAnsi"/>
        </w:rPr>
        <w:t xml:space="preserve">Historically, research has involved large scale surveys of teachers’ attitudes (for example Lee, 1993; Tomlins and Froud, 1994; Ballantyne, 1999; Grace and Sharp, 2000), students’ attitudes (for example Richmond and Morgan ,1977; Hausbeck </w:t>
      </w:r>
      <w:r w:rsidRPr="00D274F7">
        <w:rPr>
          <w:rFonts w:cstheme="minorHAnsi"/>
          <w:i/>
          <w:iCs/>
        </w:rPr>
        <w:t>et al</w:t>
      </w:r>
      <w:r w:rsidRPr="00D274F7">
        <w:rPr>
          <w:rFonts w:cstheme="minorHAnsi"/>
        </w:rPr>
        <w:t xml:space="preserve">., 1992; Scott and Willits, 1994; </w:t>
      </w:r>
      <w:r w:rsidRPr="00D274F7">
        <w:rPr>
          <w:rFonts w:cstheme="minorHAnsi"/>
        </w:rPr>
        <w:lastRenderedPageBreak/>
        <w:t xml:space="preserve">Morris and Schagen 1995) or classroom interventions that attempt to change the attitudes of students (for example Gross and Pizzini 1979, Yount and Horton 1992, Showers and Shrigley 1995, Uzzell 1999). However, Cotton (2006) indicates that previous studies give little insight into teachers’ beliefs and classroom behaviours. They therefore suggest that a study in this area should provide an alternative perspective by producing: a detailed account of staff beliefs within a school, practices relating to environmental issues, extensive data, and a detailed analysis of data collected. </w:t>
      </w:r>
    </w:p>
    <w:p w14:paraId="56B7DF30" w14:textId="77777777" w:rsidR="00560EEA" w:rsidRPr="00D274F7" w:rsidRDefault="00560EEA" w:rsidP="00560EEA">
      <w:pPr>
        <w:spacing w:line="360" w:lineRule="auto"/>
        <w:jc w:val="both"/>
        <w:rPr>
          <w:rFonts w:cstheme="minorHAnsi"/>
        </w:rPr>
      </w:pPr>
    </w:p>
    <w:p w14:paraId="66FA1ADD" w14:textId="727A746E" w:rsidR="00560EEA" w:rsidRPr="00D274F7" w:rsidRDefault="00560EEA" w:rsidP="00560EEA">
      <w:pPr>
        <w:spacing w:line="360" w:lineRule="auto"/>
        <w:jc w:val="both"/>
        <w:rPr>
          <w:rFonts w:cstheme="minorHAnsi"/>
        </w:rPr>
      </w:pPr>
      <w:r w:rsidRPr="00D274F7">
        <w:rPr>
          <w:rFonts w:cstheme="minorHAnsi"/>
        </w:rPr>
        <w:t>Systematic mappings are ‘one of the most powerful aspects of systematic reviews‘</w:t>
      </w:r>
      <w:r>
        <w:rPr>
          <w:rFonts w:cstheme="minorHAnsi"/>
        </w:rPr>
        <w:t xml:space="preserve"> </w:t>
      </w:r>
      <w:r w:rsidRPr="00D274F7">
        <w:rPr>
          <w:rFonts w:cstheme="minorHAnsi"/>
        </w:rPr>
        <w:t>(Gough and Thomas, 2017)</w:t>
      </w:r>
      <w:r>
        <w:rPr>
          <w:rFonts w:cstheme="minorHAnsi"/>
        </w:rPr>
        <w:t xml:space="preserve">. </w:t>
      </w:r>
      <w:r w:rsidRPr="00D274F7">
        <w:rPr>
          <w:rFonts w:cstheme="minorHAnsi"/>
        </w:rPr>
        <w:t>A good starting point for this proposed research</w:t>
      </w:r>
      <w:r w:rsidR="005109F3">
        <w:rPr>
          <w:rFonts w:cstheme="minorHAnsi"/>
        </w:rPr>
        <w:t xml:space="preserve"> was</w:t>
      </w:r>
      <w:r w:rsidRPr="00D274F7">
        <w:rPr>
          <w:rFonts w:cstheme="minorHAnsi"/>
        </w:rPr>
        <w:t xml:space="preserve">, therefore, to undertake an audit of environmental education and education on sustainability in the school. </w:t>
      </w:r>
      <w:r w:rsidR="005109F3">
        <w:rPr>
          <w:rFonts w:cstheme="minorHAnsi"/>
        </w:rPr>
        <w:t>It was hoped that s</w:t>
      </w:r>
      <w:r w:rsidRPr="00D274F7">
        <w:rPr>
          <w:rFonts w:cstheme="minorHAnsi"/>
        </w:rPr>
        <w:t>urveys of staff, pupils and senior leaders could be used to gain an understanding of what is currently being delivered relating to this theme.</w:t>
      </w:r>
      <w:r w:rsidR="005109F3">
        <w:rPr>
          <w:rFonts w:cstheme="minorHAnsi"/>
        </w:rPr>
        <w:t xml:space="preserve"> However, due to time constraints of this study, and internal pressures within the school, it was decided that surveys conducted could possibly add undue pressure to an already busy point in the school year. Therefore, such surveys were not </w:t>
      </w:r>
      <w:r w:rsidR="00A44FCD">
        <w:rPr>
          <w:rFonts w:cstheme="minorHAnsi"/>
        </w:rPr>
        <w:t>conducted,</w:t>
      </w:r>
      <w:r w:rsidR="005109F3">
        <w:rPr>
          <w:rFonts w:cstheme="minorHAnsi"/>
        </w:rPr>
        <w:t xml:space="preserve"> and it was decided that instead, these would be the first task undertaken as part of further work in this area. Instead, a</w:t>
      </w:r>
      <w:r w:rsidRPr="00D274F7">
        <w:rPr>
          <w:rFonts w:cstheme="minorHAnsi"/>
        </w:rPr>
        <w:t xml:space="preserve"> review </w:t>
      </w:r>
      <w:r w:rsidR="005109F3">
        <w:rPr>
          <w:rFonts w:cstheme="minorHAnsi"/>
        </w:rPr>
        <w:t xml:space="preserve">of </w:t>
      </w:r>
      <w:r w:rsidRPr="00D274F7">
        <w:rPr>
          <w:rFonts w:cstheme="minorHAnsi"/>
        </w:rPr>
        <w:t>Schemes of Work to map out what is being covered and where</w:t>
      </w:r>
      <w:r w:rsidR="005109F3">
        <w:rPr>
          <w:rFonts w:cstheme="minorHAnsi"/>
        </w:rPr>
        <w:t xml:space="preserve"> was undertaken to identify where environmental education was already being delivered</w:t>
      </w:r>
      <w:r w:rsidRPr="00D274F7">
        <w:rPr>
          <w:rFonts w:cstheme="minorHAnsi"/>
        </w:rPr>
        <w:t xml:space="preserve">. Through mapping in this way, Gough and Thomas (2017) state that it is possible to ‘gain an understanding of the breadth, purpose, and extent’ of a topic or theme. </w:t>
      </w:r>
    </w:p>
    <w:p w14:paraId="23E575BD" w14:textId="77777777" w:rsidR="00560EEA" w:rsidRDefault="00560EEA" w:rsidP="00560EEA">
      <w:pPr>
        <w:spacing w:line="360" w:lineRule="auto"/>
        <w:jc w:val="both"/>
      </w:pPr>
    </w:p>
    <w:p w14:paraId="34E2AB41" w14:textId="3DAD810F" w:rsidR="00560EEA" w:rsidRDefault="001A1C9F" w:rsidP="00560EEA">
      <w:pPr>
        <w:pStyle w:val="Heading2"/>
      </w:pPr>
      <w:bookmarkStart w:id="14" w:name="_Toc131682239"/>
      <w:r>
        <w:t xml:space="preserve">3.2 </w:t>
      </w:r>
      <w:r w:rsidR="00560EEA">
        <w:t>Curriculum Design</w:t>
      </w:r>
      <w:bookmarkEnd w:id="14"/>
    </w:p>
    <w:p w14:paraId="76D09D0C" w14:textId="77777777" w:rsidR="00560EEA" w:rsidRDefault="00560EEA" w:rsidP="00560EEA">
      <w:pPr>
        <w:spacing w:line="360" w:lineRule="auto"/>
        <w:jc w:val="both"/>
      </w:pPr>
    </w:p>
    <w:p w14:paraId="3C25DDA8" w14:textId="77777777" w:rsidR="00560EEA" w:rsidRDefault="00560EEA" w:rsidP="00560EEA">
      <w:pPr>
        <w:spacing w:line="360" w:lineRule="auto"/>
        <w:jc w:val="both"/>
      </w:pPr>
      <w:r>
        <w:t xml:space="preserve">Designing curricula requires the proper selection and sequencing of learning content and methodologies to create appropriate materials at the curriculum, syllabus, scheme of work and lesson plan stages. Curriculum theory views learning as ‘planned and guided’, and there is an argument that for learning to occur, the process must specify in advance what it seeks to achieve (Musingafi </w:t>
      </w:r>
      <w:r w:rsidRPr="005A6D83">
        <w:rPr>
          <w:i/>
          <w:iCs/>
        </w:rPr>
        <w:t>et al</w:t>
      </w:r>
      <w:r>
        <w:t>., 2015). A whole school framework for the implementation of environmental education would need to be prescriptive so that staff delivering its content are clear on the objectives in advance of its implementation.</w:t>
      </w:r>
    </w:p>
    <w:p w14:paraId="13B53918" w14:textId="77777777" w:rsidR="00560EEA" w:rsidRDefault="00560EEA" w:rsidP="00560EEA">
      <w:pPr>
        <w:spacing w:line="360" w:lineRule="auto"/>
        <w:jc w:val="both"/>
      </w:pPr>
    </w:p>
    <w:p w14:paraId="2A5C1700" w14:textId="10D4CF25" w:rsidR="00560EEA" w:rsidRDefault="00560EEA" w:rsidP="00560EEA">
      <w:pPr>
        <w:spacing w:line="360" w:lineRule="auto"/>
        <w:jc w:val="both"/>
      </w:pPr>
      <w:r>
        <w:lastRenderedPageBreak/>
        <w:t xml:space="preserve">A curriculum should be well-defined and prescribed creating a course of studies for students to follow and complete in order to gain a given level of education. The subject matter should be predetermined and planned into a coherent, planned sequence of experiences leading to a certifiable completion point (Musingafi </w:t>
      </w:r>
      <w:r w:rsidRPr="005A6D83">
        <w:rPr>
          <w:i/>
          <w:iCs/>
        </w:rPr>
        <w:t>et al.,</w:t>
      </w:r>
      <w:r>
        <w:t xml:space="preserve"> 2015). The proposed new curriculum in Wales i</w:t>
      </w:r>
      <w:r w:rsidR="00EB1235">
        <w:t>s</w:t>
      </w:r>
      <w:r>
        <w:t xml:space="preserve"> a ‘radical departure’ from the original top-down, teacher proof policy of the previous National Curriculum (Sinnema </w:t>
      </w:r>
      <w:r w:rsidRPr="005A6D83">
        <w:rPr>
          <w:i/>
          <w:iCs/>
        </w:rPr>
        <w:t>et al</w:t>
      </w:r>
      <w:r>
        <w:t xml:space="preserve">., 2020; Weicht and </w:t>
      </w:r>
      <w:r w:rsidRPr="00826478">
        <w:t>Jónsdóttir</w:t>
      </w:r>
      <w:r>
        <w:t xml:space="preserve">, 2021). It has been noted that pupils will encounter knowledge in a different way to previous generations, and there will be a shift away from subjects as they have previously been organised, offering greater autonomy to schools and teachers on how to deliver content, as well as incorporating its learner-centred focus and a focus on transversal skills (Sinnema, 2020). Given that environmental sustainability is interdisciplinary in nature (Michel, 2022) this new way of devising the curriculum should be beneficial to the delivery of sustainability. Incorporating sustainability into the curriculum as an interdisciplinary concept will mean that a number of staff will deliver the content, and with that bring a range of methods and teaching styles. Neumann (2014) claimed that good teaching requires teachers to guide students to interact with the subject matter, which when thinking about sustainability could look like teachers introducing sustainability, explaining the concept in a number of ways, introducing how sustainability is connected to their subject area and teaching pupils how to think about sustainability. </w:t>
      </w:r>
    </w:p>
    <w:p w14:paraId="29EB2734" w14:textId="77777777" w:rsidR="00560EEA" w:rsidRDefault="00560EEA" w:rsidP="00560EEA">
      <w:pPr>
        <w:spacing w:line="360" w:lineRule="auto"/>
        <w:jc w:val="both"/>
      </w:pPr>
    </w:p>
    <w:p w14:paraId="3D4BC551" w14:textId="50225498" w:rsidR="00560EEA" w:rsidRDefault="001A1C9F" w:rsidP="00560EEA">
      <w:pPr>
        <w:pStyle w:val="Heading2"/>
      </w:pPr>
      <w:bookmarkStart w:id="15" w:name="_Toc131682240"/>
      <w:r>
        <w:t xml:space="preserve">3.3 </w:t>
      </w:r>
      <w:r w:rsidR="00560EEA">
        <w:t>Context</w:t>
      </w:r>
      <w:r w:rsidR="00560EEA">
        <w:t xml:space="preserve"> for this Study</w:t>
      </w:r>
      <w:bookmarkEnd w:id="15"/>
    </w:p>
    <w:p w14:paraId="1EDD7C96" w14:textId="77777777" w:rsidR="00560EEA" w:rsidRDefault="00560EEA" w:rsidP="00560EEA">
      <w:pPr>
        <w:spacing w:line="360" w:lineRule="auto"/>
        <w:jc w:val="both"/>
      </w:pPr>
    </w:p>
    <w:p w14:paraId="320136E6" w14:textId="77777777" w:rsidR="00560EEA" w:rsidRDefault="00560EEA" w:rsidP="00560EEA">
      <w:pPr>
        <w:spacing w:line="360" w:lineRule="auto"/>
        <w:jc w:val="both"/>
        <w:rPr>
          <w:rFonts w:cstheme="minorHAnsi"/>
        </w:rPr>
      </w:pPr>
      <w:r>
        <w:rPr>
          <w:rFonts w:cstheme="minorHAnsi"/>
        </w:rPr>
        <w:t xml:space="preserve">Weicht and </w:t>
      </w:r>
      <w:r w:rsidRPr="003E10AD">
        <w:rPr>
          <w:rFonts w:cstheme="minorHAnsi"/>
        </w:rPr>
        <w:t>Jónsdóttir</w:t>
      </w:r>
      <w:r>
        <w:rPr>
          <w:rFonts w:cstheme="minorHAnsi"/>
        </w:rPr>
        <w:t xml:space="preserve"> (2021) state that learning and teaching should also ensure the pupils are exposed to local, national, and international contexts at different stages of development. When taking this recommendation alongside the aim of the CFW to create ‘ethical, informed citizens of Wales and the world’, it can be deduced that lessons should incorporate environmental issues that Wales and the local areas of the schools delivering the curriculum face. Given that a Nature Emergency was declared by the Welsh Government in 2019 (Welsh Government, 2019) it would be pertinent to assume that using local examples of environmental issues and sustainability would be meeting the aim of the CFW to create “ethical, informed citizens”. Moreover, there is an opportunity to ensure cross-curricular links are made while designing this section of the curriculum. For example, making a link between </w:t>
      </w:r>
      <w:r>
        <w:rPr>
          <w:rFonts w:cstheme="minorHAnsi"/>
        </w:rPr>
        <w:lastRenderedPageBreak/>
        <w:t>the Humanities Area and the Mathematics Area might include the collection of a range of qualitative and quantitative data from the local area, linking to a specific environmental issue (Welsh Government 2020). This would not only open pupils’ eyes to local issues surrounding environmental sustainability but would ensure the school is meeting the aims of the new curriculum in being cross-disciplinary in nature and contextualising learning for pupils.</w:t>
      </w:r>
    </w:p>
    <w:p w14:paraId="73A3D611" w14:textId="77777777" w:rsidR="00560EEA" w:rsidRDefault="00560EEA" w:rsidP="00560EEA">
      <w:pPr>
        <w:spacing w:line="360" w:lineRule="auto"/>
        <w:jc w:val="both"/>
        <w:rPr>
          <w:rFonts w:cstheme="minorHAnsi"/>
        </w:rPr>
      </w:pPr>
    </w:p>
    <w:p w14:paraId="6F583313" w14:textId="6D4E9729" w:rsidR="00560EEA" w:rsidRDefault="00560EEA" w:rsidP="00560EEA">
      <w:pPr>
        <w:spacing w:line="360" w:lineRule="auto"/>
        <w:jc w:val="both"/>
      </w:pPr>
      <w:r>
        <w:rPr>
          <w:rFonts w:cstheme="minorHAnsi"/>
        </w:rPr>
        <w:t>Ensuring content delivered to pupils contains information relating to a local context also supports the ‘cynefin’ concept of the CFW ‘Cynefin is a word taken from Welsh, meaning “</w:t>
      </w:r>
      <w:r>
        <w:t>The place where we feel we belong, where the people and landscape around us are familiar, and the sights and sounds are reassuringly recognisable”. The word ‘cynefin’ is often translated as “habitat”, however cynefin is not just a place in a physical or geographical sense, it is the historic, cultural and social place which has shaped and continues to shape the community which inhabits i</w:t>
      </w:r>
      <w:r w:rsidR="00EB1235">
        <w:t>t</w:t>
      </w:r>
      <w:r>
        <w:t xml:space="preserve"> (Welsh Government, 2020). Therefore, ensuring that the school curriculum broadens the knowledge and opinions pupils have on their “cynefin” will strengthen the work of the new curriculum implementation. This is an idea that has previously been seen in initiatives from the University of London Examinations Council (1993) which recommended that the ‘Geography (16-19 Project) Syllabus’ course should enable candidates to acquire an attitude of concern for the quality of environments, for the condition of human life and for the biosphere as a lift support system. It would seem that there is a consensus that pupils should be taught about, and develop an appreciation for, the environment and the local environment they live within. </w:t>
      </w:r>
      <w:r w:rsidR="00EB1235">
        <w:t>Nevertheless,</w:t>
      </w:r>
      <w:r>
        <w:t xml:space="preserve"> there does not appear to be a consensus on the best way to achieve this.</w:t>
      </w:r>
    </w:p>
    <w:p w14:paraId="25AC4522" w14:textId="77777777" w:rsidR="00560EEA" w:rsidRDefault="00560EEA" w:rsidP="00560EEA">
      <w:pPr>
        <w:spacing w:line="360" w:lineRule="auto"/>
        <w:jc w:val="both"/>
      </w:pPr>
    </w:p>
    <w:p w14:paraId="5CE4EC1C" w14:textId="12EFB775" w:rsidR="00560EEA" w:rsidRPr="00560EEA" w:rsidRDefault="001A1C9F" w:rsidP="00560EEA">
      <w:pPr>
        <w:pStyle w:val="Heading2"/>
      </w:pPr>
      <w:bookmarkStart w:id="16" w:name="_Toc131682241"/>
      <w:r>
        <w:t xml:space="preserve">3.4 </w:t>
      </w:r>
      <w:r w:rsidR="00560EEA" w:rsidRPr="00560EEA">
        <w:t>New Curriculum Development</w:t>
      </w:r>
      <w:bookmarkEnd w:id="16"/>
    </w:p>
    <w:p w14:paraId="5542E84E" w14:textId="77777777" w:rsidR="00560EEA" w:rsidRDefault="00560EEA" w:rsidP="00560EEA">
      <w:pPr>
        <w:spacing w:line="360" w:lineRule="auto"/>
        <w:jc w:val="both"/>
      </w:pPr>
    </w:p>
    <w:p w14:paraId="02D6D507" w14:textId="77777777" w:rsidR="00560EEA" w:rsidRDefault="00560EEA" w:rsidP="00560EEA">
      <w:pPr>
        <w:spacing w:line="360" w:lineRule="auto"/>
        <w:jc w:val="both"/>
      </w:pPr>
      <w:r>
        <w:t xml:space="preserve">The new CFW aims to avoid prescriptive, content-led approaches and accepts that schools and teachers should have greater autonomy in developing programmes to meet local needs (Sinnema </w:t>
      </w:r>
      <w:r w:rsidRPr="005A6D83">
        <w:rPr>
          <w:i/>
          <w:iCs/>
        </w:rPr>
        <w:t>et al</w:t>
      </w:r>
      <w:r>
        <w:t>., 2020). It has also been reported that the correct balance of autonomy and accountability is associated with better student performance (OECD, 2016). Allowing schools and t</w:t>
      </w:r>
      <w:r>
        <w:rPr>
          <w:rFonts w:cstheme="minorHAnsi"/>
        </w:rPr>
        <w:t xml:space="preserve">eachers to collaborate on curriculum development is seen as essential to bridge the gap between the work of individual teachers within their own subjects and schoolwide aspirations (Sinnema </w:t>
      </w:r>
      <w:r w:rsidRPr="005A6D83">
        <w:rPr>
          <w:rFonts w:cstheme="minorHAnsi"/>
          <w:i/>
          <w:iCs/>
        </w:rPr>
        <w:t>et al.</w:t>
      </w:r>
      <w:r>
        <w:rPr>
          <w:rFonts w:cstheme="minorHAnsi"/>
        </w:rPr>
        <w:t xml:space="preserve">, 2020). </w:t>
      </w:r>
      <w:r>
        <w:t xml:space="preserve">Therefore, a framework which contains information on what is </w:t>
      </w:r>
      <w:r>
        <w:lastRenderedPageBreak/>
        <w:t>currently being taught, suggestions of where lessons can be enhanced to include more teaching about environmental education, and some topics which need to be taught but are not currently being delivered, would hopefully be prescriptive enough that staff feel supported in their delivery of environmental education, but also allows staff enough room for autonomy and implementing the information in their own styles.</w:t>
      </w:r>
    </w:p>
    <w:p w14:paraId="06B7151C" w14:textId="77777777" w:rsidR="00560EEA" w:rsidRDefault="00560EEA" w:rsidP="00560EEA">
      <w:pPr>
        <w:spacing w:line="360" w:lineRule="auto"/>
        <w:jc w:val="both"/>
      </w:pPr>
    </w:p>
    <w:p w14:paraId="38B1830E" w14:textId="77777777" w:rsidR="00560EEA" w:rsidRDefault="00560EEA" w:rsidP="00560EEA">
      <w:pPr>
        <w:spacing w:line="360" w:lineRule="auto"/>
        <w:jc w:val="both"/>
      </w:pPr>
      <w:r>
        <w:t xml:space="preserve">Conversely, Sinnema </w:t>
      </w:r>
      <w:r w:rsidRPr="005A6D83">
        <w:rPr>
          <w:i/>
          <w:iCs/>
        </w:rPr>
        <w:t>et al</w:t>
      </w:r>
      <w:r>
        <w:t xml:space="preserve">., (2020) recognise that in the absence of specification of content to be taught, or clear criteria of content, there is a risk that, potentially, ‘anything goes’. Smith (2010) has documented how instrumental reasons for content selection predominate, and the demands of future external assessments trump a considered selection of content based upon educational priorities. The aforementioned opinions of the OECD (2016), Sinnema </w:t>
      </w:r>
      <w:r w:rsidRPr="005A6D83">
        <w:rPr>
          <w:i/>
          <w:iCs/>
        </w:rPr>
        <w:t>et al</w:t>
      </w:r>
      <w:r>
        <w:t>. (2020) and Smith (2010), taken together, suggest that there is a fine balance between allowing autonomy and being prescriptive. This study will attempt to create a framework that allows room for both, or at least allows room for growth and stakeholder input (stakeholders being staff and pupils in the initial stages of the study). Curriculum development can be challenging, and so the involvement of all stakeholders are a vital piece in successful curriculum development (Johnson, 2001).</w:t>
      </w:r>
    </w:p>
    <w:p w14:paraId="0CFD7D2E" w14:textId="77777777" w:rsidR="00560EEA" w:rsidRDefault="00560EEA" w:rsidP="00560EEA">
      <w:pPr>
        <w:spacing w:line="360" w:lineRule="auto"/>
        <w:jc w:val="both"/>
      </w:pPr>
    </w:p>
    <w:p w14:paraId="73B814BD" w14:textId="77777777" w:rsidR="00560EEA" w:rsidRDefault="00560EEA" w:rsidP="00560EEA">
      <w:pPr>
        <w:spacing w:line="360" w:lineRule="auto"/>
        <w:jc w:val="both"/>
      </w:pPr>
      <w:r>
        <w:t xml:space="preserve">The Welsh curriculum system consists of multiple ‘layers’, which are: Macro – curriculum policy and specification typically produced nationally, Meso – mid-level practices such as the production of guidance to support curriculum making, and Micro – school-based curriculum making, including the development of schemes of work, the production of resources and their enactment in classrooms (Sinnema </w:t>
      </w:r>
      <w:r w:rsidRPr="005A6D83">
        <w:rPr>
          <w:i/>
          <w:iCs/>
        </w:rPr>
        <w:t>et al</w:t>
      </w:r>
      <w:r>
        <w:t xml:space="preserve">., 2020). A scheme of work describes the content and learning experiences that should be delivered every term of the academic year (Okai, 2010). Such documents will guide teachers in planning the unit of instruction and consequently the daily lessons in line with the time available for each topic in the term (Musingafi, 2015). Schemes of work also guide supervisors of schools in determining the efforts of the schools and teachers towards meeting the societal demands on them (Musingafi </w:t>
      </w:r>
      <w:r w:rsidRPr="005A6D83">
        <w:rPr>
          <w:i/>
          <w:iCs/>
        </w:rPr>
        <w:t>et al.,</w:t>
      </w:r>
      <w:r>
        <w:t xml:space="preserve"> 2015). The lesson plan is the lowest or most specific level of instructional plans (Musingafi </w:t>
      </w:r>
      <w:r w:rsidRPr="005A6D83">
        <w:rPr>
          <w:i/>
          <w:iCs/>
        </w:rPr>
        <w:t>et al</w:t>
      </w:r>
      <w:r>
        <w:t xml:space="preserve">., 2015). When the unit plan or scheme of work is broken down into smaller topics, lesson plans can be used to inform each individual lesson (Okai, 2010). Moreover, a lesson plan could be described as a planned, organised amount of subject-matter and learning experiences that the teacher </w:t>
      </w:r>
      <w:r>
        <w:lastRenderedPageBreak/>
        <w:t xml:space="preserve">will deliver to the learners and will also include details of how instruction will take place within the lesson (Musingafi </w:t>
      </w:r>
      <w:r w:rsidRPr="005A6D83">
        <w:rPr>
          <w:i/>
          <w:iCs/>
        </w:rPr>
        <w:t>et al</w:t>
      </w:r>
      <w:r>
        <w:t xml:space="preserve">., 2015). </w:t>
      </w:r>
    </w:p>
    <w:p w14:paraId="78009E5A" w14:textId="77777777" w:rsidR="00560EEA" w:rsidRDefault="00560EEA" w:rsidP="00560EEA">
      <w:pPr>
        <w:spacing w:line="360" w:lineRule="auto"/>
        <w:jc w:val="both"/>
      </w:pPr>
    </w:p>
    <w:p w14:paraId="4AC7E119" w14:textId="77777777" w:rsidR="00560EEA" w:rsidRDefault="00560EEA" w:rsidP="00560EEA">
      <w:pPr>
        <w:spacing w:line="360" w:lineRule="auto"/>
        <w:jc w:val="both"/>
      </w:pPr>
      <w:r>
        <w:t>This study aims to review current schemes of work that are being delivered at Key Stage 3, to analyse the amount of environmental education being delivered across the school. The schemes of work are broken down into individual lessons, giving an overview of what will be delivered in each discrete lesson. They also give an overall understanding of the topics, so it will hopefully be evident within these schemes of work what is being delivered linking to environmental sustainability. Where it is identified that environmental content is being covered, a judgement will be made as to whether it can be developed or enhanced. Similarly, where it is identified that environmental education could be included but is currently not within the scheme of work, this will be suggested. Finally, the conclusions of this review will be amalgamated into a singular framework which will identify the current environmental content being delivered across the schemes of work reviewed. This will create the first building block in what will hopefully be a complete cross-curricular framework of environmental topics and content that could feasibly and successfully be implemented at a school-wide level. It will aim to signpost the current content and make suggestions for additional strands of information that could be covered.</w:t>
      </w:r>
    </w:p>
    <w:p w14:paraId="71136667" w14:textId="77777777" w:rsidR="00560EEA" w:rsidRDefault="00560EEA" w:rsidP="00560EEA">
      <w:pPr>
        <w:spacing w:line="360" w:lineRule="auto"/>
        <w:jc w:val="both"/>
      </w:pPr>
    </w:p>
    <w:p w14:paraId="104C73F5" w14:textId="7DD8A5C3" w:rsidR="00560EEA" w:rsidRPr="005A6D83" w:rsidRDefault="001A1C9F" w:rsidP="00560EEA">
      <w:pPr>
        <w:pStyle w:val="Heading2"/>
      </w:pPr>
      <w:bookmarkStart w:id="17" w:name="_Toc131682242"/>
      <w:r>
        <w:t xml:space="preserve">3.5 </w:t>
      </w:r>
      <w:r w:rsidR="00560EEA" w:rsidRPr="005A6D83">
        <w:t>Areas of Learning Experience</w:t>
      </w:r>
      <w:bookmarkEnd w:id="17"/>
    </w:p>
    <w:p w14:paraId="60093F44" w14:textId="77777777" w:rsidR="00560EEA" w:rsidRDefault="00560EEA" w:rsidP="00560EEA">
      <w:pPr>
        <w:spacing w:line="360" w:lineRule="auto"/>
        <w:jc w:val="both"/>
      </w:pPr>
    </w:p>
    <w:p w14:paraId="5DCCF58F" w14:textId="77777777" w:rsidR="00560EEA" w:rsidRDefault="00560EEA" w:rsidP="00560EEA">
      <w:pPr>
        <w:spacing w:line="360" w:lineRule="auto"/>
        <w:jc w:val="both"/>
      </w:pPr>
      <w:r>
        <w:t xml:space="preserve">The curriculum reform in Wales has seen a departure from the assumption that subjects – the ubiquitous approach to segmenting the secondary curriculum – may not always be the best approach to organising learning and teaching (Sinnema </w:t>
      </w:r>
      <w:r w:rsidRPr="005A6D83">
        <w:rPr>
          <w:i/>
          <w:iCs/>
        </w:rPr>
        <w:t>et al</w:t>
      </w:r>
      <w:r>
        <w:t xml:space="preserve">., 2020). Conversely, there will now be six ‘Areas of Learning and Experience’, of which three will be looked at for this study. Curricula policies handle knowledge and skills in a variety of ways, despite a common similarity in curriculum goals (Sinnema </w:t>
      </w:r>
      <w:r w:rsidRPr="005A6D83">
        <w:rPr>
          <w:i/>
          <w:iCs/>
        </w:rPr>
        <w:t>et al</w:t>
      </w:r>
      <w:r>
        <w:t xml:space="preserve">., 2020). The Curriculum for Wales is no different, choosing to organise knowledge and skills into the following six areas: Expressive Arts; Health and Well-being; Humanities; Languages, Literacy and Communication; Mathematics and Numeracy; Science and Technology (Welsh Government, 2019). Arranging the curriculum into these six areas reduces the discreetness of the previous curriculum whereby knowledge was separated by subject area. This organisational approach allows for more cross-curricular links </w:t>
      </w:r>
      <w:r>
        <w:lastRenderedPageBreak/>
        <w:t>to be made and maintained, and will also highlight to pupils how knowledge gained throughout their schooling is also linked, much like how they will go onto apply said knowledge in their future lives.</w:t>
      </w:r>
    </w:p>
    <w:p w14:paraId="1AF55155" w14:textId="77777777" w:rsidR="00560EEA" w:rsidRDefault="00560EEA" w:rsidP="00560EEA">
      <w:pPr>
        <w:spacing w:line="360" w:lineRule="auto"/>
        <w:jc w:val="both"/>
      </w:pPr>
    </w:p>
    <w:p w14:paraId="503DF050" w14:textId="4BFBAEC4" w:rsidR="00560EEA" w:rsidRPr="005A6D83" w:rsidRDefault="001A1C9F" w:rsidP="00560EEA">
      <w:pPr>
        <w:pStyle w:val="Heading2"/>
      </w:pPr>
      <w:bookmarkStart w:id="18" w:name="_Toc131682243"/>
      <w:r>
        <w:t xml:space="preserve">3.6 </w:t>
      </w:r>
      <w:r w:rsidR="00560EEA" w:rsidRPr="005A6D83">
        <w:t>Potential Barriers and Constraints</w:t>
      </w:r>
      <w:bookmarkEnd w:id="18"/>
    </w:p>
    <w:p w14:paraId="7338FD02" w14:textId="77777777" w:rsidR="00560EEA" w:rsidRDefault="00560EEA" w:rsidP="00560EEA">
      <w:pPr>
        <w:spacing w:line="360" w:lineRule="auto"/>
        <w:jc w:val="both"/>
      </w:pPr>
    </w:p>
    <w:p w14:paraId="6C4F2EA9" w14:textId="77777777" w:rsidR="00560EEA" w:rsidRDefault="00560EEA" w:rsidP="00560EEA">
      <w:pPr>
        <w:spacing w:line="360" w:lineRule="auto"/>
        <w:jc w:val="both"/>
      </w:pPr>
      <w:r>
        <w:t>A survey undertaken by Grigg (2016) identified potential barriers to curriculum implementation, with many comments expressing teacher concerns over “box ticking exercises”, “high level of over-accountability” and “having to jump through hoops to satisfy various initiatives”. These feelings will need to be considered and remembered when devising the framework for this study. It will be important to take staff feelings into consideration in an attempt to mitigate feelings and opinions similar to the ones highlighted in the survey undertaken by Grigg (2016).</w:t>
      </w:r>
    </w:p>
    <w:p w14:paraId="34BDE9D4" w14:textId="77777777" w:rsidR="00560EEA" w:rsidRDefault="00560EEA" w:rsidP="00560EEA">
      <w:pPr>
        <w:spacing w:line="360" w:lineRule="auto"/>
        <w:jc w:val="both"/>
      </w:pPr>
    </w:p>
    <w:p w14:paraId="74C03B29" w14:textId="77777777" w:rsidR="00560EEA" w:rsidRDefault="00560EEA" w:rsidP="00560EEA">
      <w:pPr>
        <w:spacing w:line="360" w:lineRule="auto"/>
        <w:jc w:val="both"/>
      </w:pPr>
      <w:r>
        <w:t xml:space="preserve">Environmental issues can occasionally cause controversy, as they can be relatively divisive, and people often hold differing opinions (Cotton, 2006). Despite this, it is recognised that the importance of discussion around environmental issues outweighs the potential controversy, and Geography is the subject considered by some to be the ideal place for environmental education to be delivered due to its long standing focus on incorporating different attitudes and values (Bailey 1974; Naish </w:t>
      </w:r>
      <w:r w:rsidRPr="005A6D83">
        <w:rPr>
          <w:i/>
          <w:iCs/>
        </w:rPr>
        <w:t>et al.</w:t>
      </w:r>
      <w:r>
        <w:t xml:space="preserve">, 1987) Despite the brief attempt to introduce environmental education as a cross-curricular theme (NCC, 1990), the majority of its delivery in UK schools is done through Geography and Science (Tomlins and Froud 1994; Grace and Sharp 2000). This will be investigated as part of this study, and schemes of work will be analysed from Geography, History, Religious Studies, Mathematics and Art. </w:t>
      </w:r>
    </w:p>
    <w:p w14:paraId="0DAA893C" w14:textId="77777777" w:rsidR="00560EEA" w:rsidRDefault="00560EEA" w:rsidP="00560EEA">
      <w:pPr>
        <w:spacing w:line="360" w:lineRule="auto"/>
        <w:jc w:val="both"/>
      </w:pPr>
    </w:p>
    <w:p w14:paraId="625F87A7" w14:textId="12BD7EAB" w:rsidR="00560EEA" w:rsidRDefault="00560EEA" w:rsidP="00560EEA">
      <w:pPr>
        <w:spacing w:line="360" w:lineRule="auto"/>
        <w:jc w:val="both"/>
      </w:pPr>
      <w:r>
        <w:t xml:space="preserve">A review of schemes used to teach to key stage 3 (years 7 and 8) </w:t>
      </w:r>
      <w:r w:rsidR="003E2741">
        <w:t>were</w:t>
      </w:r>
      <w:r>
        <w:t xml:space="preserve"> looked at to determine:</w:t>
      </w:r>
    </w:p>
    <w:p w14:paraId="05E40F1A" w14:textId="77777777" w:rsidR="00560EEA" w:rsidRDefault="00560EEA" w:rsidP="00560EEA">
      <w:pPr>
        <w:pStyle w:val="ListParagraph"/>
        <w:numPr>
          <w:ilvl w:val="0"/>
          <w:numId w:val="4"/>
        </w:numPr>
        <w:spacing w:line="360" w:lineRule="auto"/>
        <w:jc w:val="both"/>
      </w:pPr>
      <w:r>
        <w:t>Whether any environmental education is being delivered.</w:t>
      </w:r>
    </w:p>
    <w:p w14:paraId="19240E79" w14:textId="77777777" w:rsidR="00560EEA" w:rsidRDefault="00560EEA" w:rsidP="00560EEA">
      <w:pPr>
        <w:pStyle w:val="ListParagraph"/>
        <w:numPr>
          <w:ilvl w:val="0"/>
          <w:numId w:val="4"/>
        </w:numPr>
        <w:spacing w:line="360" w:lineRule="auto"/>
        <w:jc w:val="both"/>
      </w:pPr>
      <w:r>
        <w:t>How often it is included throughout the scheme of work.</w:t>
      </w:r>
    </w:p>
    <w:p w14:paraId="174BEA03" w14:textId="77777777" w:rsidR="00560EEA" w:rsidRDefault="00560EEA" w:rsidP="00560EEA">
      <w:pPr>
        <w:pStyle w:val="ListParagraph"/>
        <w:numPr>
          <w:ilvl w:val="0"/>
          <w:numId w:val="4"/>
        </w:numPr>
        <w:spacing w:line="360" w:lineRule="auto"/>
        <w:jc w:val="both"/>
      </w:pPr>
      <w:r>
        <w:t>How this could be enhanced, or if none is present, where it could appropriately be included.</w:t>
      </w:r>
    </w:p>
    <w:p w14:paraId="565D3574" w14:textId="77777777" w:rsidR="00560EEA" w:rsidRDefault="00560EEA" w:rsidP="00560EEA">
      <w:pPr>
        <w:spacing w:line="360" w:lineRule="auto"/>
        <w:jc w:val="both"/>
      </w:pPr>
    </w:p>
    <w:p w14:paraId="50D87E1A" w14:textId="1BD58ED4" w:rsidR="00560EEA" w:rsidRDefault="00560EEA" w:rsidP="00560EEA">
      <w:pPr>
        <w:spacing w:line="360" w:lineRule="auto"/>
        <w:jc w:val="both"/>
      </w:pPr>
      <w:r w:rsidRPr="00F02D2F">
        <w:lastRenderedPageBreak/>
        <w:t xml:space="preserve">Teachers will have their own knowledge on the environment, sustainability and climate change. </w:t>
      </w:r>
      <w:r>
        <w:t>However,</w:t>
      </w:r>
      <w:r w:rsidRPr="00F02D2F">
        <w:t xml:space="preserve"> they w</w:t>
      </w:r>
      <w:r w:rsidR="00D57BA6">
        <w:t xml:space="preserve">ill not </w:t>
      </w:r>
      <w:r w:rsidRPr="00F02D2F">
        <w:t>necessarily have the skills to effectively integrate this into their lessons. Just like all teachers can read but can</w:t>
      </w:r>
      <w:r w:rsidR="005109F3">
        <w:t>not</w:t>
      </w:r>
      <w:r w:rsidRPr="00F02D2F">
        <w:t xml:space="preserve"> necessarily teach pupils how to read effectively. </w:t>
      </w:r>
      <w:r>
        <w:t>To date, there have been no specific environmental sustainability frameworks that have successfully melded core ideas and teaching strategies. Michel (2022) points out that the literature mainly cites separate pedagogical knowledge and content appropriate for teaching environmental sustainability, thus highlighting a deficiency in the literature in terms of explanation as to what core ideas need to be taught and how best to teach them. A suggested model to overcome this deficiency is shown in Figure 1:</w:t>
      </w:r>
    </w:p>
    <w:p w14:paraId="1C6A98EB" w14:textId="77777777" w:rsidR="00560EEA" w:rsidRDefault="00560EEA" w:rsidP="00560EEA">
      <w:pPr>
        <w:spacing w:line="360" w:lineRule="auto"/>
        <w:jc w:val="both"/>
      </w:pPr>
    </w:p>
    <w:p w14:paraId="4079314F" w14:textId="77777777" w:rsidR="00560EEA" w:rsidRDefault="00560EEA" w:rsidP="00560EEA">
      <w:pPr>
        <w:keepNext/>
        <w:spacing w:line="360" w:lineRule="auto"/>
        <w:jc w:val="both"/>
      </w:pPr>
      <w:r>
        <w:rPr>
          <w:b/>
          <w:bCs/>
          <w:noProof/>
          <w:color w:val="FF85FF"/>
        </w:rPr>
        <w:drawing>
          <wp:inline distT="0" distB="0" distL="0" distR="0" wp14:anchorId="27F4AB1A" wp14:editId="7054D5D1">
            <wp:extent cx="5731510" cy="3019647"/>
            <wp:effectExtent l="0" t="0" r="0" b="3175"/>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pic:nvPicPr>
                  <pic:blipFill rotWithShape="1">
                    <a:blip r:embed="rId9">
                      <a:extLst>
                        <a:ext uri="{28A0092B-C50C-407E-A947-70E740481C1C}">
                          <a14:useLocalDpi xmlns:a14="http://schemas.microsoft.com/office/drawing/2010/main" val="0"/>
                        </a:ext>
                      </a:extLst>
                    </a:blip>
                    <a:srcRect b="10513"/>
                    <a:stretch/>
                  </pic:blipFill>
                  <pic:spPr bwMode="auto">
                    <a:xfrm>
                      <a:off x="0" y="0"/>
                      <a:ext cx="5731510" cy="3019647"/>
                    </a:xfrm>
                    <a:prstGeom prst="rect">
                      <a:avLst/>
                    </a:prstGeom>
                    <a:ln>
                      <a:noFill/>
                    </a:ln>
                    <a:extLst>
                      <a:ext uri="{53640926-AAD7-44D8-BBD7-CCE9431645EC}">
                        <a14:shadowObscured xmlns:a14="http://schemas.microsoft.com/office/drawing/2010/main"/>
                      </a:ext>
                    </a:extLst>
                  </pic:spPr>
                </pic:pic>
              </a:graphicData>
            </a:graphic>
          </wp:inline>
        </w:drawing>
      </w:r>
    </w:p>
    <w:p w14:paraId="1F216F14" w14:textId="39D49240" w:rsidR="00560EEA" w:rsidRDefault="00560EEA" w:rsidP="00560EEA">
      <w:pPr>
        <w:pStyle w:val="Caption"/>
        <w:spacing w:line="360" w:lineRule="auto"/>
        <w:jc w:val="both"/>
      </w:pPr>
      <w:r>
        <w:t xml:space="preserve">Figure </w:t>
      </w:r>
      <w:r w:rsidR="005109F3">
        <w:t>3.1</w:t>
      </w:r>
      <w:r>
        <w:t>: Teaching for sustainability visual (Michel. 202</w:t>
      </w:r>
      <w:r>
        <w:t>2</w:t>
      </w:r>
      <w:r>
        <w:t>).</w:t>
      </w:r>
    </w:p>
    <w:p w14:paraId="29C61AAD" w14:textId="77777777" w:rsidR="00560EEA" w:rsidRPr="00560EEA" w:rsidRDefault="00560EEA" w:rsidP="00560EEA"/>
    <w:p w14:paraId="60AF04D7" w14:textId="493554AD" w:rsidR="00560EEA" w:rsidRPr="00E2743F" w:rsidRDefault="001A1C9F" w:rsidP="00560EEA">
      <w:pPr>
        <w:pStyle w:val="Heading2"/>
      </w:pPr>
      <w:bookmarkStart w:id="19" w:name="_Toc131682244"/>
      <w:r>
        <w:t xml:space="preserve">3.7 </w:t>
      </w:r>
      <w:r w:rsidR="00560EEA" w:rsidRPr="00E2743F">
        <w:t>Summary</w:t>
      </w:r>
      <w:bookmarkEnd w:id="19"/>
    </w:p>
    <w:p w14:paraId="35599D40" w14:textId="77777777" w:rsidR="00560EEA" w:rsidRDefault="00560EEA" w:rsidP="00560EEA">
      <w:pPr>
        <w:spacing w:line="360" w:lineRule="auto"/>
        <w:jc w:val="both"/>
      </w:pPr>
    </w:p>
    <w:p w14:paraId="49F25E5E" w14:textId="70673EC5" w:rsidR="00560EEA" w:rsidRDefault="00560EEA" w:rsidP="00560EEA">
      <w:pPr>
        <w:spacing w:line="360" w:lineRule="auto"/>
        <w:jc w:val="both"/>
        <w:rPr>
          <w:rFonts w:cstheme="minorHAnsi"/>
        </w:rPr>
      </w:pPr>
      <w:r>
        <w:t>Overall, the delivery of the CFW appears to require a holistic design that emphasises the interconnectedness of the elements within the whole curriculum, and where each area of learning, skill, or competence engages learners in a meaningful way (</w:t>
      </w:r>
      <w:r>
        <w:rPr>
          <w:rFonts w:cstheme="minorHAnsi"/>
        </w:rPr>
        <w:t xml:space="preserve">Weicht and </w:t>
      </w:r>
      <w:r w:rsidRPr="003E10AD">
        <w:rPr>
          <w:rFonts w:cstheme="minorHAnsi"/>
        </w:rPr>
        <w:t>Jónsdóttir,</w:t>
      </w:r>
      <w:r>
        <w:rPr>
          <w:rFonts w:cstheme="minorHAnsi"/>
        </w:rPr>
        <w:t xml:space="preserve"> 2021). This study aim</w:t>
      </w:r>
      <w:r w:rsidR="003E2741">
        <w:rPr>
          <w:rFonts w:cstheme="minorHAnsi"/>
        </w:rPr>
        <w:t>ed</w:t>
      </w:r>
      <w:r>
        <w:rPr>
          <w:rFonts w:cstheme="minorHAnsi"/>
        </w:rPr>
        <w:t xml:space="preserve"> to create a framework that would cover the whole school, focussing on key stage 3 at this point in the research, with the aim of developing one for the whole school in the future. The framework will primarily identify where environmental education is currently being taught, and also identify areas where it can be included or enhanced. Again, a </w:t>
      </w:r>
      <w:r>
        <w:rPr>
          <w:rFonts w:cstheme="minorHAnsi"/>
        </w:rPr>
        <w:lastRenderedPageBreak/>
        <w:t>future aim of this research would be to increase the detail in the framework to identify what skills learners will be gaining, and how to engage learners in a meaningful way.</w:t>
      </w:r>
    </w:p>
    <w:p w14:paraId="43E01104" w14:textId="05F9A431" w:rsidR="003E2741" w:rsidRDefault="003E2741" w:rsidP="00560EEA">
      <w:pPr>
        <w:spacing w:line="360" w:lineRule="auto"/>
        <w:jc w:val="both"/>
        <w:rPr>
          <w:rFonts w:cstheme="minorHAnsi"/>
        </w:rPr>
      </w:pPr>
    </w:p>
    <w:p w14:paraId="551CA831" w14:textId="77777777" w:rsidR="003E2741" w:rsidRDefault="003E2741" w:rsidP="00560EEA">
      <w:pPr>
        <w:spacing w:line="360" w:lineRule="auto"/>
        <w:jc w:val="both"/>
        <w:rPr>
          <w:rFonts w:cstheme="minorHAnsi"/>
        </w:rPr>
      </w:pPr>
    </w:p>
    <w:p w14:paraId="2A0AAFE4" w14:textId="770A8F6C" w:rsidR="00560EEA" w:rsidRDefault="00560EEA" w:rsidP="00560EEA">
      <w:pPr>
        <w:spacing w:line="360" w:lineRule="auto"/>
        <w:jc w:val="both"/>
        <w:rPr>
          <w:rFonts w:cstheme="minorHAnsi"/>
        </w:rPr>
      </w:pPr>
    </w:p>
    <w:p w14:paraId="6B2D1B04" w14:textId="3C72612A" w:rsidR="00560EEA" w:rsidRDefault="00560EEA" w:rsidP="00560EEA">
      <w:pPr>
        <w:spacing w:line="360" w:lineRule="auto"/>
        <w:jc w:val="both"/>
        <w:rPr>
          <w:rFonts w:cstheme="minorHAnsi"/>
        </w:rPr>
      </w:pPr>
    </w:p>
    <w:p w14:paraId="0B0653B7" w14:textId="0CC64396" w:rsidR="00560EEA" w:rsidRDefault="00560EEA">
      <w:pPr>
        <w:rPr>
          <w:rFonts w:cstheme="minorHAnsi"/>
        </w:rPr>
      </w:pPr>
      <w:r>
        <w:rPr>
          <w:rFonts w:cstheme="minorHAnsi"/>
        </w:rPr>
        <w:br w:type="page"/>
      </w:r>
    </w:p>
    <w:p w14:paraId="2041AFB6" w14:textId="5D89E827" w:rsidR="00FB2FFD" w:rsidRPr="00FB2FFD" w:rsidRDefault="001A1C9F" w:rsidP="00FB2FFD">
      <w:pPr>
        <w:pStyle w:val="Heading1"/>
      </w:pPr>
      <w:bookmarkStart w:id="20" w:name="_Toc131682245"/>
      <w:r>
        <w:lastRenderedPageBreak/>
        <w:t xml:space="preserve">4.0 </w:t>
      </w:r>
      <w:r w:rsidR="00B120A2">
        <w:t xml:space="preserve">Chapter 4: </w:t>
      </w:r>
      <w:r w:rsidR="00FB2FFD" w:rsidRPr="00FB2FFD">
        <w:t>Results</w:t>
      </w:r>
      <w:bookmarkEnd w:id="20"/>
    </w:p>
    <w:p w14:paraId="35B5AA7B" w14:textId="77777777" w:rsidR="00FB2FFD" w:rsidRDefault="00FB2FFD" w:rsidP="00FB2FFD">
      <w:pPr>
        <w:spacing w:line="360" w:lineRule="auto"/>
        <w:jc w:val="both"/>
        <w:rPr>
          <w:rFonts w:cstheme="minorHAnsi"/>
        </w:rPr>
      </w:pPr>
    </w:p>
    <w:p w14:paraId="1559F1B9" w14:textId="77777777" w:rsidR="00FB2FFD" w:rsidRDefault="00FB2FFD" w:rsidP="00FB2FFD">
      <w:pPr>
        <w:spacing w:line="360" w:lineRule="auto"/>
        <w:jc w:val="both"/>
        <w:rPr>
          <w:rFonts w:cstheme="minorHAnsi"/>
        </w:rPr>
      </w:pPr>
      <w:r w:rsidRPr="00D274F7">
        <w:rPr>
          <w:rFonts w:cstheme="minorHAnsi"/>
        </w:rPr>
        <w:t xml:space="preserve">It </w:t>
      </w:r>
      <w:r>
        <w:rPr>
          <w:rFonts w:cstheme="minorHAnsi"/>
        </w:rPr>
        <w:t>was</w:t>
      </w:r>
      <w:r w:rsidRPr="00D274F7">
        <w:rPr>
          <w:rFonts w:cstheme="minorHAnsi"/>
        </w:rPr>
        <w:t xml:space="preserve"> anticipated that there w</w:t>
      </w:r>
      <w:r>
        <w:rPr>
          <w:rFonts w:cstheme="minorHAnsi"/>
        </w:rPr>
        <w:t>ould</w:t>
      </w:r>
      <w:r w:rsidRPr="00D274F7">
        <w:rPr>
          <w:rFonts w:cstheme="minorHAnsi"/>
        </w:rPr>
        <w:t xml:space="preserve"> already be some work being done on improving pupil knowledge of the environment and the importance of </w:t>
      </w:r>
      <w:r>
        <w:rPr>
          <w:rFonts w:cstheme="minorHAnsi"/>
        </w:rPr>
        <w:t xml:space="preserve">sustainability in lessons </w:t>
      </w:r>
      <w:r w:rsidRPr="00D274F7">
        <w:rPr>
          <w:rFonts w:cstheme="minorHAnsi"/>
        </w:rPr>
        <w:t xml:space="preserve">across the school. This </w:t>
      </w:r>
      <w:r>
        <w:rPr>
          <w:rFonts w:cstheme="minorHAnsi"/>
        </w:rPr>
        <w:t>was</w:t>
      </w:r>
      <w:r w:rsidRPr="00D274F7">
        <w:rPr>
          <w:rFonts w:cstheme="minorHAnsi"/>
        </w:rPr>
        <w:t xml:space="preserve"> particularly likely in subjects such as Geography, Science and Ethics – the traditional homes of environmental education (Tomlins and Froud, 1994; Grace and Sharp, 2000; Michel, 2022). </w:t>
      </w:r>
    </w:p>
    <w:p w14:paraId="369B1329" w14:textId="77777777" w:rsidR="00FB2FFD" w:rsidRDefault="00FB2FFD" w:rsidP="00FB2FFD">
      <w:pPr>
        <w:spacing w:line="360" w:lineRule="auto"/>
        <w:jc w:val="both"/>
        <w:rPr>
          <w:rFonts w:cstheme="minorHAnsi"/>
        </w:rPr>
      </w:pPr>
    </w:p>
    <w:p w14:paraId="763AD446" w14:textId="77777777" w:rsidR="00FB2FFD" w:rsidRDefault="00FB2FFD" w:rsidP="00FB2FFD">
      <w:pPr>
        <w:spacing w:line="360" w:lineRule="auto"/>
        <w:jc w:val="both"/>
        <w:rPr>
          <w:rFonts w:cstheme="minorHAnsi"/>
        </w:rPr>
      </w:pPr>
      <w:r>
        <w:rPr>
          <w:rFonts w:cstheme="minorHAnsi"/>
        </w:rPr>
        <w:t xml:space="preserve">Schemes of work were provided from the following subject areas: Geography, History, Religious Studies, Mathematics and Art. Although access to other subjects’ SoW would have been possible, when asked, the Heads of Faculty for these learning areas did not respond, and so were left out of this study. The reviews </w:t>
      </w:r>
      <w:r w:rsidRPr="00D274F7">
        <w:rPr>
          <w:rFonts w:cstheme="minorHAnsi"/>
        </w:rPr>
        <w:t>of schemes of work provide</w:t>
      </w:r>
      <w:r>
        <w:rPr>
          <w:rFonts w:cstheme="minorHAnsi"/>
        </w:rPr>
        <w:t>d</w:t>
      </w:r>
      <w:r w:rsidRPr="00D274F7">
        <w:rPr>
          <w:rFonts w:cstheme="minorHAnsi"/>
        </w:rPr>
        <w:t xml:space="preserve"> the starting point and allow</w:t>
      </w:r>
      <w:r>
        <w:rPr>
          <w:rFonts w:cstheme="minorHAnsi"/>
        </w:rPr>
        <w:t>ed</w:t>
      </w:r>
      <w:r w:rsidRPr="00D274F7">
        <w:rPr>
          <w:rFonts w:cstheme="minorHAnsi"/>
        </w:rPr>
        <w:t xml:space="preserve"> an understanding of what is already being done. </w:t>
      </w:r>
      <w:r>
        <w:rPr>
          <w:rFonts w:cstheme="minorHAnsi"/>
        </w:rPr>
        <w:t>It is clear that there is a concerted effort in most schemes of work to encourage thought and appreciation around the environment. However, it is unclear from the schemes how much detail is used in each of the lessons/tasks which have an environmental focus or discussion opportunity. This is potentially because teachers might be resistant to giving too much time to content that is not directly related to their subject area (</w:t>
      </w:r>
      <w:r w:rsidRPr="002725FC">
        <w:t>O’Brien</w:t>
      </w:r>
      <w:r>
        <w:t xml:space="preserve"> </w:t>
      </w:r>
      <w:r w:rsidRPr="00954043">
        <w:rPr>
          <w:i/>
          <w:iCs/>
        </w:rPr>
        <w:t>et al.,</w:t>
      </w:r>
      <w:r>
        <w:t xml:space="preserve"> </w:t>
      </w:r>
      <w:r w:rsidRPr="002725FC">
        <w:t>1995</w:t>
      </w:r>
      <w:r>
        <w:t>). Alternatively, it could be because staff are not confident in discussing topics outside of their specialist area, and so naturally go into less depth when discussing environmental topics. Consequently, teaching methods adopted by individual teachers can impede creativity (Barnes, 2018) when introducing a cross-cutting theme such as environmental sustainability.</w:t>
      </w:r>
    </w:p>
    <w:p w14:paraId="49EE6D1A" w14:textId="77777777" w:rsidR="00FB2FFD" w:rsidRDefault="00FB2FFD" w:rsidP="00FB2FFD">
      <w:pPr>
        <w:spacing w:line="360" w:lineRule="auto"/>
        <w:jc w:val="both"/>
        <w:rPr>
          <w:rFonts w:cstheme="minorHAnsi"/>
        </w:rPr>
      </w:pPr>
    </w:p>
    <w:p w14:paraId="5ADC5908" w14:textId="77777777" w:rsidR="00FB2FFD" w:rsidRDefault="00FB2FFD" w:rsidP="00FB2FFD">
      <w:pPr>
        <w:spacing w:line="360" w:lineRule="auto"/>
        <w:jc w:val="both"/>
        <w:rPr>
          <w:rFonts w:cstheme="minorHAnsi"/>
        </w:rPr>
      </w:pPr>
      <w:r>
        <w:rPr>
          <w:rFonts w:cstheme="minorHAnsi"/>
        </w:rPr>
        <w:t xml:space="preserve">From the review and analysis of the schemes of work, </w:t>
      </w:r>
      <w:r w:rsidRPr="00D274F7">
        <w:rPr>
          <w:rFonts w:cstheme="minorHAnsi"/>
        </w:rPr>
        <w:t xml:space="preserve">a framework </w:t>
      </w:r>
      <w:r>
        <w:rPr>
          <w:rFonts w:cstheme="minorHAnsi"/>
        </w:rPr>
        <w:t>was</w:t>
      </w:r>
      <w:r w:rsidRPr="00D274F7">
        <w:rPr>
          <w:rFonts w:cstheme="minorHAnsi"/>
        </w:rPr>
        <w:t xml:space="preserve"> developed which </w:t>
      </w:r>
      <w:r>
        <w:rPr>
          <w:rFonts w:cstheme="minorHAnsi"/>
        </w:rPr>
        <w:t>shows</w:t>
      </w:r>
      <w:r w:rsidRPr="00D274F7">
        <w:rPr>
          <w:rFonts w:cstheme="minorHAnsi"/>
        </w:rPr>
        <w:t xml:space="preserve"> information on what is already being delivered</w:t>
      </w:r>
      <w:r>
        <w:rPr>
          <w:rFonts w:cstheme="minorHAnsi"/>
        </w:rPr>
        <w:t xml:space="preserve"> and </w:t>
      </w:r>
      <w:r w:rsidRPr="00D274F7">
        <w:rPr>
          <w:rFonts w:cstheme="minorHAnsi"/>
        </w:rPr>
        <w:t xml:space="preserve">recommendations of lessons/ideas that could be incorporated into specific subject areas. </w:t>
      </w:r>
      <w:r>
        <w:rPr>
          <w:rFonts w:cstheme="minorHAnsi"/>
        </w:rPr>
        <w:t xml:space="preserve">This is displayed in Figure 2 below. The proposal for this study also recommended including information in the framework for how teachers can incorporate more environmental education into their lessons, with teaching methods and strategies included to help staff. However, from a review of the literature it became clear that this would benefit from staff involvement and engagement to curate a range of ideas. Unfortunately, time restraints, deadline pressures within the school and unmitigated disruption to the term meant that any survey or questionnaire undertaken would </w:t>
      </w:r>
      <w:r>
        <w:rPr>
          <w:rFonts w:cstheme="minorHAnsi"/>
        </w:rPr>
        <w:lastRenderedPageBreak/>
        <w:t xml:space="preserve">have been done so in a rushed manner. Therefore, it was decided that it would be best to undertake this step as part of the further research linked to this study, rather than including a set of results that would not necessarily be an accurate representation of staff opinions. </w:t>
      </w:r>
    </w:p>
    <w:p w14:paraId="525078E6" w14:textId="77777777" w:rsidR="00FB2FFD" w:rsidRDefault="00FB2FFD" w:rsidP="00FB2FFD">
      <w:pPr>
        <w:spacing w:line="360" w:lineRule="auto"/>
        <w:jc w:val="both"/>
        <w:rPr>
          <w:rFonts w:cstheme="minorHAnsi"/>
        </w:rPr>
      </w:pPr>
    </w:p>
    <w:p w14:paraId="743AE618" w14:textId="77777777" w:rsidR="00FB2FFD" w:rsidRDefault="00FB2FFD" w:rsidP="00FB2FFD">
      <w:pPr>
        <w:spacing w:line="360" w:lineRule="auto"/>
        <w:rPr>
          <w:rFonts w:cstheme="minorHAnsi"/>
        </w:rPr>
      </w:pPr>
    </w:p>
    <w:p w14:paraId="129A1F0F" w14:textId="77777777" w:rsidR="00FB2FFD" w:rsidRDefault="00FB2FFD" w:rsidP="00FB2FFD">
      <w:pPr>
        <w:spacing w:line="360" w:lineRule="auto"/>
        <w:rPr>
          <w:rFonts w:cstheme="minorHAnsi"/>
        </w:rPr>
      </w:pPr>
    </w:p>
    <w:p w14:paraId="3DA62B23" w14:textId="77777777" w:rsidR="00FB2FFD" w:rsidRDefault="00FB2FFD" w:rsidP="00FB2FFD">
      <w:pPr>
        <w:rPr>
          <w:rFonts w:cstheme="minorHAnsi"/>
        </w:rPr>
      </w:pPr>
    </w:p>
    <w:p w14:paraId="2AD1A965" w14:textId="77777777" w:rsidR="00FB2FFD" w:rsidRDefault="00FB2FFD" w:rsidP="00FB2FFD">
      <w:pPr>
        <w:rPr>
          <w:rFonts w:cstheme="minorHAnsi"/>
        </w:rPr>
      </w:pPr>
    </w:p>
    <w:p w14:paraId="485C4CB3" w14:textId="77777777" w:rsidR="00FB2FFD" w:rsidRDefault="00FB2FFD" w:rsidP="00FB2FFD">
      <w:pPr>
        <w:rPr>
          <w:rFonts w:cstheme="minorHAnsi"/>
        </w:rPr>
        <w:sectPr w:rsidR="00FB2FFD" w:rsidSect="00A5293F">
          <w:footerReference w:type="even" r:id="rId10"/>
          <w:footerReference w:type="default" r:id="rId11"/>
          <w:footerReference w:type="first" r:id="rId12"/>
          <w:pgSz w:w="11906" w:h="16838"/>
          <w:pgMar w:top="1440" w:right="1440" w:bottom="1440" w:left="1440" w:header="708" w:footer="708" w:gutter="0"/>
          <w:cols w:space="708"/>
          <w:docGrid w:linePitch="360"/>
        </w:sectPr>
      </w:pPr>
    </w:p>
    <w:tbl>
      <w:tblPr>
        <w:tblpPr w:leftFromText="180" w:rightFromText="180" w:vertAnchor="page" w:horzAnchor="margin" w:tblpY="629"/>
        <w:tblW w:w="13461" w:type="dxa"/>
        <w:tblLook w:val="04A0" w:firstRow="1" w:lastRow="0" w:firstColumn="1" w:lastColumn="0" w:noHBand="0" w:noVBand="1"/>
      </w:tblPr>
      <w:tblGrid>
        <w:gridCol w:w="1415"/>
        <w:gridCol w:w="1274"/>
        <w:gridCol w:w="4961"/>
        <w:gridCol w:w="5811"/>
      </w:tblGrid>
      <w:tr w:rsidR="00B86352" w:rsidRPr="00E70FEC" w14:paraId="65E577EB" w14:textId="77777777" w:rsidTr="00B86352">
        <w:trPr>
          <w:trHeight w:val="980"/>
        </w:trPr>
        <w:tc>
          <w:tcPr>
            <w:tcW w:w="1415" w:type="dxa"/>
            <w:tcBorders>
              <w:top w:val="single" w:sz="4" w:space="0" w:color="auto"/>
              <w:left w:val="single" w:sz="4" w:space="0" w:color="auto"/>
              <w:bottom w:val="single" w:sz="4" w:space="0" w:color="auto"/>
              <w:right w:val="single" w:sz="4" w:space="0" w:color="auto"/>
            </w:tcBorders>
            <w:shd w:val="clear" w:color="auto" w:fill="E7E6E6" w:themeFill="background2"/>
            <w:vAlign w:val="bottom"/>
            <w:hideMark/>
          </w:tcPr>
          <w:p w14:paraId="17F75409"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lastRenderedPageBreak/>
              <w:t>Subject Area</w:t>
            </w:r>
          </w:p>
        </w:tc>
        <w:tc>
          <w:tcPr>
            <w:tcW w:w="1274" w:type="dxa"/>
            <w:tcBorders>
              <w:top w:val="single" w:sz="4" w:space="0" w:color="auto"/>
              <w:left w:val="nil"/>
              <w:bottom w:val="single" w:sz="4" w:space="0" w:color="auto"/>
              <w:right w:val="single" w:sz="4" w:space="0" w:color="auto"/>
            </w:tcBorders>
            <w:shd w:val="clear" w:color="auto" w:fill="auto"/>
            <w:vAlign w:val="bottom"/>
            <w:hideMark/>
          </w:tcPr>
          <w:p w14:paraId="065F8B0E"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t>Topic</w:t>
            </w:r>
          </w:p>
        </w:tc>
        <w:tc>
          <w:tcPr>
            <w:tcW w:w="4961" w:type="dxa"/>
            <w:tcBorders>
              <w:top w:val="single" w:sz="4" w:space="0" w:color="auto"/>
              <w:left w:val="nil"/>
              <w:bottom w:val="single" w:sz="4" w:space="0" w:color="auto"/>
              <w:right w:val="single" w:sz="4" w:space="0" w:color="auto"/>
            </w:tcBorders>
            <w:shd w:val="clear" w:color="auto" w:fill="auto"/>
            <w:vAlign w:val="bottom"/>
            <w:hideMark/>
          </w:tcPr>
          <w:p w14:paraId="1A664AE4"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t>Topic Overview</w:t>
            </w:r>
          </w:p>
        </w:tc>
        <w:tc>
          <w:tcPr>
            <w:tcW w:w="5811" w:type="dxa"/>
            <w:tcBorders>
              <w:top w:val="single" w:sz="4" w:space="0" w:color="auto"/>
              <w:left w:val="nil"/>
              <w:bottom w:val="single" w:sz="4" w:space="0" w:color="auto"/>
              <w:right w:val="single" w:sz="4" w:space="0" w:color="auto"/>
            </w:tcBorders>
            <w:shd w:val="clear" w:color="auto" w:fill="auto"/>
            <w:vAlign w:val="bottom"/>
            <w:hideMark/>
          </w:tcPr>
          <w:p w14:paraId="6153C626" w14:textId="77777777" w:rsidR="00FB2FFD" w:rsidRPr="00E70FEC" w:rsidRDefault="00FB2FFD" w:rsidP="001163A1">
            <w:pPr>
              <w:jc w:val="center"/>
              <w:rPr>
                <w:rFonts w:ascii="Calibri" w:eastAsia="Times New Roman" w:hAnsi="Calibri" w:cs="Calibri"/>
                <w:b/>
                <w:bCs/>
                <w:color w:val="000000"/>
                <w:sz w:val="22"/>
                <w:szCs w:val="22"/>
                <w:lang w:eastAsia="en-GB"/>
              </w:rPr>
            </w:pPr>
            <w:r>
              <w:rPr>
                <w:rFonts w:ascii="Calibri" w:eastAsia="Times New Roman" w:hAnsi="Calibri" w:cs="Calibri"/>
                <w:b/>
                <w:bCs/>
                <w:noProof/>
                <w:color w:val="000000"/>
                <w:sz w:val="22"/>
                <w:szCs w:val="22"/>
                <w:lang w:eastAsia="en-GB"/>
              </w:rPr>
              <mc:AlternateContent>
                <mc:Choice Requires="wps">
                  <w:drawing>
                    <wp:anchor distT="0" distB="0" distL="114300" distR="114300" simplePos="0" relativeHeight="251661312" behindDoc="0" locked="0" layoutInCell="1" allowOverlap="1" wp14:anchorId="609844CD" wp14:editId="2201BFDA">
                      <wp:simplePos x="0" y="0"/>
                      <wp:positionH relativeFrom="column">
                        <wp:posOffset>3808730</wp:posOffset>
                      </wp:positionH>
                      <wp:positionV relativeFrom="paragraph">
                        <wp:posOffset>-346710</wp:posOffset>
                      </wp:positionV>
                      <wp:extent cx="768350" cy="2187575"/>
                      <wp:effectExtent l="0" t="0" r="19050" b="9525"/>
                      <wp:wrapNone/>
                      <wp:docPr id="4" name="Text Box 4"/>
                      <wp:cNvGraphicFramePr/>
                      <a:graphic xmlns:a="http://schemas.openxmlformats.org/drawingml/2006/main">
                        <a:graphicData uri="http://schemas.microsoft.com/office/word/2010/wordprocessingShape">
                          <wps:wsp>
                            <wps:cNvSpPr txBox="1"/>
                            <wps:spPr>
                              <a:xfrm>
                                <a:off x="0" y="0"/>
                                <a:ext cx="768350" cy="2187575"/>
                              </a:xfrm>
                              <a:prstGeom prst="rect">
                                <a:avLst/>
                              </a:prstGeom>
                              <a:solidFill>
                                <a:schemeClr val="lt1"/>
                              </a:solidFill>
                              <a:ln w="6350">
                                <a:solidFill>
                                  <a:prstClr val="black"/>
                                </a:solidFill>
                              </a:ln>
                            </wps:spPr>
                            <wps:txbx>
                              <w:txbxContent>
                                <w:p w14:paraId="5BA9E84D" w14:textId="2B99BB6F" w:rsidR="00FB2FFD" w:rsidRDefault="00FB2FFD" w:rsidP="00FB2FFD">
                                  <w:r>
                                    <w:t xml:space="preserve">Figure </w:t>
                                  </w:r>
                                  <w:r w:rsidR="00C35E34">
                                    <w:t>4.1</w:t>
                                  </w:r>
                                  <w:r>
                                    <w:t>: A table showing the review and analysis of schemes of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844CD" id="Text Box 4" o:spid="_x0000_s1027" type="#_x0000_t202" style="position:absolute;left:0;text-align:left;margin-left:299.9pt;margin-top:-27.3pt;width:60.5pt;height:17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" fillcolor="white [3201]" strokeweight=".5pt">
                      <v:textbox>
                        <w:txbxContent>
                          <w:p w14:paraId="5BA9E84D" w14:textId="2B99BB6F" w:rsidR="00FB2FFD" w:rsidRDefault="00FB2FFD" w:rsidP="00FB2FFD">
                            <w:r>
                              <w:t xml:space="preserve">Figure </w:t>
                            </w:r>
                            <w:r w:rsidR="00C35E34">
                              <w:t>4.1</w:t>
                            </w:r>
                            <w:r>
                              <w:t>: A table showing the review and analysis of schemes of work.</w:t>
                            </w:r>
                          </w:p>
                        </w:txbxContent>
                      </v:textbox>
                    </v:shape>
                  </w:pict>
                </mc:Fallback>
              </mc:AlternateContent>
            </w:r>
            <w:r w:rsidRPr="00E70FEC">
              <w:rPr>
                <w:rFonts w:ascii="Calibri" w:eastAsia="Times New Roman" w:hAnsi="Calibri" w:cs="Calibri"/>
                <w:b/>
                <w:bCs/>
                <w:color w:val="000000"/>
                <w:sz w:val="22"/>
                <w:szCs w:val="22"/>
                <w:lang w:eastAsia="en-GB"/>
              </w:rPr>
              <w:t>Could environmental sustainability be reasonably included?</w:t>
            </w:r>
          </w:p>
        </w:tc>
      </w:tr>
      <w:tr w:rsidR="00B86352" w:rsidRPr="00E70FEC" w14:paraId="4A18BBE9" w14:textId="77777777" w:rsidTr="00C35E34">
        <w:trPr>
          <w:trHeight w:val="1558"/>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2F366397"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t>Geography</w:t>
            </w:r>
          </w:p>
        </w:tc>
        <w:tc>
          <w:tcPr>
            <w:tcW w:w="1274" w:type="dxa"/>
            <w:tcBorders>
              <w:top w:val="nil"/>
              <w:left w:val="nil"/>
              <w:bottom w:val="single" w:sz="4" w:space="0" w:color="auto"/>
              <w:right w:val="single" w:sz="4" w:space="0" w:color="auto"/>
            </w:tcBorders>
            <w:shd w:val="clear" w:color="auto" w:fill="auto"/>
            <w:vAlign w:val="bottom"/>
            <w:hideMark/>
          </w:tcPr>
          <w:p w14:paraId="54975CF0"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Climate Change</w:t>
            </w:r>
          </w:p>
        </w:tc>
        <w:tc>
          <w:tcPr>
            <w:tcW w:w="4961" w:type="dxa"/>
            <w:tcBorders>
              <w:top w:val="nil"/>
              <w:left w:val="nil"/>
              <w:bottom w:val="single" w:sz="4" w:space="0" w:color="auto"/>
              <w:right w:val="single" w:sz="4" w:space="0" w:color="auto"/>
            </w:tcBorders>
            <w:shd w:val="clear" w:color="auto" w:fill="auto"/>
            <w:vAlign w:val="bottom"/>
            <w:hideMark/>
          </w:tcPr>
          <w:p w14:paraId="4DD54F29" w14:textId="3A2D329D" w:rsidR="00C35E34"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The topic is linked to the changing climate and anthropogenic causes for this. The topic looks at global emissions over time, carbon footprint, renewable and non-renewable energy, consequences of climate change, and responding to climate change</w:t>
            </w:r>
            <w:r w:rsidR="00C35E34">
              <w:rPr>
                <w:rFonts w:ascii="Calibri" w:eastAsia="Times New Roman" w:hAnsi="Calibri" w:cs="Calibri"/>
                <w:color w:val="000000"/>
                <w:sz w:val="22"/>
                <w:szCs w:val="22"/>
                <w:lang w:eastAsia="en-GB"/>
              </w:rPr>
              <w:t>.</w:t>
            </w:r>
          </w:p>
        </w:tc>
        <w:tc>
          <w:tcPr>
            <w:tcW w:w="5811" w:type="dxa"/>
            <w:tcBorders>
              <w:top w:val="nil"/>
              <w:left w:val="nil"/>
              <w:bottom w:val="single" w:sz="4" w:space="0" w:color="auto"/>
              <w:right w:val="single" w:sz="4" w:space="0" w:color="auto"/>
            </w:tcBorders>
            <w:shd w:val="clear" w:color="auto" w:fill="auto"/>
            <w:vAlign w:val="bottom"/>
            <w:hideMark/>
          </w:tcPr>
          <w:p w14:paraId="0B4AA7EC"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there is a case study lesson which could be extended over two lessons to look at a global example and a local example. Local example could be from the immediate vicinity of the school (if there are relevant examples) or a Wales based example.</w:t>
            </w:r>
          </w:p>
        </w:tc>
      </w:tr>
      <w:tr w:rsidR="00B86352" w:rsidRPr="00E70FEC" w14:paraId="2194CF60" w14:textId="77777777" w:rsidTr="00C35E34">
        <w:trPr>
          <w:trHeight w:val="1836"/>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31EDB5CF"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076489B7"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Tropical Rainforests</w:t>
            </w:r>
          </w:p>
        </w:tc>
        <w:tc>
          <w:tcPr>
            <w:tcW w:w="4961" w:type="dxa"/>
            <w:tcBorders>
              <w:top w:val="nil"/>
              <w:left w:val="nil"/>
              <w:bottom w:val="single" w:sz="4" w:space="0" w:color="auto"/>
              <w:right w:val="single" w:sz="4" w:space="0" w:color="auto"/>
            </w:tcBorders>
            <w:shd w:val="clear" w:color="auto" w:fill="auto"/>
            <w:vAlign w:val="bottom"/>
            <w:hideMark/>
          </w:tcPr>
          <w:p w14:paraId="3703D7D8"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looks at the Tropical Rainforest (TRF) at the ecosystem level, reasons for deforestation and potential conflicts. The enquiry question of the topic is 'Is the rainforest worth saving?' and each lesson looks at reasons the TRF is important.</w:t>
            </w:r>
          </w:p>
        </w:tc>
        <w:tc>
          <w:tcPr>
            <w:tcW w:w="5811" w:type="dxa"/>
            <w:tcBorders>
              <w:top w:val="nil"/>
              <w:left w:val="nil"/>
              <w:bottom w:val="single" w:sz="4" w:space="0" w:color="auto"/>
              <w:right w:val="single" w:sz="4" w:space="0" w:color="auto"/>
            </w:tcBorders>
            <w:shd w:val="clear" w:color="auto" w:fill="auto"/>
            <w:vAlign w:val="bottom"/>
            <w:hideMark/>
          </w:tcPr>
          <w:p w14:paraId="297C534F"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Slightly - the topic is already largely centred around sustainability. Could possibly pay closer attention to methods of protecting the rainforest/using its resources in a sustainable way. Explain the meaning of sustainability through the lessons. Could end on a final lesson where a local linked example is used - deforestation and it's impacts in Wales?</w:t>
            </w:r>
          </w:p>
        </w:tc>
      </w:tr>
      <w:tr w:rsidR="00B86352" w:rsidRPr="00E70FEC" w14:paraId="78B25B1B" w14:textId="77777777" w:rsidTr="00C35E34">
        <w:trPr>
          <w:trHeight w:val="1820"/>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64E448E6"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24CD9425"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Map Skills</w:t>
            </w:r>
          </w:p>
        </w:tc>
        <w:tc>
          <w:tcPr>
            <w:tcW w:w="4961" w:type="dxa"/>
            <w:tcBorders>
              <w:top w:val="nil"/>
              <w:left w:val="nil"/>
              <w:bottom w:val="single" w:sz="4" w:space="0" w:color="auto"/>
              <w:right w:val="single" w:sz="4" w:space="0" w:color="auto"/>
            </w:tcBorders>
            <w:shd w:val="clear" w:color="auto" w:fill="auto"/>
            <w:vAlign w:val="bottom"/>
            <w:hideMark/>
          </w:tcPr>
          <w:p w14:paraId="7DB91B31"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The topic includes basic geographical skills. Pupils learn about map features, compass points, continents and oceans, biomes, scale and distance, grid references and UK cities.</w:t>
            </w:r>
          </w:p>
        </w:tc>
        <w:tc>
          <w:tcPr>
            <w:tcW w:w="5811" w:type="dxa"/>
            <w:tcBorders>
              <w:top w:val="nil"/>
              <w:left w:val="nil"/>
              <w:bottom w:val="single" w:sz="4" w:space="0" w:color="auto"/>
              <w:right w:val="single" w:sz="4" w:space="0" w:color="auto"/>
            </w:tcBorders>
            <w:shd w:val="clear" w:color="auto" w:fill="auto"/>
            <w:vAlign w:val="bottom"/>
            <w:hideMark/>
          </w:tcPr>
          <w:p w14:paraId="41551924"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the biomes lesson could include information on how we can work to protect these biomes and why it would be important to do so. The lessons on the UK could include some local area tasks - could maybe include information on local nature, local Sites of Special Scientific Interest (SSSIs) and protected sites.</w:t>
            </w:r>
          </w:p>
        </w:tc>
      </w:tr>
      <w:tr w:rsidR="00B86352" w:rsidRPr="00E70FEC" w14:paraId="60065B07" w14:textId="77777777" w:rsidTr="00C35E34">
        <w:trPr>
          <w:trHeight w:val="2002"/>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6D5E23A0"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4F89A50A"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Extreme Weather</w:t>
            </w:r>
          </w:p>
        </w:tc>
        <w:tc>
          <w:tcPr>
            <w:tcW w:w="4961" w:type="dxa"/>
            <w:tcBorders>
              <w:top w:val="nil"/>
              <w:left w:val="nil"/>
              <w:bottom w:val="single" w:sz="4" w:space="0" w:color="auto"/>
              <w:right w:val="single" w:sz="4" w:space="0" w:color="auto"/>
            </w:tcBorders>
            <w:shd w:val="clear" w:color="auto" w:fill="auto"/>
            <w:vAlign w:val="bottom"/>
            <w:hideMark/>
          </w:tcPr>
          <w:p w14:paraId="6E8D4A78"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This topic looks at the formation of tornadoes and hurricanes, where they happen and what damage they cause. There is some discussion around environmental sustainability as there is one task where there is a mention of </w:t>
            </w:r>
            <w:r>
              <w:rPr>
                <w:rFonts w:ascii="Calibri" w:eastAsia="Times New Roman" w:hAnsi="Calibri" w:cs="Calibri"/>
                <w:color w:val="000000"/>
                <w:sz w:val="22"/>
                <w:szCs w:val="22"/>
                <w:lang w:eastAsia="en-GB"/>
              </w:rPr>
              <w:t>anthropogenic</w:t>
            </w:r>
            <w:r w:rsidRPr="00E70FEC">
              <w:rPr>
                <w:rFonts w:ascii="Calibri" w:eastAsia="Times New Roman" w:hAnsi="Calibri" w:cs="Calibri"/>
                <w:color w:val="000000"/>
                <w:sz w:val="22"/>
                <w:szCs w:val="22"/>
                <w:lang w:eastAsia="en-GB"/>
              </w:rPr>
              <w:t xml:space="preserve"> climate change making hurricanes worse.</w:t>
            </w:r>
          </w:p>
        </w:tc>
        <w:tc>
          <w:tcPr>
            <w:tcW w:w="5811" w:type="dxa"/>
            <w:tcBorders>
              <w:top w:val="nil"/>
              <w:left w:val="nil"/>
              <w:bottom w:val="single" w:sz="4" w:space="0" w:color="auto"/>
              <w:right w:val="single" w:sz="4" w:space="0" w:color="auto"/>
            </w:tcBorders>
            <w:shd w:val="clear" w:color="auto" w:fill="auto"/>
            <w:vAlign w:val="bottom"/>
            <w:hideMark/>
          </w:tcPr>
          <w:p w14:paraId="3D6ED5A1"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Yes </w:t>
            </w:r>
            <w:r>
              <w:rPr>
                <w:rFonts w:ascii="Calibri" w:eastAsia="Times New Roman" w:hAnsi="Calibri" w:cs="Calibri"/>
                <w:color w:val="000000"/>
                <w:sz w:val="22"/>
                <w:szCs w:val="22"/>
                <w:lang w:eastAsia="en-GB"/>
              </w:rPr>
              <w:t>–</w:t>
            </w:r>
            <w:r w:rsidRPr="00E70FEC">
              <w:rPr>
                <w:rFonts w:ascii="Calibri" w:eastAsia="Times New Roman" w:hAnsi="Calibri" w:cs="Calibri"/>
                <w:color w:val="000000"/>
                <w:sz w:val="22"/>
                <w:szCs w:val="22"/>
                <w:lang w:eastAsia="en-GB"/>
              </w:rPr>
              <w:t xml:space="preserve"> during formation lessons, pupils could learn about how the frequency and severity of storms could increase in the future due to global warming. Briefly look at the reasons for global warming. Discussion around the impacts of these storms becoming more severe could be discussed. Hurricanes lasting longer due to warmer oceans could be discussed. </w:t>
            </w:r>
          </w:p>
        </w:tc>
      </w:tr>
      <w:tr w:rsidR="00B86352" w:rsidRPr="00E70FEC" w14:paraId="22186FE8" w14:textId="77777777" w:rsidTr="00C35E34">
        <w:trPr>
          <w:trHeight w:val="2117"/>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6EDEF7B4"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lastRenderedPageBreak/>
              <w:t>History</w:t>
            </w:r>
          </w:p>
        </w:tc>
        <w:tc>
          <w:tcPr>
            <w:tcW w:w="1274" w:type="dxa"/>
            <w:tcBorders>
              <w:top w:val="nil"/>
              <w:left w:val="nil"/>
              <w:bottom w:val="single" w:sz="4" w:space="0" w:color="auto"/>
              <w:right w:val="single" w:sz="4" w:space="0" w:color="auto"/>
            </w:tcBorders>
            <w:shd w:val="clear" w:color="auto" w:fill="auto"/>
            <w:vAlign w:val="bottom"/>
            <w:hideMark/>
          </w:tcPr>
          <w:p w14:paraId="7AD19E43"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American West</w:t>
            </w:r>
          </w:p>
        </w:tc>
        <w:tc>
          <w:tcPr>
            <w:tcW w:w="4961" w:type="dxa"/>
            <w:tcBorders>
              <w:top w:val="nil"/>
              <w:left w:val="nil"/>
              <w:bottom w:val="single" w:sz="4" w:space="0" w:color="auto"/>
              <w:right w:val="single" w:sz="4" w:space="0" w:color="auto"/>
            </w:tcBorders>
            <w:shd w:val="clear" w:color="auto" w:fill="auto"/>
            <w:vAlign w:val="bottom"/>
            <w:hideMark/>
          </w:tcPr>
          <w:p w14:paraId="56B16381"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looks at the American West through time, from Plains Indians to Cowboys. There are geographical elements (map tasks) and discussion around how the lives of these people interacted with the environment, but no explicit tasks or discussions with a sustainability focus.</w:t>
            </w:r>
          </w:p>
        </w:tc>
        <w:tc>
          <w:tcPr>
            <w:tcW w:w="5811" w:type="dxa"/>
            <w:tcBorders>
              <w:top w:val="nil"/>
              <w:left w:val="nil"/>
              <w:bottom w:val="single" w:sz="4" w:space="0" w:color="auto"/>
              <w:right w:val="single" w:sz="4" w:space="0" w:color="auto"/>
            </w:tcBorders>
            <w:shd w:val="clear" w:color="auto" w:fill="auto"/>
            <w:vAlign w:val="bottom"/>
            <w:hideMark/>
          </w:tcPr>
          <w:p w14:paraId="6E432CBE"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Yes </w:t>
            </w:r>
            <w:r>
              <w:rPr>
                <w:rFonts w:ascii="Calibri" w:eastAsia="Times New Roman" w:hAnsi="Calibri" w:cs="Calibri"/>
                <w:color w:val="000000"/>
                <w:sz w:val="22"/>
                <w:szCs w:val="22"/>
                <w:lang w:eastAsia="en-GB"/>
              </w:rPr>
              <w:t>–</w:t>
            </w:r>
            <w:r w:rsidRPr="00E70FEC">
              <w:rPr>
                <w:rFonts w:ascii="Calibri" w:eastAsia="Times New Roman" w:hAnsi="Calibri" w:cs="Calibri"/>
                <w:color w:val="000000"/>
                <w:sz w:val="22"/>
                <w:szCs w:val="22"/>
                <w:lang w:eastAsia="en-GB"/>
              </w:rPr>
              <w:t xml:space="preserve"> pupils could be encouraged to think about how the different uses of the environment by the different settlers were different</w:t>
            </w:r>
            <w:r>
              <w:rPr>
                <w:rFonts w:ascii="Calibri" w:eastAsia="Times New Roman" w:hAnsi="Calibri" w:cs="Calibri"/>
                <w:color w:val="000000"/>
                <w:sz w:val="22"/>
                <w:szCs w:val="22"/>
                <w:lang w:eastAsia="en-GB"/>
              </w:rPr>
              <w:t xml:space="preserve"> from each other. </w:t>
            </w:r>
            <w:r w:rsidRPr="00E70FEC">
              <w:rPr>
                <w:rFonts w:ascii="Calibri" w:eastAsia="Times New Roman" w:hAnsi="Calibri" w:cs="Calibri"/>
                <w:color w:val="000000"/>
                <w:sz w:val="22"/>
                <w:szCs w:val="22"/>
                <w:lang w:eastAsia="en-GB"/>
              </w:rPr>
              <w:t>More able pupils could then compare that to modern day use of the environment. Pupils could be encouraged to decide which way of life was more sustainable and why. Work on the Gold Rush could include discussion around the environmental impact</w:t>
            </w:r>
            <w:r>
              <w:rPr>
                <w:rFonts w:ascii="Calibri" w:eastAsia="Times New Roman" w:hAnsi="Calibri" w:cs="Calibri"/>
                <w:color w:val="000000"/>
                <w:sz w:val="22"/>
                <w:szCs w:val="22"/>
                <w:lang w:eastAsia="en-GB"/>
              </w:rPr>
              <w:t xml:space="preserve"> of the time.</w:t>
            </w:r>
          </w:p>
        </w:tc>
      </w:tr>
      <w:tr w:rsidR="00B86352" w:rsidRPr="00E70FEC" w14:paraId="37268558" w14:textId="77777777" w:rsidTr="00C35E34">
        <w:trPr>
          <w:trHeight w:val="1282"/>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1E89ECED"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2C530B2D"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Elizabethan Era</w:t>
            </w:r>
          </w:p>
        </w:tc>
        <w:tc>
          <w:tcPr>
            <w:tcW w:w="4961" w:type="dxa"/>
            <w:tcBorders>
              <w:top w:val="nil"/>
              <w:left w:val="nil"/>
              <w:bottom w:val="single" w:sz="4" w:space="0" w:color="auto"/>
              <w:right w:val="single" w:sz="4" w:space="0" w:color="auto"/>
            </w:tcBorders>
            <w:shd w:val="clear" w:color="auto" w:fill="auto"/>
            <w:vAlign w:val="bottom"/>
            <w:hideMark/>
          </w:tcPr>
          <w:p w14:paraId="08E09757"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looks at decisions made during the era, people's lives, Drake's circumnavigation of the globe, Elizabethan exploration</w:t>
            </w:r>
            <w:r>
              <w:rPr>
                <w:rFonts w:ascii="Calibri" w:eastAsia="Times New Roman" w:hAnsi="Calibri" w:cs="Calibri"/>
                <w:color w:val="000000"/>
                <w:sz w:val="22"/>
                <w:szCs w:val="22"/>
                <w:lang w:eastAsia="en-GB"/>
              </w:rPr>
              <w:t>.</w:t>
            </w:r>
          </w:p>
        </w:tc>
        <w:tc>
          <w:tcPr>
            <w:tcW w:w="5811" w:type="dxa"/>
            <w:tcBorders>
              <w:top w:val="nil"/>
              <w:left w:val="nil"/>
              <w:bottom w:val="single" w:sz="4" w:space="0" w:color="auto"/>
              <w:right w:val="single" w:sz="4" w:space="0" w:color="auto"/>
            </w:tcBorders>
            <w:shd w:val="clear" w:color="auto" w:fill="auto"/>
            <w:vAlign w:val="bottom"/>
            <w:hideMark/>
          </w:tcPr>
          <w:p w14:paraId="2B1A9DDA"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Yes - pupils could have a brief discussion/task about the decisions made that had an environmental impact. Pupils could also explore the environmental consequences of the exploration at the time. </w:t>
            </w:r>
          </w:p>
        </w:tc>
      </w:tr>
      <w:tr w:rsidR="00B86352" w:rsidRPr="00E70FEC" w14:paraId="4123BE31" w14:textId="77777777" w:rsidTr="00C35E34">
        <w:trPr>
          <w:trHeight w:val="1257"/>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5BD64FF1"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47C5BBA0"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Medicine through time</w:t>
            </w:r>
          </w:p>
        </w:tc>
        <w:tc>
          <w:tcPr>
            <w:tcW w:w="4961" w:type="dxa"/>
            <w:tcBorders>
              <w:top w:val="nil"/>
              <w:left w:val="nil"/>
              <w:bottom w:val="single" w:sz="4" w:space="0" w:color="auto"/>
              <w:right w:val="single" w:sz="4" w:space="0" w:color="auto"/>
            </w:tcBorders>
            <w:shd w:val="clear" w:color="auto" w:fill="auto"/>
            <w:vAlign w:val="bottom"/>
            <w:hideMark/>
          </w:tcPr>
          <w:p w14:paraId="07BBB242"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looks at medicine through time with key examples and case studies.</w:t>
            </w:r>
          </w:p>
        </w:tc>
        <w:tc>
          <w:tcPr>
            <w:tcW w:w="5811" w:type="dxa"/>
            <w:tcBorders>
              <w:top w:val="nil"/>
              <w:left w:val="nil"/>
              <w:bottom w:val="single" w:sz="4" w:space="0" w:color="auto"/>
              <w:right w:val="single" w:sz="4" w:space="0" w:color="auto"/>
            </w:tcBorders>
            <w:shd w:val="clear" w:color="auto" w:fill="auto"/>
            <w:vAlign w:val="bottom"/>
            <w:hideMark/>
          </w:tcPr>
          <w:p w14:paraId="46B24C3E"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links to nature (TRF for example) and plants providing medicine could be used to highlight the importance of maintaining biodiversity for example</w:t>
            </w:r>
            <w:r>
              <w:rPr>
                <w:rFonts w:ascii="Calibri" w:eastAsia="Times New Roman" w:hAnsi="Calibri" w:cs="Calibri"/>
                <w:color w:val="000000"/>
                <w:sz w:val="22"/>
                <w:szCs w:val="22"/>
                <w:lang w:eastAsia="en-GB"/>
              </w:rPr>
              <w:t>. Could possibly look at the first person/people to discover the medicinal benefits of plants.</w:t>
            </w:r>
          </w:p>
        </w:tc>
      </w:tr>
      <w:tr w:rsidR="00B86352" w:rsidRPr="00E70FEC" w14:paraId="1559C2D2" w14:textId="77777777" w:rsidTr="00C35E34">
        <w:trPr>
          <w:trHeight w:val="978"/>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13442536"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38544011"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Witches</w:t>
            </w:r>
          </w:p>
        </w:tc>
        <w:tc>
          <w:tcPr>
            <w:tcW w:w="4961" w:type="dxa"/>
            <w:tcBorders>
              <w:top w:val="nil"/>
              <w:left w:val="nil"/>
              <w:bottom w:val="single" w:sz="4" w:space="0" w:color="auto"/>
              <w:right w:val="single" w:sz="4" w:space="0" w:color="auto"/>
            </w:tcBorders>
            <w:shd w:val="clear" w:color="auto" w:fill="auto"/>
            <w:vAlign w:val="bottom"/>
            <w:hideMark/>
          </w:tcPr>
          <w:p w14:paraId="132A8F8A"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covers religious views at the time, witch hunting, witch trials and the decline of witch trials.</w:t>
            </w:r>
          </w:p>
        </w:tc>
        <w:tc>
          <w:tcPr>
            <w:tcW w:w="5811" w:type="dxa"/>
            <w:tcBorders>
              <w:top w:val="nil"/>
              <w:left w:val="nil"/>
              <w:bottom w:val="single" w:sz="4" w:space="0" w:color="auto"/>
              <w:right w:val="single" w:sz="4" w:space="0" w:color="auto"/>
            </w:tcBorders>
            <w:shd w:val="clear" w:color="auto" w:fill="auto"/>
            <w:vAlign w:val="bottom"/>
            <w:hideMark/>
          </w:tcPr>
          <w:p w14:paraId="62D15FEC" w14:textId="2E8F76FF"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No - not obvious where links can be made to environmental sustainability that woul</w:t>
            </w:r>
            <w:r w:rsidR="00D57BA6">
              <w:rPr>
                <w:rFonts w:ascii="Calibri" w:eastAsia="Times New Roman" w:hAnsi="Calibri" w:cs="Calibri"/>
                <w:color w:val="000000"/>
                <w:sz w:val="22"/>
                <w:szCs w:val="22"/>
                <w:lang w:eastAsia="en-GB"/>
              </w:rPr>
              <w:t>d not</w:t>
            </w:r>
            <w:r w:rsidRPr="00E70FEC">
              <w:rPr>
                <w:rFonts w:ascii="Calibri" w:eastAsia="Times New Roman" w:hAnsi="Calibri" w:cs="Calibri"/>
                <w:color w:val="000000"/>
                <w:sz w:val="22"/>
                <w:szCs w:val="22"/>
                <w:lang w:eastAsia="en-GB"/>
              </w:rPr>
              <w:t xml:space="preserve"> be tenuous. Would need subject specialist input.</w:t>
            </w:r>
          </w:p>
        </w:tc>
      </w:tr>
      <w:tr w:rsidR="00B86352" w:rsidRPr="00E70FEC" w14:paraId="454C62E1" w14:textId="77777777" w:rsidTr="00C35E34">
        <w:trPr>
          <w:trHeight w:val="1261"/>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2F939CDA"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t>Religious Studies</w:t>
            </w:r>
          </w:p>
        </w:tc>
        <w:tc>
          <w:tcPr>
            <w:tcW w:w="1274" w:type="dxa"/>
            <w:tcBorders>
              <w:top w:val="nil"/>
              <w:left w:val="nil"/>
              <w:bottom w:val="single" w:sz="4" w:space="0" w:color="auto"/>
              <w:right w:val="single" w:sz="4" w:space="0" w:color="auto"/>
            </w:tcBorders>
            <w:shd w:val="clear" w:color="auto" w:fill="auto"/>
            <w:vAlign w:val="bottom"/>
            <w:hideMark/>
          </w:tcPr>
          <w:p w14:paraId="4CF51144"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Christianity</w:t>
            </w:r>
          </w:p>
        </w:tc>
        <w:tc>
          <w:tcPr>
            <w:tcW w:w="4961" w:type="dxa"/>
            <w:tcBorders>
              <w:top w:val="nil"/>
              <w:left w:val="nil"/>
              <w:bottom w:val="single" w:sz="4" w:space="0" w:color="auto"/>
              <w:right w:val="single" w:sz="4" w:space="0" w:color="auto"/>
            </w:tcBorders>
            <w:shd w:val="clear" w:color="auto" w:fill="auto"/>
            <w:vAlign w:val="bottom"/>
            <w:hideMark/>
          </w:tcPr>
          <w:p w14:paraId="70A42EC6"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looks at Christian views, role of the Church, creation stories, teachings of Jesus and Stewardship.</w:t>
            </w:r>
          </w:p>
        </w:tc>
        <w:tc>
          <w:tcPr>
            <w:tcW w:w="5811" w:type="dxa"/>
            <w:tcBorders>
              <w:top w:val="nil"/>
              <w:left w:val="nil"/>
              <w:bottom w:val="single" w:sz="4" w:space="0" w:color="auto"/>
              <w:right w:val="single" w:sz="4" w:space="0" w:color="auto"/>
            </w:tcBorders>
            <w:shd w:val="clear" w:color="auto" w:fill="auto"/>
            <w:vAlign w:val="bottom"/>
            <w:hideMark/>
          </w:tcPr>
          <w:p w14:paraId="65A3504C"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the stewardship lessons look at religious and non-religious opinions on how the planet should be protected. This could be enhanced to include more discussion and information on why this is important, regardless of religious/non-religious views.</w:t>
            </w:r>
          </w:p>
        </w:tc>
      </w:tr>
      <w:tr w:rsidR="00B86352" w:rsidRPr="00E70FEC" w14:paraId="4748DBB6" w14:textId="77777777" w:rsidTr="00C35E34">
        <w:trPr>
          <w:trHeight w:val="996"/>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1E7A2177"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4E628FE5"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Islam</w:t>
            </w:r>
          </w:p>
        </w:tc>
        <w:tc>
          <w:tcPr>
            <w:tcW w:w="4961" w:type="dxa"/>
            <w:tcBorders>
              <w:top w:val="nil"/>
              <w:left w:val="nil"/>
              <w:bottom w:val="single" w:sz="4" w:space="0" w:color="auto"/>
              <w:right w:val="single" w:sz="4" w:space="0" w:color="auto"/>
            </w:tcBorders>
            <w:shd w:val="clear" w:color="auto" w:fill="auto"/>
            <w:vAlign w:val="bottom"/>
            <w:hideMark/>
          </w:tcPr>
          <w:p w14:paraId="363730D7"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topic explores different elements of Islam - places of worship, prayer, traditions.</w:t>
            </w:r>
          </w:p>
        </w:tc>
        <w:tc>
          <w:tcPr>
            <w:tcW w:w="5811" w:type="dxa"/>
            <w:tcBorders>
              <w:top w:val="nil"/>
              <w:left w:val="nil"/>
              <w:bottom w:val="single" w:sz="4" w:space="0" w:color="auto"/>
              <w:right w:val="single" w:sz="4" w:space="0" w:color="auto"/>
            </w:tcBorders>
            <w:shd w:val="clear" w:color="auto" w:fill="auto"/>
            <w:vAlign w:val="bottom"/>
            <w:hideMark/>
          </w:tcPr>
          <w:p w14:paraId="7E596A1D" w14:textId="15A9FACA"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No - not obvious where links can be made to environmental sustainability that would</w:t>
            </w:r>
            <w:r w:rsidR="00D57BA6">
              <w:rPr>
                <w:rFonts w:ascii="Calibri" w:eastAsia="Times New Roman" w:hAnsi="Calibri" w:cs="Calibri"/>
                <w:color w:val="000000"/>
                <w:sz w:val="22"/>
                <w:szCs w:val="22"/>
                <w:lang w:eastAsia="en-GB"/>
              </w:rPr>
              <w:t xml:space="preserve"> not</w:t>
            </w:r>
            <w:r w:rsidRPr="00E70FEC">
              <w:rPr>
                <w:rFonts w:ascii="Calibri" w:eastAsia="Times New Roman" w:hAnsi="Calibri" w:cs="Calibri"/>
                <w:color w:val="000000"/>
                <w:sz w:val="22"/>
                <w:szCs w:val="22"/>
                <w:lang w:eastAsia="en-GB"/>
              </w:rPr>
              <w:t xml:space="preserve"> be tenuous. Would need subject specialist input.</w:t>
            </w:r>
          </w:p>
        </w:tc>
      </w:tr>
      <w:tr w:rsidR="00B86352" w:rsidRPr="00E70FEC" w14:paraId="3318A7C3" w14:textId="77777777" w:rsidTr="00B86352">
        <w:trPr>
          <w:trHeight w:val="890"/>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5121B4A6"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151C34DA"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Good and Evil</w:t>
            </w:r>
          </w:p>
        </w:tc>
        <w:tc>
          <w:tcPr>
            <w:tcW w:w="4961" w:type="dxa"/>
            <w:tcBorders>
              <w:top w:val="nil"/>
              <w:left w:val="nil"/>
              <w:bottom w:val="single" w:sz="4" w:space="0" w:color="auto"/>
              <w:right w:val="single" w:sz="4" w:space="0" w:color="auto"/>
            </w:tcBorders>
            <w:shd w:val="clear" w:color="auto" w:fill="auto"/>
            <w:vAlign w:val="bottom"/>
            <w:hideMark/>
          </w:tcPr>
          <w:p w14:paraId="76243BED"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The topic looks at acts of wrongdoing and the religious opinions on them, treatment of criminals, forgiveness and religious teachings.</w:t>
            </w:r>
          </w:p>
        </w:tc>
        <w:tc>
          <w:tcPr>
            <w:tcW w:w="5811" w:type="dxa"/>
            <w:tcBorders>
              <w:top w:val="nil"/>
              <w:left w:val="nil"/>
              <w:bottom w:val="single" w:sz="4" w:space="0" w:color="auto"/>
              <w:right w:val="single" w:sz="4" w:space="0" w:color="auto"/>
            </w:tcBorders>
            <w:shd w:val="clear" w:color="auto" w:fill="auto"/>
            <w:vAlign w:val="bottom"/>
            <w:hideMark/>
          </w:tcPr>
          <w:p w14:paraId="671BDDCB"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Yes - the topic looks at morality, an example could be used of environmental damage due to poor choices </w:t>
            </w:r>
            <w:r>
              <w:rPr>
                <w:rFonts w:ascii="Calibri" w:eastAsia="Times New Roman" w:hAnsi="Calibri" w:cs="Calibri"/>
                <w:color w:val="000000"/>
                <w:sz w:val="22"/>
                <w:szCs w:val="22"/>
                <w:lang w:eastAsia="en-GB"/>
              </w:rPr>
              <w:t xml:space="preserve">or environmental </w:t>
            </w:r>
            <w:r>
              <w:rPr>
                <w:rFonts w:ascii="Calibri" w:eastAsia="Times New Roman" w:hAnsi="Calibri" w:cs="Calibri"/>
                <w:color w:val="000000"/>
                <w:sz w:val="22"/>
                <w:szCs w:val="22"/>
                <w:lang w:eastAsia="en-GB"/>
              </w:rPr>
              <w:lastRenderedPageBreak/>
              <w:t xml:space="preserve">negligence </w:t>
            </w:r>
            <w:r w:rsidRPr="00E70FEC">
              <w:rPr>
                <w:rFonts w:ascii="Calibri" w:eastAsia="Times New Roman" w:hAnsi="Calibri" w:cs="Calibri"/>
                <w:color w:val="000000"/>
                <w:sz w:val="22"/>
                <w:szCs w:val="22"/>
                <w:lang w:eastAsia="en-GB"/>
              </w:rPr>
              <w:t>by a company. This is potentially a tenuous link - would need input from subject specialists.</w:t>
            </w:r>
          </w:p>
        </w:tc>
      </w:tr>
      <w:tr w:rsidR="00B86352" w:rsidRPr="00E70FEC" w14:paraId="39F9EE70" w14:textId="77777777" w:rsidTr="00C35E34">
        <w:trPr>
          <w:trHeight w:val="1223"/>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53E8B6B6"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t>Mathematics</w:t>
            </w:r>
          </w:p>
        </w:tc>
        <w:tc>
          <w:tcPr>
            <w:tcW w:w="1274" w:type="dxa"/>
            <w:tcBorders>
              <w:top w:val="nil"/>
              <w:left w:val="nil"/>
              <w:bottom w:val="single" w:sz="4" w:space="0" w:color="auto"/>
              <w:right w:val="single" w:sz="4" w:space="0" w:color="auto"/>
            </w:tcBorders>
            <w:shd w:val="clear" w:color="auto" w:fill="auto"/>
            <w:vAlign w:val="bottom"/>
            <w:hideMark/>
          </w:tcPr>
          <w:p w14:paraId="21B639EA"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Directed Numbers</w:t>
            </w:r>
          </w:p>
        </w:tc>
        <w:tc>
          <w:tcPr>
            <w:tcW w:w="4961" w:type="dxa"/>
            <w:tcBorders>
              <w:top w:val="nil"/>
              <w:left w:val="nil"/>
              <w:bottom w:val="single" w:sz="4" w:space="0" w:color="auto"/>
              <w:right w:val="single" w:sz="4" w:space="0" w:color="auto"/>
            </w:tcBorders>
            <w:shd w:val="clear" w:color="auto" w:fill="auto"/>
            <w:vAlign w:val="bottom"/>
            <w:hideMark/>
          </w:tcPr>
          <w:p w14:paraId="66D878A8"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A series of lessons on addition and subtraction of negative numbers - uses sea level and temperature as examples.</w:t>
            </w:r>
          </w:p>
        </w:tc>
        <w:tc>
          <w:tcPr>
            <w:tcW w:w="5811" w:type="dxa"/>
            <w:tcBorders>
              <w:top w:val="nil"/>
              <w:left w:val="nil"/>
              <w:bottom w:val="single" w:sz="4" w:space="0" w:color="auto"/>
              <w:right w:val="single" w:sz="4" w:space="0" w:color="auto"/>
            </w:tcBorders>
            <w:shd w:val="clear" w:color="auto" w:fill="auto"/>
            <w:vAlign w:val="bottom"/>
            <w:hideMark/>
          </w:tcPr>
          <w:p w14:paraId="1999BD25"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ensure there is some explanation of the importance of sea level and temperatures in the lesson. Could briefly discuss why sea levels are rising. Or could discuss temperature changes over time.</w:t>
            </w:r>
          </w:p>
        </w:tc>
      </w:tr>
      <w:tr w:rsidR="00B86352" w:rsidRPr="00E70FEC" w14:paraId="7785DA5E" w14:textId="77777777" w:rsidTr="00C35E34">
        <w:trPr>
          <w:trHeight w:val="1281"/>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443D08CB"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74871FDF"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Plotting graphs</w:t>
            </w:r>
          </w:p>
        </w:tc>
        <w:tc>
          <w:tcPr>
            <w:tcW w:w="4961" w:type="dxa"/>
            <w:tcBorders>
              <w:top w:val="nil"/>
              <w:left w:val="nil"/>
              <w:bottom w:val="single" w:sz="4" w:space="0" w:color="auto"/>
              <w:right w:val="single" w:sz="4" w:space="0" w:color="auto"/>
            </w:tcBorders>
            <w:shd w:val="clear" w:color="auto" w:fill="auto"/>
            <w:vAlign w:val="bottom"/>
            <w:hideMark/>
          </w:tcPr>
          <w:p w14:paraId="7EDE9CD4"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series of lessons looks only at plotting graphs</w:t>
            </w:r>
            <w:r>
              <w:rPr>
                <w:rFonts w:ascii="Calibri" w:eastAsia="Times New Roman" w:hAnsi="Calibri" w:cs="Calibri"/>
                <w:color w:val="000000"/>
                <w:sz w:val="22"/>
                <w:szCs w:val="22"/>
                <w:lang w:eastAsia="en-GB"/>
              </w:rPr>
              <w:t>.</w:t>
            </w:r>
          </w:p>
        </w:tc>
        <w:tc>
          <w:tcPr>
            <w:tcW w:w="5811" w:type="dxa"/>
            <w:tcBorders>
              <w:top w:val="nil"/>
              <w:left w:val="nil"/>
              <w:bottom w:val="single" w:sz="4" w:space="0" w:color="auto"/>
              <w:right w:val="single" w:sz="4" w:space="0" w:color="auto"/>
            </w:tcBorders>
            <w:shd w:val="clear" w:color="auto" w:fill="auto"/>
            <w:vAlign w:val="bottom"/>
            <w:hideMark/>
          </w:tcPr>
          <w:p w14:paraId="3D3363BB"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data used to plot the graphs could be from environmental sources, opportunity to also have a local context here. Again, this would need some discussion to come with the data to ensure it is not just a 'bolt-on'.</w:t>
            </w:r>
          </w:p>
        </w:tc>
      </w:tr>
      <w:tr w:rsidR="00B86352" w:rsidRPr="00E70FEC" w14:paraId="28565E3A" w14:textId="77777777" w:rsidTr="00C35E34">
        <w:trPr>
          <w:trHeight w:val="1257"/>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65173564"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4668373D"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Square and Cube Metres</w:t>
            </w:r>
          </w:p>
        </w:tc>
        <w:tc>
          <w:tcPr>
            <w:tcW w:w="4961" w:type="dxa"/>
            <w:tcBorders>
              <w:top w:val="nil"/>
              <w:left w:val="nil"/>
              <w:bottom w:val="single" w:sz="4" w:space="0" w:color="auto"/>
              <w:right w:val="single" w:sz="4" w:space="0" w:color="auto"/>
            </w:tcBorders>
            <w:shd w:val="clear" w:color="auto" w:fill="auto"/>
            <w:vAlign w:val="bottom"/>
            <w:hideMark/>
          </w:tcPr>
          <w:p w14:paraId="271BE6F1"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This series of lessons looks at how to calculate area and volume.</w:t>
            </w:r>
          </w:p>
        </w:tc>
        <w:tc>
          <w:tcPr>
            <w:tcW w:w="5811" w:type="dxa"/>
            <w:tcBorders>
              <w:top w:val="nil"/>
              <w:left w:val="nil"/>
              <w:bottom w:val="single" w:sz="4" w:space="0" w:color="auto"/>
              <w:right w:val="single" w:sz="4" w:space="0" w:color="auto"/>
            </w:tcBorders>
            <w:shd w:val="clear" w:color="auto" w:fill="auto"/>
            <w:vAlign w:val="bottom"/>
            <w:hideMark/>
          </w:tcPr>
          <w:p w14:paraId="747785D6"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Yes - environmental examples could be used, for example, area of rainforest that has been cleared. This would also need a discussion around why this is bad. More able pupils could maybe calculate the rate of clearance. </w:t>
            </w:r>
          </w:p>
        </w:tc>
      </w:tr>
      <w:tr w:rsidR="00B86352" w:rsidRPr="00E70FEC" w14:paraId="0750CFF1" w14:textId="77777777" w:rsidTr="00C35E34">
        <w:trPr>
          <w:trHeight w:val="1261"/>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146997BD" w14:textId="77777777" w:rsidR="00FB2FFD" w:rsidRPr="00E70FEC" w:rsidRDefault="00FB2FFD" w:rsidP="001163A1">
            <w:pPr>
              <w:jc w:val="center"/>
              <w:rPr>
                <w:rFonts w:ascii="Calibri" w:eastAsia="Times New Roman" w:hAnsi="Calibri" w:cs="Calibri"/>
                <w:b/>
                <w:bCs/>
                <w:color w:val="000000"/>
                <w:sz w:val="22"/>
                <w:szCs w:val="22"/>
                <w:lang w:eastAsia="en-GB"/>
              </w:rPr>
            </w:pPr>
          </w:p>
        </w:tc>
        <w:tc>
          <w:tcPr>
            <w:tcW w:w="1274" w:type="dxa"/>
            <w:tcBorders>
              <w:top w:val="nil"/>
              <w:left w:val="nil"/>
              <w:bottom w:val="single" w:sz="4" w:space="0" w:color="auto"/>
              <w:right w:val="single" w:sz="4" w:space="0" w:color="auto"/>
            </w:tcBorders>
            <w:shd w:val="clear" w:color="auto" w:fill="auto"/>
            <w:vAlign w:val="bottom"/>
            <w:hideMark/>
          </w:tcPr>
          <w:p w14:paraId="31EED7C5"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Financial Planning Project</w:t>
            </w:r>
          </w:p>
        </w:tc>
        <w:tc>
          <w:tcPr>
            <w:tcW w:w="4961" w:type="dxa"/>
            <w:tcBorders>
              <w:top w:val="nil"/>
              <w:left w:val="nil"/>
              <w:bottom w:val="single" w:sz="4" w:space="0" w:color="auto"/>
              <w:right w:val="single" w:sz="4" w:space="0" w:color="auto"/>
            </w:tcBorders>
            <w:shd w:val="clear" w:color="auto" w:fill="auto"/>
            <w:vAlign w:val="bottom"/>
            <w:hideMark/>
          </w:tcPr>
          <w:p w14:paraId="32D87D8E"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Range of options for project that could be planned.</w:t>
            </w:r>
          </w:p>
        </w:tc>
        <w:tc>
          <w:tcPr>
            <w:tcW w:w="5811" w:type="dxa"/>
            <w:tcBorders>
              <w:top w:val="nil"/>
              <w:left w:val="nil"/>
              <w:bottom w:val="single" w:sz="4" w:space="0" w:color="auto"/>
              <w:right w:val="single" w:sz="4" w:space="0" w:color="auto"/>
            </w:tcBorders>
            <w:shd w:val="clear" w:color="auto" w:fill="auto"/>
            <w:vAlign w:val="bottom"/>
            <w:hideMark/>
          </w:tcPr>
          <w:p w14:paraId="36557406"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many opportunities here. Could calculate the cost of solar panels needed for a house. Could look at sustainable travel holidays. Could work out the energy usage of the school and how to decrease the costs.</w:t>
            </w:r>
          </w:p>
        </w:tc>
      </w:tr>
      <w:tr w:rsidR="00B86352" w:rsidRPr="00E70FEC" w14:paraId="000AAEB6" w14:textId="77777777" w:rsidTr="00C35E34">
        <w:trPr>
          <w:trHeight w:val="2410"/>
        </w:trPr>
        <w:tc>
          <w:tcPr>
            <w:tcW w:w="1415" w:type="dxa"/>
            <w:tcBorders>
              <w:top w:val="nil"/>
              <w:left w:val="single" w:sz="4" w:space="0" w:color="auto"/>
              <w:bottom w:val="single" w:sz="4" w:space="0" w:color="auto"/>
              <w:right w:val="single" w:sz="4" w:space="0" w:color="auto"/>
            </w:tcBorders>
            <w:shd w:val="clear" w:color="auto" w:fill="E7E6E6" w:themeFill="background2"/>
            <w:vAlign w:val="bottom"/>
            <w:hideMark/>
          </w:tcPr>
          <w:p w14:paraId="42460826" w14:textId="77777777" w:rsidR="00FB2FFD" w:rsidRPr="00E70FEC" w:rsidRDefault="00FB2FFD" w:rsidP="001163A1">
            <w:pPr>
              <w:jc w:val="center"/>
              <w:rPr>
                <w:rFonts w:ascii="Calibri" w:eastAsia="Times New Roman" w:hAnsi="Calibri" w:cs="Calibri"/>
                <w:b/>
                <w:bCs/>
                <w:color w:val="000000"/>
                <w:sz w:val="22"/>
                <w:szCs w:val="22"/>
                <w:lang w:eastAsia="en-GB"/>
              </w:rPr>
            </w:pPr>
            <w:r w:rsidRPr="00E70FEC">
              <w:rPr>
                <w:rFonts w:ascii="Calibri" w:eastAsia="Times New Roman" w:hAnsi="Calibri" w:cs="Calibri"/>
                <w:b/>
                <w:bCs/>
                <w:color w:val="000000"/>
                <w:sz w:val="22"/>
                <w:szCs w:val="22"/>
                <w:lang w:eastAsia="en-GB"/>
              </w:rPr>
              <w:t>Art</w:t>
            </w:r>
          </w:p>
        </w:tc>
        <w:tc>
          <w:tcPr>
            <w:tcW w:w="1274" w:type="dxa"/>
            <w:tcBorders>
              <w:top w:val="nil"/>
              <w:left w:val="nil"/>
              <w:bottom w:val="single" w:sz="4" w:space="0" w:color="auto"/>
              <w:right w:val="single" w:sz="4" w:space="0" w:color="auto"/>
            </w:tcBorders>
            <w:shd w:val="clear" w:color="auto" w:fill="auto"/>
            <w:vAlign w:val="bottom"/>
            <w:hideMark/>
          </w:tcPr>
          <w:p w14:paraId="13B36B1B" w14:textId="77777777" w:rsidR="00FB2FFD" w:rsidRPr="00E70FEC" w:rsidRDefault="00FB2FFD" w:rsidP="001163A1">
            <w:pPr>
              <w:jc w:val="center"/>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Explorer</w:t>
            </w:r>
          </w:p>
        </w:tc>
        <w:tc>
          <w:tcPr>
            <w:tcW w:w="4961" w:type="dxa"/>
            <w:tcBorders>
              <w:top w:val="nil"/>
              <w:left w:val="nil"/>
              <w:bottom w:val="single" w:sz="4" w:space="0" w:color="auto"/>
              <w:right w:val="single" w:sz="4" w:space="0" w:color="auto"/>
            </w:tcBorders>
            <w:shd w:val="clear" w:color="auto" w:fill="auto"/>
            <w:vAlign w:val="bottom"/>
            <w:hideMark/>
          </w:tcPr>
          <w:p w14:paraId="6520A15B"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 xml:space="preserve">The topic looks at the book by Katherine Rundell, 'The Explorer', and discusses nature, wildlife, bugs etc from an art perspective. </w:t>
            </w:r>
          </w:p>
        </w:tc>
        <w:tc>
          <w:tcPr>
            <w:tcW w:w="5811" w:type="dxa"/>
            <w:tcBorders>
              <w:top w:val="nil"/>
              <w:left w:val="nil"/>
              <w:bottom w:val="single" w:sz="4" w:space="0" w:color="auto"/>
              <w:right w:val="single" w:sz="4" w:space="0" w:color="auto"/>
            </w:tcBorders>
            <w:shd w:val="clear" w:color="auto" w:fill="auto"/>
            <w:vAlign w:val="bottom"/>
            <w:hideMark/>
          </w:tcPr>
          <w:p w14:paraId="2FDB02E4" w14:textId="77777777" w:rsidR="00FB2FFD" w:rsidRPr="00E70FEC" w:rsidRDefault="00FB2FFD" w:rsidP="001163A1">
            <w:pPr>
              <w:jc w:val="both"/>
              <w:rPr>
                <w:rFonts w:ascii="Calibri" w:eastAsia="Times New Roman" w:hAnsi="Calibri" w:cs="Calibri"/>
                <w:color w:val="000000"/>
                <w:sz w:val="22"/>
                <w:szCs w:val="22"/>
                <w:lang w:eastAsia="en-GB"/>
              </w:rPr>
            </w:pPr>
            <w:r w:rsidRPr="00E70FEC">
              <w:rPr>
                <w:rFonts w:ascii="Calibri" w:eastAsia="Times New Roman" w:hAnsi="Calibri" w:cs="Calibri"/>
                <w:color w:val="000000"/>
                <w:sz w:val="22"/>
                <w:szCs w:val="22"/>
                <w:lang w:eastAsia="en-GB"/>
              </w:rPr>
              <w:t>Yes - one lesson looks at 'jungle theme animals and bugs'. Opportunity here to discuss the TRF and its importance. There is also a lesson with an image of Greta Thunberg submerged in glacial water as a starter task. Need to ensure that a discussion is had around this and its importance (especially the glacial water element). This goes onto look at plastic pollution in the sea. Again, need to make sure there is discussion around the importance of this.</w:t>
            </w:r>
          </w:p>
        </w:tc>
      </w:tr>
    </w:tbl>
    <w:p w14:paraId="34DD3357" w14:textId="77777777" w:rsidR="00FB2FFD" w:rsidRDefault="00FB2FFD" w:rsidP="00FB2FFD">
      <w:pPr>
        <w:rPr>
          <w:rFonts w:cstheme="minorHAnsi"/>
        </w:rPr>
      </w:pPr>
    </w:p>
    <w:p w14:paraId="2507656D" w14:textId="77777777" w:rsidR="00FB2FFD" w:rsidRDefault="00FB2FFD" w:rsidP="00FB2FFD">
      <w:pPr>
        <w:rPr>
          <w:rFonts w:cstheme="minorHAnsi"/>
        </w:rPr>
      </w:pPr>
    </w:p>
    <w:p w14:paraId="4CF79B08" w14:textId="48255909" w:rsidR="00B86352" w:rsidRDefault="00B86352" w:rsidP="00C35E34">
      <w:pPr>
        <w:rPr>
          <w:rFonts w:cstheme="minorHAnsi"/>
        </w:rPr>
        <w:sectPr w:rsidR="00B86352" w:rsidSect="00B86352">
          <w:pgSz w:w="16838" w:h="11906" w:orient="landscape"/>
          <w:pgMar w:top="1440" w:right="1440" w:bottom="1440" w:left="1440" w:header="708" w:footer="708" w:gutter="0"/>
          <w:cols w:space="708"/>
          <w:titlePg/>
          <w:docGrid w:linePitch="360"/>
        </w:sectPr>
      </w:pPr>
    </w:p>
    <w:p w14:paraId="2CE8BC2C" w14:textId="61B45229" w:rsidR="00FB2FFD" w:rsidRDefault="00FB2FFD" w:rsidP="00FB2FFD">
      <w:pPr>
        <w:spacing w:line="360" w:lineRule="auto"/>
        <w:jc w:val="both"/>
        <w:rPr>
          <w:rFonts w:cstheme="minorHAnsi"/>
        </w:rPr>
      </w:pPr>
      <w:r>
        <w:rPr>
          <w:rFonts w:cstheme="minorHAnsi"/>
        </w:rPr>
        <w:lastRenderedPageBreak/>
        <w:t>Whilst reviewing the schemes of work, it became clear that staff input will be needed to further develop the framework, as expertise in each subject area will help to create more detailed examples and cross-curricular links. For example, in the History topic that looks at Witches. As a non-specialist, it is not obvious where environmental sustainability could be added to this topic. It might be that including it would be more of a ‘shoehorn’ approach than actually enhancing the work already being done. If that is the case, then the best approach would be to leave it out. However, a Historian might be able to suggest a sensible way to include environmental sustainability. Another example of this is in the Islam topic. This would also require specialist input to ensure that if environmental sustainability can be included, that it is done so effectively and not simply for the sake of it. It would also seem reasonable to assume that if it were the case that teachers saw this initiative as another ‘bolt-on’ that they have to incorporate to their lessons, that they would be less likely to make a concerted effort. However, if teachers see that the information genuinely enhances the work they are already doing, they will hopefully be more likely to see the value in giving it the time and effort it needs to be successful.</w:t>
      </w:r>
    </w:p>
    <w:p w14:paraId="7787AA57" w14:textId="77777777" w:rsidR="00FB2FFD" w:rsidRDefault="00FB2FFD" w:rsidP="00FB2FFD">
      <w:pPr>
        <w:spacing w:line="360" w:lineRule="auto"/>
        <w:jc w:val="both"/>
        <w:rPr>
          <w:rFonts w:cstheme="minorHAnsi"/>
        </w:rPr>
      </w:pPr>
    </w:p>
    <w:p w14:paraId="2A9EBAF3" w14:textId="77777777" w:rsidR="00FB2FFD" w:rsidRDefault="00FB2FFD" w:rsidP="00FB2FFD">
      <w:pPr>
        <w:spacing w:line="360" w:lineRule="auto"/>
        <w:jc w:val="both"/>
        <w:rPr>
          <w:rFonts w:cstheme="minorHAnsi"/>
        </w:rPr>
      </w:pPr>
      <w:r>
        <w:rPr>
          <w:rFonts w:cstheme="minorHAnsi"/>
        </w:rPr>
        <w:t>Therefore, it would seem that involving subject teachers would be beneficial from the sense that they would likely be able to make suggestions of where environmental education can be added into their subjects. It would also hopefully negate the implementation dip previously mentioned, whereby staff are less likely to ‘buy in’ to a new initiative if they have had little to no involvement in the development process.</w:t>
      </w:r>
    </w:p>
    <w:p w14:paraId="2676D31F" w14:textId="77777777" w:rsidR="00FB2FFD" w:rsidRDefault="00FB2FFD" w:rsidP="00FB2FFD">
      <w:pPr>
        <w:spacing w:line="360" w:lineRule="auto"/>
        <w:jc w:val="both"/>
        <w:rPr>
          <w:rFonts w:cstheme="minorHAnsi"/>
        </w:rPr>
      </w:pPr>
    </w:p>
    <w:p w14:paraId="5E510457" w14:textId="1CE9028F" w:rsidR="00F0536F" w:rsidRDefault="00FB2FFD" w:rsidP="003E2741">
      <w:pPr>
        <w:spacing w:line="360" w:lineRule="auto"/>
        <w:jc w:val="both"/>
        <w:rPr>
          <w:rFonts w:cstheme="minorHAnsi"/>
        </w:rPr>
      </w:pPr>
      <w:r>
        <w:rPr>
          <w:rFonts w:cstheme="minorHAnsi"/>
        </w:rPr>
        <w:t xml:space="preserve">Through conducting this research, it would seem that there is promise in creating a whole school framework of this kind. There is already work being done that is enhancing the awareness that pupils have of the environment and sustainability which is respectable; and there are also areas that have been identified as having the ability to incorporate more information on environmental education. This alone would likely have an impact on pupils learning. However, developing this study further by incorporating staff input into where more environmental information can be included, and also developing guidance for staff through training sessions or further detail in the framework on how to deliver environmental education will further strengthen this framework. Therefore, based on the results, it would be agreeable to use these findings as a basis for environmental sustainability being taught as a </w:t>
      </w:r>
      <w:r>
        <w:rPr>
          <w:rFonts w:cstheme="minorHAnsi"/>
        </w:rPr>
        <w:lastRenderedPageBreak/>
        <w:t>cross curricular subject, and use it as a starting point to build a detailed framework that will cover the whole school curriculum.</w:t>
      </w:r>
      <w:r w:rsidR="00F0536F">
        <w:rPr>
          <w:rFonts w:cstheme="minorHAnsi"/>
        </w:rPr>
        <w:br w:type="page"/>
      </w:r>
    </w:p>
    <w:p w14:paraId="5660C24C" w14:textId="3DD39F14" w:rsidR="00F0536F" w:rsidRPr="00FB2FFD" w:rsidRDefault="001A1C9F" w:rsidP="00FB2FFD">
      <w:pPr>
        <w:pStyle w:val="Heading1"/>
      </w:pPr>
      <w:bookmarkStart w:id="21" w:name="_Toc131682246"/>
      <w:r>
        <w:lastRenderedPageBreak/>
        <w:t xml:space="preserve">5.0 </w:t>
      </w:r>
      <w:r w:rsidR="00B120A2">
        <w:t xml:space="preserve">Chapter 5: </w:t>
      </w:r>
      <w:r w:rsidR="00F0536F" w:rsidRPr="00FB2FFD">
        <w:t>Evaluation and Next Steps</w:t>
      </w:r>
      <w:bookmarkEnd w:id="21"/>
    </w:p>
    <w:p w14:paraId="590ABAAB" w14:textId="77777777" w:rsidR="00F0536F" w:rsidRDefault="00F0536F" w:rsidP="00F0536F">
      <w:pPr>
        <w:spacing w:line="360" w:lineRule="auto"/>
        <w:jc w:val="both"/>
        <w:rPr>
          <w:rFonts w:cstheme="minorHAnsi"/>
        </w:rPr>
      </w:pPr>
    </w:p>
    <w:p w14:paraId="0BA822E4" w14:textId="0A0293BC" w:rsidR="00F0536F" w:rsidRDefault="00F0536F" w:rsidP="00F0536F">
      <w:pPr>
        <w:spacing w:line="360" w:lineRule="auto"/>
        <w:jc w:val="both"/>
        <w:rPr>
          <w:rFonts w:cstheme="minorHAnsi"/>
        </w:rPr>
      </w:pPr>
      <w:r>
        <w:rPr>
          <w:rFonts w:cstheme="minorHAnsi"/>
        </w:rPr>
        <w:t>The framework that has been produced does not reflect a whole school approach</w:t>
      </w:r>
      <w:r w:rsidR="003E2741">
        <w:rPr>
          <w:rFonts w:cstheme="minorHAnsi"/>
        </w:rPr>
        <w:t>, given that not all Heads of Faculty shared schemes of work for the review</w:t>
      </w:r>
      <w:r>
        <w:rPr>
          <w:rFonts w:cstheme="minorHAnsi"/>
        </w:rPr>
        <w:t xml:space="preserve">. Therefore, the framework </w:t>
      </w:r>
      <w:r w:rsidR="003E2741">
        <w:rPr>
          <w:rFonts w:cstheme="minorHAnsi"/>
        </w:rPr>
        <w:t xml:space="preserve">produced in this study </w:t>
      </w:r>
      <w:r>
        <w:rPr>
          <w:rFonts w:cstheme="minorHAnsi"/>
        </w:rPr>
        <w:t xml:space="preserve">would not be effective at embedding sustainability and environmental education across the curriculum as a whole, and so would not create the same benefits as one that did have a place in each subject area. </w:t>
      </w:r>
      <w:r w:rsidRPr="00D274F7">
        <w:rPr>
          <w:rFonts w:cstheme="minorHAnsi"/>
        </w:rPr>
        <w:t>Along with the recognised benefits of embedding sustainability across the curriculum, come concerns with the standard of teaching, with some scholars stating that the actual teaching of sustainability is the primary challenge (Sherman and Burns 2015; Leal Filho and Pace 2016)</w:t>
      </w:r>
      <w:r>
        <w:rPr>
          <w:rFonts w:cstheme="minorHAnsi"/>
        </w:rPr>
        <w:t xml:space="preserve">. </w:t>
      </w:r>
      <w:r w:rsidRPr="00D274F7">
        <w:rPr>
          <w:rFonts w:cstheme="minorHAnsi"/>
        </w:rPr>
        <w:t xml:space="preserve"> It would therefore seem appropriate to put forward this project of creating a framework for secondary schools to </w:t>
      </w:r>
      <w:r>
        <w:rPr>
          <w:rFonts w:cstheme="minorHAnsi"/>
        </w:rPr>
        <w:t xml:space="preserve">also </w:t>
      </w:r>
      <w:r w:rsidRPr="00D274F7">
        <w:rPr>
          <w:rFonts w:cstheme="minorHAnsi"/>
        </w:rPr>
        <w:t xml:space="preserve">facilitate the effective teaching of sustainability across the curriculum. </w:t>
      </w:r>
    </w:p>
    <w:p w14:paraId="4C4F4677" w14:textId="77777777" w:rsidR="00F0536F" w:rsidRDefault="00F0536F" w:rsidP="00F0536F">
      <w:pPr>
        <w:spacing w:line="360" w:lineRule="auto"/>
        <w:jc w:val="both"/>
        <w:rPr>
          <w:rFonts w:cstheme="minorHAnsi"/>
        </w:rPr>
      </w:pPr>
    </w:p>
    <w:p w14:paraId="184F2191" w14:textId="517BFDF6" w:rsidR="00F0536F" w:rsidRDefault="00F0536F" w:rsidP="00F0536F">
      <w:pPr>
        <w:spacing w:line="360" w:lineRule="auto"/>
        <w:jc w:val="both"/>
        <w:rPr>
          <w:rFonts w:cstheme="minorHAnsi"/>
        </w:rPr>
      </w:pPr>
      <w:r>
        <w:rPr>
          <w:rFonts w:cstheme="minorHAnsi"/>
        </w:rPr>
        <w:t xml:space="preserve">Once schemes of work had been reviewed and analysed for their environmental content, it was clear that this study could only go some way in creating a framework to support a whole school initiative. One issue that was identified is the need for subject specialist knowledge alongside knowledge of environmental sustainability. Having in-depth knowledge of a subject area should enable a teacher to identify areas where environmental education could reasonably be added in, without the need for tenuous links. This co-production of the framework would almost certainly make the content more </w:t>
      </w:r>
      <w:r w:rsidR="002C2EEC">
        <w:rPr>
          <w:rFonts w:cstheme="minorHAnsi"/>
        </w:rPr>
        <w:t>feasible and</w:t>
      </w:r>
      <w:r>
        <w:rPr>
          <w:rFonts w:cstheme="minorHAnsi"/>
        </w:rPr>
        <w:t xml:space="preserve"> would also likely increase staff enthusiasm for the framework.</w:t>
      </w:r>
    </w:p>
    <w:p w14:paraId="1CCABA49" w14:textId="285935EC" w:rsidR="00D57BA6" w:rsidRDefault="00D57BA6" w:rsidP="00F0536F">
      <w:pPr>
        <w:spacing w:line="360" w:lineRule="auto"/>
        <w:jc w:val="both"/>
        <w:rPr>
          <w:rFonts w:cstheme="minorHAnsi"/>
        </w:rPr>
      </w:pPr>
    </w:p>
    <w:p w14:paraId="36B7CB33" w14:textId="77777777" w:rsidR="00D57BA6" w:rsidRPr="00D274F7" w:rsidRDefault="00D57BA6" w:rsidP="00D57BA6">
      <w:pPr>
        <w:spacing w:line="360" w:lineRule="auto"/>
        <w:jc w:val="both"/>
        <w:rPr>
          <w:rFonts w:cstheme="minorHAnsi"/>
        </w:rPr>
      </w:pPr>
      <w:r w:rsidRPr="00D57BA6">
        <w:rPr>
          <w:rFonts w:cstheme="minorHAnsi"/>
        </w:rPr>
        <w:t>Alongside this, it would also be beneficial to conduct research into the constraints staff feel are currently impacting the delivery of environmental education in the school. Surveys could also be designed to gain an understanding of the beliefs of these groups when considering the importance of environmental education, and how successfully they feel it is currently being delivered. Questions of what improvements are needed could also be posed. Together, this data would then allow the development of a framework to support the delivery of sustainability across the school and offer support and guidance those that need it.</w:t>
      </w:r>
    </w:p>
    <w:p w14:paraId="01766971" w14:textId="77777777" w:rsidR="00D57BA6" w:rsidRDefault="00D57BA6" w:rsidP="00F0536F">
      <w:pPr>
        <w:spacing w:line="360" w:lineRule="auto"/>
        <w:jc w:val="both"/>
        <w:rPr>
          <w:rFonts w:cstheme="minorHAnsi"/>
        </w:rPr>
      </w:pPr>
    </w:p>
    <w:p w14:paraId="2EC78574" w14:textId="77777777" w:rsidR="00F0536F" w:rsidRDefault="00F0536F" w:rsidP="00F0536F">
      <w:pPr>
        <w:spacing w:line="360" w:lineRule="auto"/>
        <w:jc w:val="both"/>
        <w:rPr>
          <w:rFonts w:cstheme="minorHAnsi"/>
        </w:rPr>
      </w:pPr>
    </w:p>
    <w:p w14:paraId="37577B73" w14:textId="77777777" w:rsidR="00F0536F" w:rsidRDefault="00F0536F" w:rsidP="00F0536F">
      <w:pPr>
        <w:spacing w:line="360" w:lineRule="auto"/>
        <w:jc w:val="both"/>
        <w:rPr>
          <w:rFonts w:cstheme="minorHAnsi"/>
        </w:rPr>
      </w:pPr>
      <w:r>
        <w:rPr>
          <w:rFonts w:cstheme="minorHAnsi"/>
        </w:rPr>
        <w:lastRenderedPageBreak/>
        <w:t xml:space="preserve">There are also decisions to be made around what environmental information could be left out. That is to say, what information is of lesser importance at this stage in a pupil’s life? Again, it is likely that these decisions would be best made as a team or working group so that a number of inputs and opinions can be taken into consideration. Environmental sustainability is also an ever changing topic and so the framework should reflect this and should be regularly reviewed and adapted to ensure the information it is delivering to pupils is current. </w:t>
      </w:r>
    </w:p>
    <w:p w14:paraId="3227A91E" w14:textId="77777777" w:rsidR="00F0536F" w:rsidRDefault="00F0536F" w:rsidP="00F0536F">
      <w:pPr>
        <w:spacing w:line="360" w:lineRule="auto"/>
        <w:jc w:val="both"/>
        <w:rPr>
          <w:rFonts w:cstheme="minorHAnsi"/>
        </w:rPr>
      </w:pPr>
    </w:p>
    <w:p w14:paraId="368FC289" w14:textId="77777777" w:rsidR="00F0536F" w:rsidRDefault="00F0536F" w:rsidP="00F0536F">
      <w:pPr>
        <w:spacing w:line="360" w:lineRule="auto"/>
        <w:jc w:val="both"/>
        <w:rPr>
          <w:rFonts w:cstheme="minorHAnsi"/>
        </w:rPr>
      </w:pPr>
      <w:r>
        <w:rPr>
          <w:rFonts w:cstheme="minorHAnsi"/>
        </w:rPr>
        <w:t>Furthermore, it will also be imperative to ensure that pupils are learning and benefitting from the delivery of the content. How this will be measured is yet to be determined. There seems to be a lack of literature to support the best teaching methods to employ when embedding a cross-curricular theme. Moreover, there is also a lack of studies illustrating how best to assess pupils’ knowledge of cross-curricular themes. Would it be enough to collect a body of evidence of what has been delivered and hope it has made a difference? Or should there be a more formal approach. Again, it is likely the best approach to answering these questions would be to get a number of opinions from staff, senior leaders and other stakeholders in the process.</w:t>
      </w:r>
    </w:p>
    <w:p w14:paraId="4426C50E" w14:textId="77777777" w:rsidR="00F0536F" w:rsidRDefault="00F0536F" w:rsidP="00F0536F">
      <w:pPr>
        <w:spacing w:line="360" w:lineRule="auto"/>
        <w:jc w:val="both"/>
        <w:rPr>
          <w:rFonts w:cstheme="minorHAnsi"/>
        </w:rPr>
      </w:pPr>
    </w:p>
    <w:p w14:paraId="1E628846" w14:textId="77777777" w:rsidR="00F0536F" w:rsidRDefault="00F0536F" w:rsidP="00F0536F">
      <w:pPr>
        <w:spacing w:line="360" w:lineRule="auto"/>
        <w:jc w:val="both"/>
        <w:rPr>
          <w:rFonts w:cstheme="minorHAnsi"/>
        </w:rPr>
      </w:pPr>
      <w:r>
        <w:rPr>
          <w:rFonts w:cstheme="minorHAnsi"/>
        </w:rPr>
        <w:t>It could be suggested that this initial study and the framework it has produced could be used as a baseline starting point to raise an awareness amongst staff and senior leaders of how much environmental education is being delivered across the school currently. Staff would also be able to gain more of an understanding of how topics are broken down, and of the finer details being covered in lessons which might link to their subject area. For example, in the Extreme Weather scheme of work, one particular lesson looks at creating pie charts from data on tornadoes, and in the graph drawing lessons in Mathematics, data is used on temperatures and sea levels. It could therefore be possible to make stronger links between the two lessons and use similar data in both subjects to illustrate to pupils how interconnected the two topics are. This would also raise awareness of the importance of environmental education, as the pupils would be receiving this information from different members of staff, using different teaching techniques, and therefore would possibly reach more pupils. Similarly, there are links between the Art topic where they look at the image of Greta Thunberg and the melting glacier ice. This also directly links to rising sea levels, which are used for plotting graphs in Mathematics. These links could be strengthened by this framework.</w:t>
      </w:r>
    </w:p>
    <w:p w14:paraId="4512A545" w14:textId="77777777" w:rsidR="00F0536F" w:rsidRDefault="00F0536F" w:rsidP="00F0536F">
      <w:pPr>
        <w:spacing w:line="360" w:lineRule="auto"/>
        <w:jc w:val="both"/>
        <w:rPr>
          <w:rFonts w:cstheme="minorHAnsi"/>
        </w:rPr>
      </w:pPr>
    </w:p>
    <w:p w14:paraId="775B189C" w14:textId="77777777" w:rsidR="00F0536F" w:rsidRDefault="00F0536F" w:rsidP="00F0536F">
      <w:pPr>
        <w:spacing w:line="360" w:lineRule="auto"/>
        <w:jc w:val="both"/>
        <w:rPr>
          <w:rFonts w:cstheme="minorHAnsi"/>
        </w:rPr>
      </w:pPr>
      <w:r>
        <w:rPr>
          <w:rFonts w:cstheme="minorHAnsi"/>
        </w:rPr>
        <w:t xml:space="preserve">An important step to consider before implementation of the framework will be to consult with subject specialists. </w:t>
      </w:r>
      <w:r w:rsidRPr="00C05B7E">
        <w:rPr>
          <w:rFonts w:cstheme="minorHAnsi"/>
        </w:rPr>
        <w:t xml:space="preserve">History is an interesting </w:t>
      </w:r>
      <w:r>
        <w:rPr>
          <w:rFonts w:cstheme="minorHAnsi"/>
        </w:rPr>
        <w:t>topic to consider in this context</w:t>
      </w:r>
      <w:r w:rsidRPr="00C05B7E">
        <w:rPr>
          <w:rFonts w:cstheme="minorHAnsi"/>
        </w:rPr>
        <w:t xml:space="preserve"> – how do we add  information about current problems with the environment and sustainability to topics from the past</w:t>
      </w:r>
      <w:r>
        <w:rPr>
          <w:rFonts w:cstheme="minorHAnsi"/>
        </w:rPr>
        <w:t>?</w:t>
      </w:r>
      <w:r w:rsidRPr="00C05B7E">
        <w:rPr>
          <w:rFonts w:cstheme="minorHAnsi"/>
        </w:rPr>
        <w:t xml:space="preserve"> Would a simple mention</w:t>
      </w:r>
      <w:r>
        <w:rPr>
          <w:rFonts w:cstheme="minorHAnsi"/>
        </w:rPr>
        <w:t xml:space="preserve"> or </w:t>
      </w:r>
      <w:r w:rsidRPr="00C05B7E">
        <w:rPr>
          <w:rFonts w:cstheme="minorHAnsi"/>
        </w:rPr>
        <w:t>comparison be enough to keep sustainability in the forefront of pupils’ minds?</w:t>
      </w:r>
      <w:r>
        <w:rPr>
          <w:rFonts w:cstheme="minorHAnsi"/>
        </w:rPr>
        <w:t xml:space="preserve"> Or would more need to be done? It is v</w:t>
      </w:r>
      <w:r w:rsidRPr="00C05B7E">
        <w:rPr>
          <w:rFonts w:cstheme="minorHAnsi"/>
        </w:rPr>
        <w:t xml:space="preserve">ery hard to identify plausible places for </w:t>
      </w:r>
      <w:r>
        <w:rPr>
          <w:rFonts w:cstheme="minorHAnsi"/>
        </w:rPr>
        <w:t>environmental sustainability</w:t>
      </w:r>
      <w:r w:rsidRPr="00C05B7E">
        <w:rPr>
          <w:rFonts w:cstheme="minorHAnsi"/>
        </w:rPr>
        <w:t xml:space="preserve"> to be included as a non-specialist</w:t>
      </w:r>
      <w:r>
        <w:rPr>
          <w:rFonts w:cstheme="minorHAnsi"/>
        </w:rPr>
        <w:t xml:space="preserve"> of subjects such as History, Mathematics and Art</w:t>
      </w:r>
      <w:r w:rsidRPr="00C05B7E">
        <w:rPr>
          <w:rFonts w:cstheme="minorHAnsi"/>
        </w:rPr>
        <w:t xml:space="preserve">. </w:t>
      </w:r>
      <w:r>
        <w:rPr>
          <w:rFonts w:cstheme="minorHAnsi"/>
        </w:rPr>
        <w:t>It w</w:t>
      </w:r>
      <w:r w:rsidRPr="00C05B7E">
        <w:rPr>
          <w:rFonts w:cstheme="minorHAnsi"/>
        </w:rPr>
        <w:t>ould definitely need the input of subject specialists.</w:t>
      </w:r>
      <w:r>
        <w:rPr>
          <w:rFonts w:cstheme="minorHAnsi"/>
        </w:rPr>
        <w:t xml:space="preserve"> From a review of the schemes of work, there are l</w:t>
      </w:r>
      <w:r w:rsidRPr="00C05B7E">
        <w:rPr>
          <w:rFonts w:cstheme="minorHAnsi"/>
        </w:rPr>
        <w:t>ots of enhancements possible</w:t>
      </w:r>
      <w:r>
        <w:rPr>
          <w:rFonts w:cstheme="minorHAnsi"/>
        </w:rPr>
        <w:t>,</w:t>
      </w:r>
      <w:r w:rsidRPr="00C05B7E">
        <w:rPr>
          <w:rFonts w:cstheme="minorHAnsi"/>
        </w:rPr>
        <w:t xml:space="preserve"> but</w:t>
      </w:r>
      <w:r>
        <w:rPr>
          <w:rFonts w:cstheme="minorHAnsi"/>
        </w:rPr>
        <w:t xml:space="preserve"> it</w:t>
      </w:r>
      <w:r w:rsidRPr="00C05B7E">
        <w:rPr>
          <w:rFonts w:cstheme="minorHAnsi"/>
        </w:rPr>
        <w:t xml:space="preserve"> would also need some context from the teachers </w:t>
      </w:r>
      <w:r>
        <w:rPr>
          <w:rFonts w:cstheme="minorHAnsi"/>
        </w:rPr>
        <w:t xml:space="preserve">of those subjects </w:t>
      </w:r>
      <w:r w:rsidRPr="00C05B7E">
        <w:rPr>
          <w:rFonts w:cstheme="minorHAnsi"/>
        </w:rPr>
        <w:t xml:space="preserve">to make sure </w:t>
      </w:r>
      <w:r>
        <w:rPr>
          <w:rFonts w:cstheme="minorHAnsi"/>
        </w:rPr>
        <w:t>the information is</w:t>
      </w:r>
      <w:r w:rsidRPr="00C05B7E">
        <w:rPr>
          <w:rFonts w:cstheme="minorHAnsi"/>
        </w:rPr>
        <w:t xml:space="preserve"> not just </w:t>
      </w:r>
      <w:r>
        <w:rPr>
          <w:rFonts w:cstheme="minorHAnsi"/>
        </w:rPr>
        <w:t xml:space="preserve">considered as </w:t>
      </w:r>
      <w:r w:rsidRPr="00C05B7E">
        <w:rPr>
          <w:rFonts w:cstheme="minorHAnsi"/>
        </w:rPr>
        <w:t xml:space="preserve">‘bolt-on’ activities or environmental examples for the sake on including environmental examples. </w:t>
      </w:r>
    </w:p>
    <w:p w14:paraId="7CCC22FC" w14:textId="77777777" w:rsidR="00F0536F" w:rsidRDefault="00F0536F" w:rsidP="00F0536F">
      <w:pPr>
        <w:spacing w:line="360" w:lineRule="auto"/>
        <w:jc w:val="both"/>
        <w:rPr>
          <w:rFonts w:cstheme="minorHAnsi"/>
        </w:rPr>
      </w:pPr>
    </w:p>
    <w:p w14:paraId="3E6729BD" w14:textId="77777777" w:rsidR="00F0536F" w:rsidRDefault="00F0536F" w:rsidP="00F0536F">
      <w:pPr>
        <w:spacing w:line="360" w:lineRule="auto"/>
        <w:jc w:val="both"/>
        <w:rPr>
          <w:rFonts w:cstheme="minorHAnsi"/>
        </w:rPr>
      </w:pPr>
      <w:r w:rsidRPr="00D274F7">
        <w:rPr>
          <w:rFonts w:cstheme="minorHAnsi"/>
        </w:rPr>
        <w:t>Schools and teachers have long been encouraged to promote sustainability and include it in as many aspects of school life as possible. Unfortunately, pedagogical efforts have not been as widely developed (Michel, 2022). Little discernible effort has yet been made to provide teachers with the professional development and pedagogical tools needed to teach sustainability across subjects (Sherman and Burns, 2015; Leicht</w:t>
      </w:r>
      <w:r>
        <w:rPr>
          <w:rFonts w:cstheme="minorHAnsi"/>
        </w:rPr>
        <w:t xml:space="preserve"> </w:t>
      </w:r>
      <w:r w:rsidRPr="001F32C9">
        <w:rPr>
          <w:rFonts w:cstheme="minorHAnsi"/>
          <w:i/>
          <w:iCs/>
        </w:rPr>
        <w:t>et al.,</w:t>
      </w:r>
      <w:r>
        <w:rPr>
          <w:rFonts w:cstheme="minorHAnsi"/>
        </w:rPr>
        <w:t xml:space="preserve"> </w:t>
      </w:r>
      <w:r w:rsidRPr="00D274F7">
        <w:rPr>
          <w:rFonts w:cstheme="minorHAnsi"/>
        </w:rPr>
        <w:t>2018)</w:t>
      </w:r>
      <w:r>
        <w:rPr>
          <w:rFonts w:cstheme="minorHAnsi"/>
        </w:rPr>
        <w:t>.</w:t>
      </w:r>
      <w:r w:rsidRPr="00D274F7">
        <w:rPr>
          <w:rFonts w:cstheme="minorHAnsi"/>
        </w:rPr>
        <w:t xml:space="preserve"> These limited efforts create barriers for effective teaching of sustainability concepts, and many of these barriers stem from insufficient understanding of sustainability, ongoing indifference about sustainability, and ignorance regarding its teaching (Michel, 2022). Prior research into education for sustainability has found that many teachers struggle with incorporating the theme into their traditional subject areas (Reid and Petocz 2006; Borg </w:t>
      </w:r>
      <w:r w:rsidRPr="00D274F7">
        <w:rPr>
          <w:rFonts w:cstheme="minorHAnsi"/>
          <w:i/>
          <w:iCs/>
        </w:rPr>
        <w:t>et al</w:t>
      </w:r>
      <w:r w:rsidRPr="00D274F7">
        <w:rPr>
          <w:rFonts w:cstheme="minorHAnsi"/>
        </w:rPr>
        <w:t>. 2012)</w:t>
      </w:r>
      <w:r>
        <w:rPr>
          <w:rFonts w:cstheme="minorHAnsi"/>
        </w:rPr>
        <w:t>,</w:t>
      </w:r>
      <w:r w:rsidRPr="00D274F7">
        <w:rPr>
          <w:rFonts w:cstheme="minorHAnsi"/>
        </w:rPr>
        <w:t xml:space="preserve"> thus highlighting the deficiency in expertise to teach the theme and a need for more work in this area. </w:t>
      </w:r>
    </w:p>
    <w:p w14:paraId="16B90BCF" w14:textId="77777777" w:rsidR="00F0536F" w:rsidRDefault="00F0536F" w:rsidP="00F0536F">
      <w:pPr>
        <w:spacing w:line="360" w:lineRule="auto"/>
        <w:jc w:val="both"/>
        <w:rPr>
          <w:rFonts w:cstheme="minorHAnsi"/>
        </w:rPr>
      </w:pPr>
    </w:p>
    <w:p w14:paraId="5406B700" w14:textId="77777777" w:rsidR="00F0536F" w:rsidRPr="00BE1E43" w:rsidRDefault="00F0536F" w:rsidP="00F0536F">
      <w:pPr>
        <w:spacing w:line="360" w:lineRule="auto"/>
        <w:jc w:val="both"/>
      </w:pPr>
      <w:r>
        <w:t xml:space="preserve">Ultimately, no curriculum will be a perfect, finished product cast in stone or free from criticism. However, for it to be effective, it must be largely accepted by all stakeholders: teachers, pupils, senior leaders, parents, school governors and the community at large (‘Guide to Curriculum Development’, 2016, cited in Alsubaie, 2016). The process should be focussed on meeting student needs, and should be ever evolving in-line with the evolving needs of society – it must be a ‘living document that is in constant flux (Alsubaie, 2016). </w:t>
      </w:r>
    </w:p>
    <w:p w14:paraId="20A75AB0" w14:textId="77777777" w:rsidR="00F0536F" w:rsidRDefault="00F0536F" w:rsidP="00F0536F">
      <w:pPr>
        <w:spacing w:line="360" w:lineRule="auto"/>
        <w:jc w:val="both"/>
        <w:rPr>
          <w:rFonts w:cstheme="minorHAnsi"/>
        </w:rPr>
      </w:pPr>
    </w:p>
    <w:p w14:paraId="4F4EC3B0" w14:textId="2A8FE1DE" w:rsidR="00F0536F" w:rsidRDefault="00F0536F" w:rsidP="00F0536F">
      <w:pPr>
        <w:spacing w:line="360" w:lineRule="auto"/>
        <w:jc w:val="both"/>
        <w:rPr>
          <w:rFonts w:cstheme="minorHAnsi"/>
        </w:rPr>
      </w:pPr>
      <w:r>
        <w:rPr>
          <w:rFonts w:cstheme="minorHAnsi"/>
        </w:rPr>
        <w:t xml:space="preserve">Following the implementation of the plan, it will be important to track and measure </w:t>
      </w:r>
      <w:r w:rsidR="00A44FCD">
        <w:rPr>
          <w:rFonts w:cstheme="minorHAnsi"/>
        </w:rPr>
        <w:t>its</w:t>
      </w:r>
      <w:r>
        <w:rPr>
          <w:rFonts w:cstheme="minorHAnsi"/>
        </w:rPr>
        <w:t xml:space="preserve"> effectiveness. It is important to give new initiatives time to be properly implemented before assessing their efficacy (</w:t>
      </w:r>
      <w:r>
        <w:rPr>
          <w:rFonts w:cstheme="minorHAnsi"/>
        </w:rPr>
        <w:t xml:space="preserve">Grigg, 2016). </w:t>
      </w:r>
      <w:r>
        <w:rPr>
          <w:rFonts w:cstheme="minorHAnsi"/>
        </w:rPr>
        <w:t xml:space="preserve"> Therefore, it could be proposed that following the initial implementation of the framework, a plan is drawn up for a monitoring phase over the three to five years post implementation. Over this time, it would be important to regularly get feedback from teachers and pupils on their opinions of how they think it’s going and how effective they think it is. It would also be important to regularly tweak and update the framework to ensure it is up to date with current environmental issues.</w:t>
      </w:r>
    </w:p>
    <w:p w14:paraId="1BB62828" w14:textId="77777777" w:rsidR="00F0536F" w:rsidRDefault="00F0536F" w:rsidP="00F0536F">
      <w:pPr>
        <w:spacing w:line="360" w:lineRule="auto"/>
        <w:jc w:val="both"/>
        <w:rPr>
          <w:rFonts w:cstheme="minorHAnsi"/>
        </w:rPr>
      </w:pPr>
    </w:p>
    <w:p w14:paraId="362F4B9E" w14:textId="77777777" w:rsidR="00F0536F" w:rsidRPr="00D274F7" w:rsidRDefault="00F0536F" w:rsidP="00F0536F">
      <w:pPr>
        <w:spacing w:line="360" w:lineRule="auto"/>
        <w:jc w:val="both"/>
        <w:rPr>
          <w:rFonts w:cstheme="minorHAnsi"/>
        </w:rPr>
      </w:pPr>
      <w:r>
        <w:rPr>
          <w:rFonts w:cstheme="minorHAnsi"/>
        </w:rPr>
        <w:t>Professional development of teachers is an important factor contributing to the success of curriculum development and implementation (Handler, 2010). If teachers are to be involved in the steps needed to develop a curriculum, they should be provided with appropriate knowledge and skills training in order to help them effectively contribute to the process (Alsubaie, 2016). As a result, staff should receive training and workshops which are geared toward professional development, to aid them in contributing to curriculum development (Alsubaie, 2016). Once the framework has been agreed by Senior Leaders in the school, and a questionnaire has been completed by staff to determine  starting point, it will then be possible to design training sessions. These sessions will be designed based on any shortcomings in staff knowledge and understanding, identified by the questionnaire. It would also be useful to set up ‘drop-in’ sessions where staff could come along with ideas or questions they might have about implementing environment education into their lessons and schemes of work.</w:t>
      </w:r>
    </w:p>
    <w:p w14:paraId="4F74B202" w14:textId="77777777" w:rsidR="00F0536F" w:rsidRDefault="00F0536F" w:rsidP="00F0536F">
      <w:pPr>
        <w:spacing w:line="360" w:lineRule="auto"/>
        <w:jc w:val="both"/>
      </w:pPr>
    </w:p>
    <w:p w14:paraId="4ADDC6C0" w14:textId="77777777" w:rsidR="00F0536F" w:rsidRDefault="00F0536F" w:rsidP="00F0536F">
      <w:pPr>
        <w:spacing w:line="360" w:lineRule="auto"/>
        <w:jc w:val="both"/>
        <w:rPr>
          <w:rFonts w:cstheme="minorHAnsi"/>
        </w:rPr>
      </w:pPr>
      <w:r>
        <w:t>Many of the elements of the CFW indicate a will to instil in pupils a competence for action in developing a socially just and sustainable society (</w:t>
      </w:r>
      <w:r>
        <w:rPr>
          <w:rFonts w:cstheme="minorHAnsi"/>
        </w:rPr>
        <w:t xml:space="preserve">Weicht and </w:t>
      </w:r>
      <w:r w:rsidRPr="003E10AD">
        <w:rPr>
          <w:rFonts w:cstheme="minorHAnsi"/>
        </w:rPr>
        <w:t>Jónsdóttir,</w:t>
      </w:r>
      <w:r>
        <w:rPr>
          <w:rFonts w:cstheme="minorHAnsi"/>
        </w:rPr>
        <w:t xml:space="preserve"> 2021). It has been designed to encourage engagement with important issues facing humanity, such as sustainability and social change, and to develop the skills required to do so (Weicht and </w:t>
      </w:r>
      <w:r w:rsidRPr="003E10AD">
        <w:rPr>
          <w:rFonts w:cstheme="minorHAnsi"/>
        </w:rPr>
        <w:t>Jónsdóttir,</w:t>
      </w:r>
      <w:r>
        <w:rPr>
          <w:rFonts w:cstheme="minorHAnsi"/>
        </w:rPr>
        <w:t xml:space="preserve"> 2021). Surveys undertaken in the past designed to gauge staff feelings towards new initiatives and new curriculum implementation (notably, Grigg, 2016) have identified that staff often feel like the introduction of such initiatives are “box ticking activities” or “form filling tasks”. For this framework to remain viable and become successful, it will be imperative to gain the opinions of staff on how to implement and maintain the running of the framework. </w:t>
      </w:r>
      <w:r>
        <w:rPr>
          <w:rFonts w:cstheme="minorHAnsi"/>
        </w:rPr>
        <w:lastRenderedPageBreak/>
        <w:t>Staff will need to accept and value the work the framework aims to do for it to be implemented in such a way that enhances the new CFW.</w:t>
      </w:r>
    </w:p>
    <w:p w14:paraId="391E8D4A" w14:textId="77777777" w:rsidR="00F0536F" w:rsidRDefault="00F0536F" w:rsidP="00F0536F">
      <w:pPr>
        <w:spacing w:line="360" w:lineRule="auto"/>
        <w:jc w:val="both"/>
        <w:rPr>
          <w:rFonts w:cstheme="minorHAnsi"/>
        </w:rPr>
      </w:pPr>
    </w:p>
    <w:p w14:paraId="641F2C0B" w14:textId="77777777" w:rsidR="00F0536F" w:rsidRDefault="00F0536F" w:rsidP="00F0536F">
      <w:pPr>
        <w:spacing w:line="360" w:lineRule="auto"/>
        <w:jc w:val="both"/>
        <w:rPr>
          <w:rFonts w:cstheme="minorHAnsi"/>
        </w:rPr>
      </w:pPr>
      <w:r>
        <w:rPr>
          <w:rFonts w:cstheme="minorHAnsi"/>
        </w:rPr>
        <w:t>Although teachers and learning providers across Wales agree that changes are needed to address the shortcomings identified in the Welsh curriculum, most commentators also agree that between five and ten years are needed for any educational reform to work (Grigg, 2016). Short-term political gain means that few policies are evaluated for their effectiveness, and there is often little follow up even when policies are adopted with only 1 in 10 policies assessed for their impact (OECD, 2015). One particular challenge that has been identified in sustaining reforms is a change in leadership (Fullan, 2001, cited in Grigg, 2016). This information suggests that any framework that is being implemented would need time to be tried and tested for its success and suitability over time. The research presented is referring to whole curriculum reform, which is a much larger operation than the framework that this study is proposing. However, the sentiment of giving it enough time to be embedded before reviewing its success or making changes would still be an important consideration to make.</w:t>
      </w:r>
    </w:p>
    <w:p w14:paraId="1AE98BDF" w14:textId="77777777" w:rsidR="00F0536F" w:rsidRDefault="00F0536F" w:rsidP="00F0536F">
      <w:pPr>
        <w:spacing w:line="360" w:lineRule="auto"/>
        <w:jc w:val="both"/>
        <w:rPr>
          <w:rFonts w:cstheme="minorHAnsi"/>
        </w:rPr>
      </w:pPr>
    </w:p>
    <w:p w14:paraId="0CA7B6BE" w14:textId="77777777" w:rsidR="00F0536F" w:rsidRDefault="00F0536F" w:rsidP="00F0536F">
      <w:pPr>
        <w:spacing w:line="360" w:lineRule="auto"/>
        <w:jc w:val="both"/>
        <w:rPr>
          <w:rFonts w:cstheme="minorHAnsi"/>
        </w:rPr>
      </w:pPr>
      <w:r>
        <w:rPr>
          <w:rFonts w:cstheme="minorHAnsi"/>
        </w:rPr>
        <w:t>Cotton (2006) argues that even if it were possible to identify an agreed set of desirable environmental attitudes and knowledge that pupils should develop, there is no clear guidance from official bodies (notably the NCC at the time of Cotton’s study) on how teachers should promote such attitudes, while at the same time encouraging their students to develop “independence of thought”. This is a possible future line of enquiry for this study. Working with staff in the school though surveys and working groups to develop pedagogical ideas on how to deliver the set of desirable environmental attitudes through the curriculum, whilst also developing pupils’ individual critical thinking skills.</w:t>
      </w:r>
    </w:p>
    <w:p w14:paraId="191A4A80" w14:textId="77777777" w:rsidR="00F0536F" w:rsidRDefault="00F0536F" w:rsidP="00F0536F">
      <w:pPr>
        <w:spacing w:line="360" w:lineRule="auto"/>
        <w:jc w:val="both"/>
        <w:rPr>
          <w:rFonts w:cstheme="minorHAnsi"/>
        </w:rPr>
      </w:pPr>
    </w:p>
    <w:p w14:paraId="20A8E22D" w14:textId="77777777" w:rsidR="00F0536F" w:rsidRDefault="00F0536F" w:rsidP="00F0536F">
      <w:pPr>
        <w:spacing w:line="360" w:lineRule="auto"/>
        <w:jc w:val="both"/>
        <w:rPr>
          <w:rFonts w:cstheme="minorHAnsi"/>
        </w:rPr>
      </w:pPr>
      <w:r>
        <w:rPr>
          <w:rFonts w:cstheme="minorHAnsi"/>
        </w:rPr>
        <w:t xml:space="preserve">Neumann (2014) claims that good teachers support pupils in connecting their prior knowledge with the new core ideas of the course. This will be important to consider when developing the framework for its continuation through the school. This proposal is to first implement the framework with years 7 and 8. Once this has been done and is running across the school, the framework will be further developed for the topics that should be included at key stage 4 (years 9, 10 and 11). The key ideas and core themes should build upon what has already been covered in key stage 3. This follows the ‘progression step’ idea of assessment set out in the </w:t>
      </w:r>
      <w:r>
        <w:rPr>
          <w:rFonts w:cstheme="minorHAnsi"/>
        </w:rPr>
        <w:lastRenderedPageBreak/>
        <w:t>new CFW. This should be done by looking at what has been delivered, and assessing what pupils understand, and devising content that will deepen their understanding.</w:t>
      </w:r>
    </w:p>
    <w:p w14:paraId="09F98B61" w14:textId="77777777" w:rsidR="00F0536F" w:rsidRDefault="00F0536F" w:rsidP="00F0536F">
      <w:pPr>
        <w:spacing w:line="360" w:lineRule="auto"/>
        <w:jc w:val="both"/>
        <w:rPr>
          <w:rFonts w:cstheme="minorHAnsi"/>
        </w:rPr>
      </w:pPr>
    </w:p>
    <w:p w14:paraId="4564B01A" w14:textId="77777777" w:rsidR="00F0536F" w:rsidRDefault="00F0536F" w:rsidP="00F0536F">
      <w:pPr>
        <w:spacing w:line="360" w:lineRule="auto"/>
        <w:jc w:val="both"/>
      </w:pPr>
      <w:r>
        <w:rPr>
          <w:rFonts w:cstheme="minorHAnsi"/>
        </w:rPr>
        <w:t>One factor to be aware of, which was put forward by Kirsten (2019), is that teaching activities linking to this framework might be seen as trial runs in the short term, and that teachers can adapt the methods in a more meaningful way for their subject areas in the future. Teaching and learning are highly personal activities, and no two teachers or learners are alike (Barnes, 2018). This diversity within and between teachers and pupils needs to be considered when designing and implementing a new initiative. The initial enactment therefore might be susceptible to an “implementation dip” (</w:t>
      </w:r>
      <w:r>
        <w:t xml:space="preserve">Desimone &amp; Stuckey, 2014) where rounds of reinforcement might be needed to make the activity more adapted to teaching in subject areas. It will be important to remember this during  review of this framework in the future. Although it might appear that it is not as effective as hoped, it might just be experiencing this ‘implementation dip’. </w:t>
      </w:r>
    </w:p>
    <w:p w14:paraId="42C4A133" w14:textId="77777777" w:rsidR="00F0536F" w:rsidRDefault="00F0536F" w:rsidP="00F0536F">
      <w:pPr>
        <w:spacing w:line="360" w:lineRule="auto"/>
        <w:jc w:val="both"/>
      </w:pPr>
    </w:p>
    <w:p w14:paraId="0C68ED82" w14:textId="43FB3161" w:rsidR="00F0536F" w:rsidRDefault="00F0536F" w:rsidP="00F0536F">
      <w:pPr>
        <w:spacing w:line="360" w:lineRule="auto"/>
        <w:jc w:val="both"/>
        <w:rPr>
          <w:rFonts w:cstheme="minorHAnsi"/>
        </w:rPr>
      </w:pPr>
      <w:r>
        <w:rPr>
          <w:rFonts w:cstheme="minorHAnsi"/>
        </w:rPr>
        <w:t xml:space="preserve">Finally, there is also </w:t>
      </w:r>
      <w:r w:rsidRPr="00D274F7">
        <w:rPr>
          <w:rFonts w:cstheme="minorHAnsi"/>
        </w:rPr>
        <w:t>the possibility of reaching out to neighbouring schools to gain their opinion of whether the proposed research would be something they would also fin</w:t>
      </w:r>
      <w:r>
        <w:rPr>
          <w:rFonts w:cstheme="minorHAnsi"/>
        </w:rPr>
        <w:t>d</w:t>
      </w:r>
      <w:r w:rsidRPr="00D274F7">
        <w:rPr>
          <w:rFonts w:cstheme="minorHAnsi"/>
        </w:rPr>
        <w:t xml:space="preserve"> beneficial to the teaching of sustainability across their own curriculum.</w:t>
      </w:r>
      <w:r>
        <w:rPr>
          <w:rFonts w:cstheme="minorHAnsi"/>
        </w:rPr>
        <w:t xml:space="preserve"> It would also be interesting to get the opinions of staff in other settings when considering the framework and how it can best be developed, implemented and maintained. It is possible that schools are trialling something similar, and therefore a joint effort might be possible.</w:t>
      </w:r>
    </w:p>
    <w:p w14:paraId="16A230FB" w14:textId="673DBF62" w:rsidR="00D57BA6" w:rsidRDefault="00D57BA6" w:rsidP="00F0536F">
      <w:pPr>
        <w:spacing w:line="360" w:lineRule="auto"/>
        <w:jc w:val="both"/>
        <w:rPr>
          <w:rFonts w:cstheme="minorHAnsi"/>
        </w:rPr>
      </w:pPr>
    </w:p>
    <w:p w14:paraId="46E40744" w14:textId="34F78E6D" w:rsidR="00D57BA6" w:rsidRDefault="00D57BA6" w:rsidP="00F0536F">
      <w:pPr>
        <w:spacing w:line="360" w:lineRule="auto"/>
        <w:jc w:val="both"/>
        <w:rPr>
          <w:rFonts w:cstheme="minorHAnsi"/>
        </w:rPr>
      </w:pPr>
    </w:p>
    <w:p w14:paraId="181FB375" w14:textId="13344A67" w:rsidR="00D57BA6" w:rsidRDefault="00D57BA6" w:rsidP="00F0536F">
      <w:pPr>
        <w:spacing w:line="360" w:lineRule="auto"/>
        <w:jc w:val="both"/>
        <w:rPr>
          <w:rFonts w:cstheme="minorHAnsi"/>
        </w:rPr>
      </w:pPr>
    </w:p>
    <w:p w14:paraId="5816FC0D" w14:textId="04D06621" w:rsidR="00D57BA6" w:rsidRDefault="00D57BA6" w:rsidP="00F0536F">
      <w:pPr>
        <w:spacing w:line="360" w:lineRule="auto"/>
        <w:jc w:val="both"/>
        <w:rPr>
          <w:rFonts w:cstheme="minorHAnsi"/>
        </w:rPr>
      </w:pPr>
    </w:p>
    <w:p w14:paraId="49EAA693" w14:textId="4A054425" w:rsidR="00D57BA6" w:rsidRDefault="00D57BA6" w:rsidP="00F0536F">
      <w:pPr>
        <w:spacing w:line="360" w:lineRule="auto"/>
        <w:jc w:val="both"/>
        <w:rPr>
          <w:rFonts w:cstheme="minorHAnsi"/>
        </w:rPr>
      </w:pPr>
    </w:p>
    <w:p w14:paraId="47142B1D" w14:textId="6BC6D20C" w:rsidR="00D57BA6" w:rsidRDefault="00D57BA6" w:rsidP="00F0536F">
      <w:pPr>
        <w:spacing w:line="360" w:lineRule="auto"/>
        <w:jc w:val="both"/>
        <w:rPr>
          <w:rFonts w:cstheme="minorHAnsi"/>
        </w:rPr>
      </w:pPr>
    </w:p>
    <w:p w14:paraId="45750062" w14:textId="349C8A57" w:rsidR="00D57BA6" w:rsidRDefault="00D57BA6" w:rsidP="00F0536F">
      <w:pPr>
        <w:spacing w:line="360" w:lineRule="auto"/>
        <w:jc w:val="both"/>
        <w:rPr>
          <w:rFonts w:cstheme="minorHAnsi"/>
        </w:rPr>
      </w:pPr>
    </w:p>
    <w:p w14:paraId="7474042B" w14:textId="21D0DA49" w:rsidR="00D57BA6" w:rsidRDefault="00D57BA6" w:rsidP="00F0536F">
      <w:pPr>
        <w:spacing w:line="360" w:lineRule="auto"/>
        <w:jc w:val="both"/>
        <w:rPr>
          <w:rFonts w:cstheme="minorHAnsi"/>
        </w:rPr>
      </w:pPr>
    </w:p>
    <w:p w14:paraId="064D47FA" w14:textId="2BFC377D" w:rsidR="00D57BA6" w:rsidRDefault="00843E11" w:rsidP="00843E11">
      <w:pPr>
        <w:rPr>
          <w:rFonts w:cstheme="minorHAnsi"/>
        </w:rPr>
      </w:pPr>
      <w:r>
        <w:rPr>
          <w:rFonts w:cstheme="minorHAnsi"/>
        </w:rPr>
        <w:br w:type="page"/>
      </w:r>
    </w:p>
    <w:p w14:paraId="65B9AC65" w14:textId="2C86AE8D" w:rsidR="00D57BA6" w:rsidRDefault="00D57BA6" w:rsidP="00D57BA6">
      <w:pPr>
        <w:pStyle w:val="Heading1"/>
      </w:pPr>
      <w:bookmarkStart w:id="22" w:name="_Toc131682247"/>
      <w:r>
        <w:lastRenderedPageBreak/>
        <w:t>6.0 Chapter 6: Conclusion</w:t>
      </w:r>
      <w:bookmarkEnd w:id="22"/>
    </w:p>
    <w:p w14:paraId="45E31DBB" w14:textId="34F865DA" w:rsidR="00D57BA6" w:rsidRDefault="00D57BA6" w:rsidP="00D57BA6"/>
    <w:p w14:paraId="38682AA5" w14:textId="0738963F" w:rsidR="00D57BA6" w:rsidRDefault="00D57BA6" w:rsidP="00D57BA6">
      <w:pPr>
        <w:spacing w:line="360" w:lineRule="auto"/>
        <w:jc w:val="both"/>
      </w:pPr>
      <w:r>
        <w:t>Overall, this study has identified the possibility of increasing the amount of environmental education being delivered across the school. From the review of schemes of work, it has been identified that there are a number of areas where enhancements can be made. It was also realised that for this framework to be successful, it will require the subject expertise from classroom teachers across the school, to ensure that work is enhanced in a meaningful way.</w:t>
      </w:r>
    </w:p>
    <w:p w14:paraId="20E89241" w14:textId="153F9744" w:rsidR="00D57BA6" w:rsidRDefault="00D57BA6" w:rsidP="00D57BA6">
      <w:pPr>
        <w:spacing w:line="360" w:lineRule="auto"/>
        <w:jc w:val="both"/>
      </w:pPr>
    </w:p>
    <w:p w14:paraId="439AC267" w14:textId="6B61FDD3" w:rsidR="00D57BA6" w:rsidRPr="00D57BA6" w:rsidRDefault="00D57BA6" w:rsidP="00D57BA6">
      <w:pPr>
        <w:spacing w:line="360" w:lineRule="auto"/>
        <w:jc w:val="both"/>
      </w:pPr>
      <w:r>
        <w:t xml:space="preserve">Future research should include surveys of staff and pupils to gain an understanding of the current views on the environmental information already being delivered. It is also pertinent to gain an understanding of staff opinions on the subject of environmental education as a whole. These surveys can be used alongside the framework created in this study to start a plan of how to embed the framework in the school and what additional work might be needed to support this. </w:t>
      </w:r>
    </w:p>
    <w:p w14:paraId="2D1B9C7F" w14:textId="77777777" w:rsidR="00560EEA" w:rsidRDefault="00560EEA" w:rsidP="00D57BA6">
      <w:pPr>
        <w:spacing w:line="360" w:lineRule="auto"/>
        <w:jc w:val="both"/>
        <w:rPr>
          <w:rFonts w:cstheme="minorHAnsi"/>
        </w:rPr>
      </w:pPr>
    </w:p>
    <w:p w14:paraId="721B05E0" w14:textId="77777777" w:rsidR="00560EEA" w:rsidRDefault="00560EEA" w:rsidP="00560EEA">
      <w:pPr>
        <w:spacing w:line="360" w:lineRule="auto"/>
        <w:jc w:val="both"/>
      </w:pPr>
    </w:p>
    <w:p w14:paraId="11BD5864" w14:textId="77777777" w:rsidR="00560EEA" w:rsidRDefault="00560EEA" w:rsidP="00560EEA">
      <w:pPr>
        <w:spacing w:line="360" w:lineRule="auto"/>
        <w:jc w:val="both"/>
      </w:pPr>
    </w:p>
    <w:p w14:paraId="5D707563" w14:textId="77777777" w:rsidR="00B120A2" w:rsidRDefault="00B120A2"/>
    <w:p w14:paraId="3EBBC230" w14:textId="77777777" w:rsidR="00B120A2" w:rsidRDefault="00B120A2"/>
    <w:p w14:paraId="0ADD0CFE" w14:textId="77777777" w:rsidR="00B120A2" w:rsidRDefault="00B120A2"/>
    <w:p w14:paraId="31F705EF" w14:textId="77777777" w:rsidR="00B120A2" w:rsidRDefault="00B120A2"/>
    <w:p w14:paraId="071BF84F" w14:textId="77777777" w:rsidR="00B120A2" w:rsidRDefault="00B120A2"/>
    <w:p w14:paraId="5967F6F3" w14:textId="77777777" w:rsidR="00B120A2" w:rsidRDefault="00B120A2"/>
    <w:p w14:paraId="4D803A34" w14:textId="77777777" w:rsidR="00B120A2" w:rsidRDefault="00B120A2"/>
    <w:p w14:paraId="4B6C0205" w14:textId="77777777" w:rsidR="00B120A2" w:rsidRDefault="00B120A2"/>
    <w:p w14:paraId="68CED1C9" w14:textId="77777777" w:rsidR="00B120A2" w:rsidRDefault="00B120A2"/>
    <w:p w14:paraId="46D85D1B" w14:textId="77777777" w:rsidR="00B120A2" w:rsidRDefault="00B120A2"/>
    <w:p w14:paraId="34AB0721" w14:textId="77777777" w:rsidR="00B120A2" w:rsidRDefault="00B120A2"/>
    <w:p w14:paraId="6A83E858" w14:textId="77777777" w:rsidR="00B120A2" w:rsidRDefault="00B120A2"/>
    <w:p w14:paraId="6EA1EEEB" w14:textId="77777777" w:rsidR="00B120A2" w:rsidRDefault="00B120A2"/>
    <w:p w14:paraId="1D494D92" w14:textId="77777777" w:rsidR="00B120A2" w:rsidRDefault="00B120A2"/>
    <w:p w14:paraId="27BB7661" w14:textId="77777777" w:rsidR="00B120A2" w:rsidRDefault="00B120A2"/>
    <w:p w14:paraId="21DB094D" w14:textId="77777777" w:rsidR="00B120A2" w:rsidRDefault="00B120A2"/>
    <w:p w14:paraId="0F4B53ED" w14:textId="77777777" w:rsidR="00B120A2" w:rsidRDefault="00B120A2"/>
    <w:p w14:paraId="2DE8CE56" w14:textId="77777777" w:rsidR="00B120A2" w:rsidRDefault="00B120A2"/>
    <w:p w14:paraId="6168F48B" w14:textId="77777777" w:rsidR="00B120A2" w:rsidRDefault="00B120A2"/>
    <w:p w14:paraId="7C61A022" w14:textId="77777777" w:rsidR="00B120A2" w:rsidRDefault="00B120A2"/>
    <w:p w14:paraId="38B8979D" w14:textId="77777777" w:rsidR="00B120A2" w:rsidRDefault="00B120A2"/>
    <w:p w14:paraId="60FC86CC" w14:textId="3147109E" w:rsidR="00FB2FFD" w:rsidRDefault="00B120A2" w:rsidP="00B120A2">
      <w:pPr>
        <w:pStyle w:val="Footer"/>
        <w:ind w:right="360"/>
      </w:pPr>
      <w:r>
        <w:t>Final word count: 1</w:t>
      </w:r>
      <w:r w:rsidR="00843E11">
        <w:t>4,181</w:t>
      </w:r>
      <w:r w:rsidR="00FB2FFD">
        <w:br w:type="page"/>
      </w:r>
    </w:p>
    <w:p w14:paraId="4171766C" w14:textId="7C60A453" w:rsidR="001E75CE" w:rsidRDefault="00FB2FFD" w:rsidP="001E75CE">
      <w:pPr>
        <w:pStyle w:val="Heading1"/>
      </w:pPr>
      <w:bookmarkStart w:id="23" w:name="_Toc131682248"/>
      <w:r>
        <w:lastRenderedPageBreak/>
        <w:t>References</w:t>
      </w:r>
      <w:bookmarkEnd w:id="23"/>
    </w:p>
    <w:p w14:paraId="7CA0E030" w14:textId="77777777" w:rsidR="001E75CE" w:rsidRDefault="001E75CE" w:rsidP="001E75CE"/>
    <w:p w14:paraId="42C58AE5" w14:textId="28559525" w:rsidR="001E75CE" w:rsidRDefault="001E75CE" w:rsidP="00152CA4">
      <w:r w:rsidRPr="009C592B">
        <w:t>Agyeman, J., R. D. Bullard, and B. Evans, eds. 2003. Just Sustainabilities: Development in an Unequal World. Cambridge MA, UK: MIT Press.</w:t>
      </w:r>
    </w:p>
    <w:p w14:paraId="76477F62" w14:textId="77777777" w:rsidR="00152CA4" w:rsidRDefault="00152CA4" w:rsidP="00152CA4"/>
    <w:p w14:paraId="2F6E5DF7" w14:textId="2FEED5BA" w:rsidR="001E75CE" w:rsidRDefault="001E75CE" w:rsidP="00152CA4">
      <w:r>
        <w:t>Aldrich-Moodie, B. and Kwong, J. (1997) Environmental Education, IEA Studies on the Environment, No. 9 (London: The Institute of Economic Affairs).</w:t>
      </w:r>
    </w:p>
    <w:p w14:paraId="788A159C" w14:textId="77777777" w:rsidR="00152CA4" w:rsidRDefault="00152CA4" w:rsidP="00152CA4"/>
    <w:p w14:paraId="3817A05A" w14:textId="646C0817" w:rsidR="001E75CE" w:rsidRDefault="001E75CE" w:rsidP="00152CA4">
      <w:r>
        <w:t xml:space="preserve">Allen, C. D., &amp; Penuel, W. R. (2015). Studying teachers’ sensemaking to investigate teachers’ responses to professional development focused on new standards. Journal of Teacher Education, 66(2), 136–149. </w:t>
      </w:r>
      <w:hyperlink r:id="rId13" w:history="1">
        <w:r w:rsidRPr="005D606F">
          <w:rPr>
            <w:rStyle w:val="Hyperlink"/>
          </w:rPr>
          <w:t>https://doi.org/10.1177/0022487114560646</w:t>
        </w:r>
      </w:hyperlink>
    </w:p>
    <w:p w14:paraId="1F7F5577" w14:textId="77777777" w:rsidR="00152CA4" w:rsidRDefault="00152CA4" w:rsidP="00152CA4"/>
    <w:p w14:paraId="7D6F6B71" w14:textId="77777777" w:rsidR="001E75CE" w:rsidRDefault="001E75CE" w:rsidP="00152CA4">
      <w:r w:rsidRPr="009C592B">
        <w:t>Allen, M. R., P. A. Stott, J. F. Mitchell, R. Schnur, and T. L. Delworth. 2000. “Quantifying the Uncertainty in Forecasts of Anthropogenic Climate Change.” Nature 407 (6804): 617–620.</w:t>
      </w:r>
    </w:p>
    <w:p w14:paraId="3679CA95" w14:textId="72FE7A6A" w:rsidR="001E75CE" w:rsidRDefault="001E75CE" w:rsidP="00152CA4">
      <w:r w:rsidRPr="00016561">
        <w:t>Australian Curriculum, Assessment and Reporting Authority (ACARA). (2010) The shape of the Australian Curriculum.</w:t>
      </w:r>
    </w:p>
    <w:p w14:paraId="27AB1997" w14:textId="77777777" w:rsidR="00152CA4" w:rsidRDefault="00152CA4" w:rsidP="00152CA4"/>
    <w:p w14:paraId="795D8BC5" w14:textId="014BA4BD" w:rsidR="001E75CE" w:rsidRDefault="001E75CE" w:rsidP="00152CA4">
      <w:r w:rsidRPr="00CE3078">
        <w:t>Bailey, P. 1974. Teaching Geography, Newton Abbott, , UK: David &amp; Charles.</w:t>
      </w:r>
    </w:p>
    <w:p w14:paraId="4DFB9903" w14:textId="77777777" w:rsidR="00152CA4" w:rsidRDefault="00152CA4" w:rsidP="00152CA4"/>
    <w:p w14:paraId="14C7F603" w14:textId="6A016AAD" w:rsidR="001E75CE" w:rsidRDefault="001E75CE" w:rsidP="00152CA4">
      <w:r>
        <w:t>Ballantyne, R. (1999) Teaching environmental concepts, attitudes and behaviour through geography education: findings of an international survey. International Research in Geographical and Environmental Education, 8(1), 40–55.</w:t>
      </w:r>
    </w:p>
    <w:p w14:paraId="53667139" w14:textId="77777777" w:rsidR="00152CA4" w:rsidRDefault="00152CA4" w:rsidP="00152CA4"/>
    <w:p w14:paraId="563584DD" w14:textId="1C1273A6" w:rsidR="001E75CE" w:rsidRDefault="001E75CE" w:rsidP="00152CA4">
      <w:r w:rsidRPr="00444D3C">
        <w:t xml:space="preserve">Barnes, J. (2018). Applying Cross-Curricular Approaches Creatively (1st ed.). Routledge. </w:t>
      </w:r>
      <w:hyperlink r:id="rId14" w:history="1">
        <w:r w:rsidRPr="00444D3C">
          <w:rPr>
            <w:rStyle w:val="Hyperlink"/>
          </w:rPr>
          <w:t>https://doi.org/10.4324/9781315513614</w:t>
        </w:r>
      </w:hyperlink>
    </w:p>
    <w:p w14:paraId="0AEB55EA" w14:textId="77777777" w:rsidR="00152CA4" w:rsidRDefault="00152CA4" w:rsidP="00152CA4"/>
    <w:p w14:paraId="5E36FFD4" w14:textId="4829E454" w:rsidR="001E75CE" w:rsidRDefault="001E75CE" w:rsidP="00152CA4">
      <w:r w:rsidRPr="00016561">
        <w:t>Beane, J. A. (1997) Curriculum integration: Designing the core of a democratic education ( New York, Teachers College Press).</w:t>
      </w:r>
    </w:p>
    <w:p w14:paraId="0A294076" w14:textId="77777777" w:rsidR="00152CA4" w:rsidRDefault="00152CA4" w:rsidP="00152CA4"/>
    <w:p w14:paraId="7F015748" w14:textId="6B9AAF74" w:rsidR="001E75CE" w:rsidRDefault="001E75CE" w:rsidP="00152CA4">
      <w:r>
        <w:t>Besong, F., and C. Holland. 2015. “The Dispositions, Abilities and Behaviours (DAB) Framework for Profiling Learners’ Sustainability Competencies in Higher Education.” Journal of Teacher Education for Sustainability 17 (1): 5–22.</w:t>
      </w:r>
    </w:p>
    <w:p w14:paraId="2849E503" w14:textId="77777777" w:rsidR="00152CA4" w:rsidRDefault="00152CA4" w:rsidP="00152CA4"/>
    <w:p w14:paraId="717E5B3E" w14:textId="35E35EE9" w:rsidR="001E75CE" w:rsidRDefault="001E75CE" w:rsidP="00152CA4">
      <w:r>
        <w:t>Blewitt, J. 2010. “Deschooling Society? A Lifelong Learning Network for Sustainable Communities, Urban Regeneration and Environmental Technologies.” Sustainability 2 (11): 3465–3478.</w:t>
      </w:r>
    </w:p>
    <w:p w14:paraId="6EBCDAAC" w14:textId="77777777" w:rsidR="00152CA4" w:rsidRDefault="00152CA4" w:rsidP="00152CA4"/>
    <w:p w14:paraId="177F3D8E" w14:textId="5E1DE401" w:rsidR="001E75CE" w:rsidRDefault="001E75CE" w:rsidP="00152CA4">
      <w:r>
        <w:t>Borg, C., N. Gericke, H.-O. Höglund, and E. Bergman. 2012. “The Barriers Encountered by Teachers Implementing Education for Sustainable Development: Discipline Bound Differences and Teaching Traditions.” Research in Science &amp; Technological Education 30 (2): 185–207.</w:t>
      </w:r>
    </w:p>
    <w:p w14:paraId="3BC0ED61" w14:textId="77777777" w:rsidR="00152CA4" w:rsidRDefault="00152CA4" w:rsidP="00152CA4"/>
    <w:p w14:paraId="076936F3" w14:textId="735F751B" w:rsidR="001E75CE" w:rsidRDefault="001E75CE" w:rsidP="00152CA4">
      <w:r w:rsidRPr="00EC1E0B">
        <w:t>Breiting, S. and Mogensen, F. 1999. Action competence and environmental education. </w:t>
      </w:r>
      <w:r w:rsidRPr="002C2EEC">
        <w:rPr>
          <w:i/>
          <w:iCs/>
        </w:rPr>
        <w:t>Cambridge Journal of Education</w:t>
      </w:r>
      <w:r w:rsidRPr="00EC1E0B">
        <w:t>, 29(3): 349–353. </w:t>
      </w:r>
    </w:p>
    <w:p w14:paraId="301C88F7" w14:textId="77777777" w:rsidR="00152CA4" w:rsidRDefault="00152CA4" w:rsidP="00152CA4"/>
    <w:p w14:paraId="6A6DAAE4" w14:textId="51BF44D2" w:rsidR="001E75CE" w:rsidRDefault="001E75CE" w:rsidP="00152CA4">
      <w:r w:rsidRPr="00016561">
        <w:t xml:space="preserve">British Columbia Ministry of Education. (2015) British Columbia's new curriculum. Available online at: </w:t>
      </w:r>
      <w:hyperlink r:id="rId15" w:history="1">
        <w:r w:rsidRPr="005D606F">
          <w:rPr>
            <w:rStyle w:val="Hyperlink"/>
          </w:rPr>
          <w:t>https://curriculum.gov.bc.ca/rethinking-curriculum</w:t>
        </w:r>
      </w:hyperlink>
      <w:r>
        <w:t xml:space="preserve"> accessed: 4 March 2023)</w:t>
      </w:r>
    </w:p>
    <w:p w14:paraId="31C00501" w14:textId="77777777" w:rsidR="00152CA4" w:rsidRDefault="00152CA4" w:rsidP="00152CA4"/>
    <w:p w14:paraId="0C41E9E3" w14:textId="2E8CD39A" w:rsidR="001E75CE" w:rsidRDefault="001E75CE" w:rsidP="00152CA4">
      <w:r>
        <w:t>Brundtland Commission. 1987. Our Common Future: Report of the World Commission on Environment and Development. Oxford, UK: Oxford University Press.</w:t>
      </w:r>
    </w:p>
    <w:p w14:paraId="6B9E856C" w14:textId="77777777" w:rsidR="00152CA4" w:rsidRDefault="00152CA4" w:rsidP="00152CA4"/>
    <w:p w14:paraId="57B66302" w14:textId="3B716F34" w:rsidR="001E75CE" w:rsidRDefault="001E75CE" w:rsidP="00152CA4">
      <w:r>
        <w:t>Buckley, J. B., and J. O. Michel. 2020. “An Examination of Higher Education Institutional Level Learning Outcomes Related to Sustainability.” Innovative Higher Education 45 (3).</w:t>
      </w:r>
    </w:p>
    <w:p w14:paraId="09C3F82F" w14:textId="77777777" w:rsidR="00152CA4" w:rsidRDefault="00152CA4" w:rsidP="00152CA4"/>
    <w:p w14:paraId="0B0130C0" w14:textId="3E14D1D4" w:rsidR="001E75CE" w:rsidRDefault="001E75CE" w:rsidP="00152CA4">
      <w:r>
        <w:t>Checkoway, B. 2001. “Renewing the Civic Mission of the American Research University.” The Journal of Higher Education 72 (2): 125–147.</w:t>
      </w:r>
    </w:p>
    <w:p w14:paraId="3FC2990B" w14:textId="77777777" w:rsidR="00152CA4" w:rsidRDefault="00152CA4" w:rsidP="00152CA4"/>
    <w:p w14:paraId="47B7F43D" w14:textId="27760B79" w:rsidR="001E75CE" w:rsidRDefault="001E75CE" w:rsidP="00152CA4">
      <w:r>
        <w:t>Clune, W. H. (2001). Towards a theory of standards-based reform: The case of nine NSF state-wide systematic initiatives. In S. H. Fuhrman (Ed.), From the capitol to the classroom: Standardsbased reform in the States (pp.13–38). University of Chicago Press</w:t>
      </w:r>
    </w:p>
    <w:p w14:paraId="76A2D794" w14:textId="77777777" w:rsidR="00152CA4" w:rsidRDefault="00152CA4" w:rsidP="00152CA4"/>
    <w:p w14:paraId="7721B4BA" w14:textId="60353290" w:rsidR="001E75CE" w:rsidRDefault="001E75CE" w:rsidP="00152CA4">
      <w:r>
        <w:t>Corcoran, P.B. and Wals, A.E.J. (eds) (2004) Higher Education and the Challenge of Sustainability: Problematics, Promise and Practice. Dordrecht: Kluwer Academic.</w:t>
      </w:r>
    </w:p>
    <w:p w14:paraId="73E1AA6E" w14:textId="77777777" w:rsidR="00152CA4" w:rsidRDefault="00152CA4" w:rsidP="00152CA4"/>
    <w:p w14:paraId="631F4B57" w14:textId="33544249" w:rsidR="001E75CE" w:rsidRDefault="001E75CE" w:rsidP="00152CA4">
      <w:r>
        <w:t>Cortese, A. D. 2003. “The Critical Role of Higher Education in Creating a Sustainable Future.” Planning for Higher Education 31 (3): 15–22.</w:t>
      </w:r>
    </w:p>
    <w:p w14:paraId="427FBBF7" w14:textId="77777777" w:rsidR="00152CA4" w:rsidRDefault="00152CA4" w:rsidP="00152CA4"/>
    <w:p w14:paraId="429A278A" w14:textId="395ADD94" w:rsidR="001E75CE" w:rsidRDefault="001E75CE" w:rsidP="00152CA4">
      <w:r>
        <w:t xml:space="preserve">Cover image: </w:t>
      </w:r>
      <w:hyperlink r:id="rId16" w:history="1">
        <w:r w:rsidRPr="005D606F">
          <w:rPr>
            <w:rStyle w:val="Hyperlink"/>
          </w:rPr>
          <w:t>https://www.google.com/search?q=environmental+education&amp;tbm=isch&amp;chips=q:environmental+education,g_1:clipart:7BNmbavxa_A%3D&amp;rlz=1C5CHFA_enGB890GB890&amp;hl=en-US&amp;sa=X&amp;ved=2ahUKEwij8aHyxsz9AhWvlycCHY2sAeEQ4lYoA3oECAEQKQ&amp;biw=1370&amp;bih=687#imgrc=d1BCwU-FHZdmgM</w:t>
        </w:r>
      </w:hyperlink>
    </w:p>
    <w:p w14:paraId="6DF3515A" w14:textId="77777777" w:rsidR="00152CA4" w:rsidRDefault="00152CA4" w:rsidP="00152CA4"/>
    <w:p w14:paraId="2EEBB84B" w14:textId="2A84DAB0" w:rsidR="001E75CE" w:rsidRDefault="001E75CE" w:rsidP="00152CA4">
      <w:r w:rsidRPr="00016561">
        <w:t>Crick, T. &amp; Priestley, M. (2019) Co-construction of a national curriculum: The role of teachers as curriculum policy makers in Wales, paper presented at the European Conference on Educational Research, Hamburg, Germany, 3–6 September.</w:t>
      </w:r>
    </w:p>
    <w:p w14:paraId="45C6687B" w14:textId="77777777" w:rsidR="00152CA4" w:rsidRDefault="00152CA4" w:rsidP="00152CA4"/>
    <w:p w14:paraId="2409E2F3" w14:textId="77777777" w:rsidR="001E75CE" w:rsidRDefault="001E75CE" w:rsidP="00152CA4">
      <w:r>
        <w:t>Curran, M.A. Wrapping Our Brains around Sustainability. Sustainability 2009, 1, 5–13.</w:t>
      </w:r>
    </w:p>
    <w:p w14:paraId="2A54459E" w14:textId="67A308A7" w:rsidR="001E75CE" w:rsidRDefault="001E75CE" w:rsidP="00152CA4">
      <w:r w:rsidRPr="00EC1E0B">
        <w:t>Curriculum Council for Wales. 1992. </w:t>
      </w:r>
      <w:r w:rsidRPr="002C2EEC">
        <w:rPr>
          <w:i/>
          <w:iCs/>
        </w:rPr>
        <w:t>Environmental Education: A Framework for the Development of a Cross‐curricular Theme in Wales</w:t>
      </w:r>
      <w:r w:rsidRPr="00EC1E0B">
        <w:t>, CWW Advisory Paper No. 7 Cardiff, , UK: Curriculum Council for Wales.</w:t>
      </w:r>
    </w:p>
    <w:p w14:paraId="748FE3EE" w14:textId="77777777" w:rsidR="00152CA4" w:rsidRDefault="00152CA4" w:rsidP="00152CA4"/>
    <w:p w14:paraId="7DFF80DB" w14:textId="4F280591" w:rsidR="001E75CE" w:rsidRDefault="001E75CE" w:rsidP="00152CA4">
      <w:r w:rsidRPr="00EC1E0B">
        <w:t>Curriculum Council for Wales. 1993. </w:t>
      </w:r>
      <w:r w:rsidRPr="002C2EEC">
        <w:rPr>
          <w:i/>
          <w:iCs/>
        </w:rPr>
        <w:t>INSET Activities for Environmental Education</w:t>
      </w:r>
      <w:r w:rsidRPr="00EC1E0B">
        <w:t>, Cardiff, , UK: Curriculum Council for Wales. </w:t>
      </w:r>
    </w:p>
    <w:p w14:paraId="4D6A58ED" w14:textId="77777777" w:rsidR="00152CA4" w:rsidRDefault="00152CA4" w:rsidP="00152CA4"/>
    <w:p w14:paraId="4DFF562E" w14:textId="03E2605B" w:rsidR="001E75CE" w:rsidRDefault="001E75CE" w:rsidP="00152CA4">
      <w:r w:rsidRPr="00444D3C">
        <w:t>D. R. E. Cotton (2006) Implementing curriculum guidance on environmental education: the importance of teachers' beliefs, Journal of Curriculum Studies, 38:1, 67-83, DOI: </w:t>
      </w:r>
      <w:hyperlink r:id="rId17" w:history="1">
        <w:r w:rsidRPr="00444D3C">
          <w:rPr>
            <w:rStyle w:val="Hyperlink"/>
          </w:rPr>
          <w:t>10.1080/00220270500038644</w:t>
        </w:r>
      </w:hyperlink>
    </w:p>
    <w:p w14:paraId="1E9737E3" w14:textId="77777777" w:rsidR="00152CA4" w:rsidRPr="00444D3C" w:rsidRDefault="00152CA4" w:rsidP="00152CA4"/>
    <w:p w14:paraId="579A1008" w14:textId="2A47B51D" w:rsidR="001E75CE" w:rsidRDefault="001E75CE" w:rsidP="00152CA4">
      <w:r w:rsidRPr="0069207C">
        <w:t>Denby, L., and S. Rickards. 2016. “An Approach to Embedding Sustainability into Undergraduate Curriculum: Macquarie University, Australia Case Study.” In Teaching Education for Sustainable Development at University Level, edited by W. Leal Filho and P. Pace, 9–33. New York: Springer.</w:t>
      </w:r>
    </w:p>
    <w:p w14:paraId="1BFBF57A" w14:textId="77777777" w:rsidR="00152CA4" w:rsidRDefault="00152CA4" w:rsidP="00152CA4"/>
    <w:p w14:paraId="4C65DD45" w14:textId="2C04F7ED" w:rsidR="001E75CE" w:rsidRDefault="001E75CE" w:rsidP="00152CA4">
      <w:r>
        <w:lastRenderedPageBreak/>
        <w:t>Desimone, L. M., &amp; Garet, M. S. (2015). Best practices in teacher’s professional development in the USA. Psychology, Society and Education, 7(3), 252–263.</w:t>
      </w:r>
    </w:p>
    <w:p w14:paraId="55A81830" w14:textId="77777777" w:rsidR="00152CA4" w:rsidRDefault="00152CA4" w:rsidP="00152CA4"/>
    <w:p w14:paraId="7AE67C26" w14:textId="2CB4C227" w:rsidR="001E75CE" w:rsidRDefault="001E75CE" w:rsidP="00152CA4">
      <w:r w:rsidRPr="000628E8">
        <w:t>Desimone, L. M., &amp; Stuckey, D. (2014). Sustaining professional development. In L. E. Martin, S. Kragler, D. J. Quatroche, &amp; K. L. Bauserman (Eds.), Handbook of professional development in education: Successful models and practices, PreK-12 (pp. 467–482). New York, NY: Gui</w:t>
      </w:r>
      <w:r>
        <w:t>l</w:t>
      </w:r>
      <w:r w:rsidRPr="000628E8">
        <w:t>ford Press.</w:t>
      </w:r>
    </w:p>
    <w:p w14:paraId="2D892E68" w14:textId="77777777" w:rsidR="00152CA4" w:rsidRDefault="00152CA4" w:rsidP="00152CA4"/>
    <w:p w14:paraId="7735C712" w14:textId="02C61644" w:rsidR="001E75CE" w:rsidRDefault="001E75CE" w:rsidP="00152CA4">
      <w:r>
        <w:t>Dillon, D. R., O’Brien, D. G., Sato, M., &amp; Kelly, C. M. (2010). Professional development and teacher education for reading instruction. In M. L. Kamil (Ed.), Handbook of reading research (Vol. 4, pp. 629–660). New York, NY: Routledge.</w:t>
      </w:r>
    </w:p>
    <w:p w14:paraId="0450D0F3" w14:textId="77777777" w:rsidR="00152CA4" w:rsidRDefault="00152CA4" w:rsidP="00152CA4"/>
    <w:p w14:paraId="6522F4BF" w14:textId="2B6CAE22" w:rsidR="001E75CE" w:rsidRDefault="001E75CE" w:rsidP="00152CA4">
      <w:r w:rsidRPr="00C56636">
        <w:t>Donaldson, G., 2015. Successful futures: independent review of curriculum and assessment arrangements in Wales: February 2015.</w:t>
      </w:r>
    </w:p>
    <w:p w14:paraId="03610D23" w14:textId="77777777" w:rsidR="00152CA4" w:rsidRDefault="00152CA4" w:rsidP="00152CA4"/>
    <w:p w14:paraId="0914434B" w14:textId="3D41A42F" w:rsidR="001E75CE" w:rsidRDefault="001E75CE" w:rsidP="00152CA4">
      <w:r>
        <w:t xml:space="preserve">Edgerton, A. K., &amp; Desimone, L. M. (2018). Teacher implementation of college- and career-readiness standards: Links among policy, instruction, challenges, and resources. AERA Open, 4(5), 1–22. </w:t>
      </w:r>
      <w:hyperlink r:id="rId18" w:history="1">
        <w:r w:rsidRPr="005D606F">
          <w:rPr>
            <w:rStyle w:val="Hyperlink"/>
          </w:rPr>
          <w:t>https://doi.org/10.1177/2332858418806863</w:t>
        </w:r>
      </w:hyperlink>
    </w:p>
    <w:p w14:paraId="1A448491" w14:textId="77777777" w:rsidR="00152CA4" w:rsidRDefault="00152CA4" w:rsidP="00152CA4"/>
    <w:p w14:paraId="69664A0B" w14:textId="519E769B" w:rsidR="001E75CE" w:rsidRDefault="001E75CE" w:rsidP="00152CA4">
      <w:r>
        <w:t xml:space="preserve">European Commission. Final Report of the Thematic Working Group on Entrepreneurship Education. 2014. Available online: https://ec.europa.eu/assets/eac/education/experts-groups/2011-2013/key/entrepreneurship-report-2014_en.pdf (cited in Weicht and </w:t>
      </w:r>
      <w:r w:rsidRPr="00A6461B">
        <w:t>Jónsdóttir,</w:t>
      </w:r>
      <w:r>
        <w:t xml:space="preserve"> 2021)</w:t>
      </w:r>
    </w:p>
    <w:p w14:paraId="47390089" w14:textId="77777777" w:rsidR="00152CA4" w:rsidRDefault="00152CA4" w:rsidP="00152CA4"/>
    <w:p w14:paraId="143371DF" w14:textId="70D654A5" w:rsidR="001E75CE" w:rsidRDefault="001E75CE" w:rsidP="00152CA4">
      <w:r>
        <w:t>Fadeeva, Z., and Y. Mochizuki. 2010. “Higher Education for Today and Tomorrow: University Appraisal for Diversity, Innovation and Change Towards Sustainable Development.” Sustainability Science 5 (2): 249–256.</w:t>
      </w:r>
    </w:p>
    <w:p w14:paraId="697A25B7" w14:textId="77777777" w:rsidR="00152CA4" w:rsidRDefault="00152CA4" w:rsidP="00152CA4"/>
    <w:p w14:paraId="14A444BE" w14:textId="0E05CD5A" w:rsidR="001E75CE" w:rsidRDefault="001E75CE" w:rsidP="00152CA4">
      <w:r>
        <w:t>Fien, J. (1993) Education for the Environment: Critical Curriculum Theorising and Environmental Education (Geelong: Deakin University Press).</w:t>
      </w:r>
    </w:p>
    <w:p w14:paraId="0FA3B071" w14:textId="77777777" w:rsidR="00152CA4" w:rsidRDefault="00152CA4" w:rsidP="00152CA4"/>
    <w:p w14:paraId="7CEDE07F" w14:textId="77777777" w:rsidR="001E75CE" w:rsidRDefault="001E75CE" w:rsidP="00152CA4">
      <w:r w:rsidRPr="003D3790">
        <w:t>Fullan, M. (2001). Whole School Reform: Problems and Promises. Ontario Institute for Studies in Education. Available at: http://www.michaelfullan.ca/ media/13396044810.pdf</w:t>
      </w:r>
      <w:r>
        <w:t xml:space="preserve"> </w:t>
      </w:r>
    </w:p>
    <w:p w14:paraId="4CCA602C" w14:textId="15B4A21D" w:rsidR="001E75CE" w:rsidRDefault="001E75CE" w:rsidP="00152CA4">
      <w:r w:rsidRPr="00444D3C">
        <w:t>Gatley, J., 2020. Can the New Welsh Curriculum achieve its purposes?. </w:t>
      </w:r>
      <w:r w:rsidRPr="002C2EEC">
        <w:rPr>
          <w:i/>
          <w:iCs/>
        </w:rPr>
        <w:t>The Curriculum Journal</w:t>
      </w:r>
      <w:r w:rsidRPr="00444D3C">
        <w:t>, </w:t>
      </w:r>
      <w:r w:rsidRPr="002C2EEC">
        <w:rPr>
          <w:i/>
          <w:iCs/>
        </w:rPr>
        <w:t>31</w:t>
      </w:r>
      <w:r w:rsidRPr="00444D3C">
        <w:t>(2), pp.202-214.</w:t>
      </w:r>
    </w:p>
    <w:p w14:paraId="4DBBFBD1" w14:textId="77777777" w:rsidR="00152CA4" w:rsidRDefault="00152CA4" w:rsidP="00152CA4"/>
    <w:p w14:paraId="0AD85187" w14:textId="3FB84D21" w:rsidR="001E75CE" w:rsidRDefault="001E75CE" w:rsidP="00152CA4">
      <w:r>
        <w:t>Gough, D., &amp; Thomas, J. (2017). Commonality and diversity in reviews. In D. Gough, S. Oliver, &amp; J. Thomas (Eds.), An introduction to systematic review (pp. 43–70). England, UK: SAGE publications.</w:t>
      </w:r>
    </w:p>
    <w:p w14:paraId="1C73BA6A" w14:textId="77777777" w:rsidR="00152CA4" w:rsidRDefault="00152CA4" w:rsidP="00152CA4"/>
    <w:p w14:paraId="27BC5DD8" w14:textId="1EC33CAB" w:rsidR="001E75CE" w:rsidRDefault="001E75CE" w:rsidP="00152CA4">
      <w:r>
        <w:t>Grace, M. and Sharp, J. (2000) Exploring the actual and potential rhetoric-reality gaps in environmental education and their implications for pre-service teacher training. Environmental Education Research, 6(4), 331–345.</w:t>
      </w:r>
    </w:p>
    <w:p w14:paraId="42FB1C86" w14:textId="77777777" w:rsidR="00152CA4" w:rsidRDefault="00152CA4" w:rsidP="00152CA4"/>
    <w:p w14:paraId="0068EAFC" w14:textId="3682278F" w:rsidR="001E75CE" w:rsidRDefault="001E75CE" w:rsidP="00152CA4">
      <w:r>
        <w:t>Gross, M. P. and Pizzini, E. L. (1979) The effects of combined advance organizers and field experience on environmental orientations of elementary school children. Journal of Research in Science Teaching, 16(4), 325–331.</w:t>
      </w:r>
    </w:p>
    <w:p w14:paraId="3A345B7C" w14:textId="77777777" w:rsidR="00152CA4" w:rsidRDefault="00152CA4" w:rsidP="00152CA4"/>
    <w:p w14:paraId="540B6BE9" w14:textId="05A68947" w:rsidR="001E75CE" w:rsidRDefault="001E75CE" w:rsidP="00152CA4">
      <w:r w:rsidRPr="00016561">
        <w:t>Handelzalts, A. (2009) Collaborative curriculum development in teacher design teams. Doctoral dissertation, University of Twente, Enschede, The Netherlands.</w:t>
      </w:r>
    </w:p>
    <w:p w14:paraId="60ED2B7A" w14:textId="77777777" w:rsidR="00152CA4" w:rsidRDefault="00152CA4" w:rsidP="00152CA4"/>
    <w:p w14:paraId="5537A37C" w14:textId="05A9DA7D" w:rsidR="001E75CE" w:rsidRDefault="001E75CE" w:rsidP="00152CA4">
      <w:r>
        <w:t>Handler, B. (2010). Teacher as curriculum leader: A consideration of the appropriateness of that role assignment to classroom-based practitioners. International Journal of Teacher Leadership. Volume 3. ISSN: 1934-9726.</w:t>
      </w:r>
    </w:p>
    <w:p w14:paraId="602FA7DA" w14:textId="77777777" w:rsidR="00152CA4" w:rsidRDefault="00152CA4" w:rsidP="00152CA4"/>
    <w:p w14:paraId="5287AC1B" w14:textId="1F474A1D" w:rsidR="001E75CE" w:rsidRDefault="001E75CE" w:rsidP="00152CA4">
      <w:r>
        <w:t>Hannay, L.; Earl, L. School districts triggers for reconstructing professional knowledge. J. Educ. Chang. 2012, 13, 311–326</w:t>
      </w:r>
    </w:p>
    <w:p w14:paraId="0CF2EDF0" w14:textId="77777777" w:rsidR="00152CA4" w:rsidRDefault="00152CA4" w:rsidP="00152CA4"/>
    <w:p w14:paraId="39E25C67" w14:textId="5E9EDAE4" w:rsidR="001E75CE" w:rsidRDefault="001E75CE" w:rsidP="00152CA4">
      <w:r>
        <w:t>Hausbeck, K., Milbrath, L. and Enright, S. (1992) Environmental knowledge, awareness and concern among 11th-grade students: New York State. Journal of Environmental Education, 24(1), 27–34.</w:t>
      </w:r>
    </w:p>
    <w:p w14:paraId="0F403A58" w14:textId="77777777" w:rsidR="00152CA4" w:rsidRDefault="00152CA4" w:rsidP="00152CA4"/>
    <w:p w14:paraId="3BFFB808" w14:textId="2E0AE975" w:rsidR="001E75CE" w:rsidRDefault="001E75CE" w:rsidP="00152CA4">
      <w:r>
        <w:t>Heifetz, R. A., Grashow, A., &amp; Linsky, M. (2009). The practice of adaptive leadership: Tools and tactics for changing your organization and the world. Harvard Business Press.</w:t>
      </w:r>
    </w:p>
    <w:p w14:paraId="73AAFCC6" w14:textId="77777777" w:rsidR="00152CA4" w:rsidRDefault="00152CA4" w:rsidP="00152CA4"/>
    <w:p w14:paraId="5C43D1DD" w14:textId="77777777" w:rsidR="001E75CE" w:rsidRDefault="001E75CE" w:rsidP="00152CA4">
      <w:r>
        <w:t>Hlebowitsh, P. S. (2004). Designing the school curriculum. New York. Pearson and Bacon.</w:t>
      </w:r>
    </w:p>
    <w:p w14:paraId="30D6E5A6" w14:textId="01B03EE1" w:rsidR="001E75CE" w:rsidRDefault="001E75CE" w:rsidP="00152CA4">
      <w:r>
        <w:t xml:space="preserve">Hopkinson, P., and P. James. </w:t>
      </w:r>
      <w:r>
        <w:t>(</w:t>
      </w:r>
      <w:r>
        <w:t>2010</w:t>
      </w:r>
      <w:r>
        <w:t>)</w:t>
      </w:r>
      <w:r>
        <w:t>. “Practical Pedagogy for Embedding ESD in Science, Technology, Engineering and Mathematics Curricula.” International Journal of Sustainability in Higher Education 11 (4): 365–379.</w:t>
      </w:r>
    </w:p>
    <w:p w14:paraId="6168F675" w14:textId="77777777" w:rsidR="00152CA4" w:rsidRDefault="00152CA4" w:rsidP="00152CA4"/>
    <w:p w14:paraId="3F34ED64" w14:textId="77777777" w:rsidR="001E75CE" w:rsidRDefault="001E75CE" w:rsidP="00152CA4">
      <w:r>
        <w:t xml:space="preserve">Huckle, J. Education for Sustainable Development: A Briefing Paper for the Teacher Training Resource Bank. </w:t>
      </w:r>
      <w:r>
        <w:t>(</w:t>
      </w:r>
      <w:r>
        <w:t>2006</w:t>
      </w:r>
      <w:r>
        <w:t>)</w:t>
      </w:r>
      <w:r>
        <w:t>. Available online: https://huckleorguk.files.wordpress.com/2016/10/huckle2006.pdf (accessed 25.02.23</w:t>
      </w:r>
    </w:p>
    <w:p w14:paraId="6C83F83B" w14:textId="12C3D39B" w:rsidR="001E75CE" w:rsidRDefault="001E75CE" w:rsidP="00152CA4">
      <w:r w:rsidRPr="00444D3C">
        <w:t>Hughes, S., Makara Fuller, K., Morrison-Love, D. and Wallis, R., 2021. Teachers as curriculum-makers: Professional learning implications for enacting a new curriculum in Wales, perspectives from the Humanities and Mathematics and Numeracy Areas of Learning and Experience.</w:t>
      </w:r>
    </w:p>
    <w:p w14:paraId="7D999767" w14:textId="77777777" w:rsidR="00152CA4" w:rsidRDefault="00152CA4" w:rsidP="00152CA4"/>
    <w:p w14:paraId="1DD6E6A6" w14:textId="0852502B" w:rsidR="001E75CE" w:rsidRDefault="001E75CE" w:rsidP="00152CA4">
      <w:r w:rsidRPr="00016561">
        <w:t>Huizinga, T. (2014) Developing curriculum design expertise through teacher design teams. Doctoral dissertation, University of Twente, Enschede, The Netherlands.</w:t>
      </w:r>
    </w:p>
    <w:p w14:paraId="58DA3DF0" w14:textId="77777777" w:rsidR="00152CA4" w:rsidRDefault="00152CA4" w:rsidP="00152CA4"/>
    <w:p w14:paraId="585B217B" w14:textId="4787027E" w:rsidR="001E75CE" w:rsidRDefault="001E75CE" w:rsidP="00152CA4">
      <w:r w:rsidRPr="009C592B">
        <w:t xml:space="preserve">Iverson, S. V. </w:t>
      </w:r>
      <w:r>
        <w:t>(</w:t>
      </w:r>
      <w:r w:rsidRPr="009C592B">
        <w:t>2016</w:t>
      </w:r>
      <w:r>
        <w:t>)</w:t>
      </w:r>
      <w:r w:rsidRPr="009C592B">
        <w:t>. “Beyond Recycling: Developing “Deep” Sustainability Competence.” In The Contribution of Social Sciences to Sustainable Development at Universities, edited by W. Leal Filho and M. Zint, 55–71. New York, NY: Springer.</w:t>
      </w:r>
    </w:p>
    <w:p w14:paraId="2177819A" w14:textId="77777777" w:rsidR="00152CA4" w:rsidRDefault="00152CA4" w:rsidP="00152CA4"/>
    <w:p w14:paraId="3B2047D9" w14:textId="00B3C505" w:rsidR="001E75CE" w:rsidRDefault="001E75CE" w:rsidP="00152CA4">
      <w:r w:rsidRPr="00444D3C">
        <w:t>Jessica Ostrow Michel (2022) Charting students’ exposure to promising practices of teaching about sustainability across the higher education curriculum, Teaching in Higher Education, 27:6, 787-813, DOI: </w:t>
      </w:r>
      <w:hyperlink r:id="rId19" w:history="1">
        <w:r w:rsidRPr="00444D3C">
          <w:rPr>
            <w:rStyle w:val="Hyperlink"/>
          </w:rPr>
          <w:t>10.1080/13562517.2020.1747422</w:t>
        </w:r>
      </w:hyperlink>
    </w:p>
    <w:p w14:paraId="0B99FCA7" w14:textId="77777777" w:rsidR="00152CA4" w:rsidRDefault="00152CA4" w:rsidP="00152CA4"/>
    <w:p w14:paraId="60711357" w14:textId="2D7E501D" w:rsidR="001E75CE" w:rsidRDefault="001E75CE" w:rsidP="00152CA4">
      <w:r>
        <w:t>Jickling, B. (1992) Why I don’t want my children to be educated for sustainable development. Journal of Environmental Education, 23(4), 5–8.</w:t>
      </w:r>
    </w:p>
    <w:p w14:paraId="61D4256A" w14:textId="77777777" w:rsidR="00152CA4" w:rsidRDefault="00152CA4" w:rsidP="00152CA4"/>
    <w:p w14:paraId="6CFFE3B1" w14:textId="22AC3089" w:rsidR="001E75CE" w:rsidRDefault="001E75CE" w:rsidP="00152CA4">
      <w:r>
        <w:t>Johnson, J. A. (2001</w:t>
      </w:r>
      <w:r>
        <w:t>)</w:t>
      </w:r>
      <w:r>
        <w:t>. Curriculum revision that works. In principles of effective change. Retrieved March 10, 2014</w:t>
      </w:r>
    </w:p>
    <w:p w14:paraId="42CEAB78" w14:textId="77777777" w:rsidR="00152CA4" w:rsidRDefault="00152CA4" w:rsidP="00152CA4"/>
    <w:p w14:paraId="2FCEFD81" w14:textId="0D95012D" w:rsidR="001E75CE" w:rsidRDefault="001E75CE" w:rsidP="00152CA4">
      <w:r w:rsidRPr="00444D3C">
        <w:t>Karlsen, K.H. and Lockhart-Pedersen, V., 2020. Story-based Cross-Curricular Teaching and Learning: A Systematic Mapping of the Research Literature on The Scottish Storyline Approach. </w:t>
      </w:r>
      <w:r w:rsidRPr="002C2EEC">
        <w:rPr>
          <w:i/>
          <w:iCs/>
        </w:rPr>
        <w:t>Teaching through Stories: Renewing the Scottish Storyline Approach in Teacher Education</w:t>
      </w:r>
      <w:r w:rsidRPr="00444D3C">
        <w:t xml:space="preserve">. </w:t>
      </w:r>
    </w:p>
    <w:p w14:paraId="285AC203" w14:textId="77777777" w:rsidR="00152CA4" w:rsidRDefault="00152CA4" w:rsidP="00152CA4"/>
    <w:p w14:paraId="32E00F9C" w14:textId="3CD1BC70" w:rsidR="001E75CE" w:rsidRDefault="001E75CE" w:rsidP="00152CA4">
      <w:r>
        <w:t>Kurz, A., Elliott, S. N., Wehby, J. H., &amp; Smithson, J. L. (2010). Alignment of the intended, planned, and enacted curriculum in general and special education and its relation to student achievement. Journal of Special Education, 44(3), 131–145. https://doi. org/10.1177/0022466909341196</w:t>
      </w:r>
    </w:p>
    <w:p w14:paraId="5536FC3D" w14:textId="77777777" w:rsidR="00152CA4" w:rsidRDefault="00152CA4" w:rsidP="00152CA4"/>
    <w:p w14:paraId="58C3B407" w14:textId="39778B0D" w:rsidR="001E75CE" w:rsidRDefault="001E75CE" w:rsidP="00152CA4">
      <w:r>
        <w:t xml:space="preserve">Leal Filho, W., and P. Pace. </w:t>
      </w:r>
      <w:r>
        <w:t>(</w:t>
      </w:r>
      <w:r>
        <w:t>2016</w:t>
      </w:r>
      <w:r>
        <w:t>)</w:t>
      </w:r>
      <w:r>
        <w:t>. “Teaching Education for Sustainable Development at University Level.” World (Oakland, Calif), 1–6.</w:t>
      </w:r>
    </w:p>
    <w:p w14:paraId="3A1E31DD" w14:textId="77777777" w:rsidR="00152CA4" w:rsidRDefault="00152CA4" w:rsidP="00152CA4"/>
    <w:p w14:paraId="66DE6102" w14:textId="336BB158" w:rsidR="001E75CE" w:rsidRDefault="001E75CE" w:rsidP="00152CA4">
      <w:r w:rsidRPr="00444D3C">
        <w:t>Leal Filho, W., Raath, S., Lazzarini, B., Vargas, V.R., de Souza, L., Anholon, R., Quelhas, O.L.G., Haddad, R., Klavins, M. and Orlovic, V.L., 2018. The role of transformation in learning and education for sustainability. </w:t>
      </w:r>
      <w:r w:rsidRPr="002C2EEC">
        <w:rPr>
          <w:i/>
          <w:iCs/>
        </w:rPr>
        <w:t>Journal of cleaner production</w:t>
      </w:r>
      <w:r w:rsidRPr="00444D3C">
        <w:t>, </w:t>
      </w:r>
      <w:r w:rsidRPr="002C2EEC">
        <w:rPr>
          <w:i/>
          <w:iCs/>
        </w:rPr>
        <w:t>199</w:t>
      </w:r>
      <w:r w:rsidRPr="00444D3C">
        <w:t>, pp.286-295.</w:t>
      </w:r>
    </w:p>
    <w:p w14:paraId="457F5070" w14:textId="77777777" w:rsidR="00152CA4" w:rsidRPr="00444D3C" w:rsidRDefault="00152CA4" w:rsidP="00152CA4"/>
    <w:p w14:paraId="7C3C7C37" w14:textId="403DBFDD" w:rsidR="001E75CE" w:rsidRDefault="001E75CE" w:rsidP="00152CA4">
      <w:r>
        <w:t>Lee, J. C.-K. (1993) Geography teaching in England and Hong Kong: contributions towards environmental education. International Research in Geographical and Environmental Education, 2(1), 25–40.</w:t>
      </w:r>
    </w:p>
    <w:p w14:paraId="1BF65FB3" w14:textId="77777777" w:rsidR="00152CA4" w:rsidRDefault="00152CA4" w:rsidP="00152CA4"/>
    <w:p w14:paraId="377638CD" w14:textId="3DBD1F98" w:rsidR="001E75CE" w:rsidRDefault="001E75CE" w:rsidP="00152CA4">
      <w:r>
        <w:t>Lee, J. C.-K. (2000) Teacher receptivity to curriculum change in the implementation stage: the case of environmental education in Hong Kong. Journal of Curriculum Studies, 32(1), 95–115</w:t>
      </w:r>
    </w:p>
    <w:p w14:paraId="1B71E556" w14:textId="77777777" w:rsidR="00152CA4" w:rsidRDefault="00152CA4" w:rsidP="00152CA4"/>
    <w:p w14:paraId="4D6DDCD3" w14:textId="55C20468" w:rsidR="001E75CE" w:rsidRDefault="001E75CE" w:rsidP="00152CA4">
      <w:r>
        <w:t xml:space="preserve">Leicht, A., J. Heiss, and W. J. Byun. </w:t>
      </w:r>
      <w:r>
        <w:t>(</w:t>
      </w:r>
      <w:r>
        <w:t>2018</w:t>
      </w:r>
      <w:r>
        <w:t>)</w:t>
      </w:r>
      <w:r>
        <w:t>. Issues and Trends in Education for Sustainable Development (Vol. 5). Fontenoy, France: UNESCO Publishing.</w:t>
      </w:r>
    </w:p>
    <w:p w14:paraId="0F2FF455" w14:textId="77777777" w:rsidR="00152CA4" w:rsidRDefault="00152CA4" w:rsidP="00152CA4"/>
    <w:p w14:paraId="0ABD6804" w14:textId="7B77C2EB" w:rsidR="001E75CE" w:rsidRDefault="001E75CE" w:rsidP="00152CA4">
      <w:r>
        <w:t xml:space="preserve">Loveless, T. (2020). Common Core has not worked. Education Next, 20(2). </w:t>
      </w:r>
      <w:hyperlink r:id="rId20" w:history="1">
        <w:r w:rsidRPr="005D606F">
          <w:rPr>
            <w:rStyle w:val="Hyperlink"/>
          </w:rPr>
          <w:t>https://www.educationnext.org/common-core-hasnot-worked-forum-decade-on-has-common-core-failed/</w:t>
        </w:r>
      </w:hyperlink>
    </w:p>
    <w:p w14:paraId="3C7DB7CB" w14:textId="77777777" w:rsidR="00152CA4" w:rsidRDefault="00152CA4" w:rsidP="00152CA4"/>
    <w:p w14:paraId="1F4C215F" w14:textId="3E00BB7E" w:rsidR="001E75CE" w:rsidRDefault="001E75CE" w:rsidP="00152CA4">
      <w:r>
        <w:t xml:space="preserve">Margherita, B.; Pan, K.; Yves, P.; Lieve, v.d.B. EntreComp: The Entrepreneurship Competence Framework; Publications Office of the European Union: Luxembourg, </w:t>
      </w:r>
      <w:r>
        <w:t>(</w:t>
      </w:r>
      <w:r>
        <w:t>2016</w:t>
      </w:r>
      <w:r>
        <w:t>)</w:t>
      </w:r>
      <w:r>
        <w:t>.</w:t>
      </w:r>
    </w:p>
    <w:p w14:paraId="3D2594F5" w14:textId="77777777" w:rsidR="00152CA4" w:rsidRDefault="00152CA4" w:rsidP="00152CA4"/>
    <w:p w14:paraId="46A8EAAA" w14:textId="65D06015" w:rsidR="001E75CE" w:rsidRDefault="001E75CE" w:rsidP="00152CA4">
      <w:r>
        <w:t xml:space="preserve">Michel, J. O. </w:t>
      </w:r>
      <w:r>
        <w:t>(</w:t>
      </w:r>
      <w:r>
        <w:t>2020</w:t>
      </w:r>
      <w:r>
        <w:t>)</w:t>
      </w:r>
      <w:r>
        <w:t>. “Toward Conceptualizing Education for Sustainability in Higher Education.” New Directions in Teaching and Learning 161: 23–33.</w:t>
      </w:r>
    </w:p>
    <w:p w14:paraId="0602E0BF" w14:textId="77777777" w:rsidR="00152CA4" w:rsidRDefault="00152CA4" w:rsidP="00152CA4"/>
    <w:p w14:paraId="593F5B97" w14:textId="3774AE11" w:rsidR="001E75CE" w:rsidRDefault="001E75CE" w:rsidP="00152CA4">
      <w:r w:rsidRPr="00016561">
        <w:t>Ministerial Council on Education, Employment, Training and Youth Affairs. (2008) Melbourne declaration on educational goals for young Australians.</w:t>
      </w:r>
    </w:p>
    <w:p w14:paraId="1246A23D" w14:textId="77777777" w:rsidR="00152CA4" w:rsidRDefault="00152CA4" w:rsidP="00152CA4"/>
    <w:p w14:paraId="6EA995E8" w14:textId="77777777" w:rsidR="001E75CE" w:rsidRDefault="001E75CE" w:rsidP="00152CA4">
      <w:r>
        <w:t>Morris, M. and Schagen, I. (1995) Global Environmental Education: Green Attitudes or Learned Responses? (Slough, UK: National Foundation for Educational Research).</w:t>
      </w:r>
    </w:p>
    <w:p w14:paraId="7AE8CE41" w14:textId="3ACAAC64" w:rsidR="001E75CE" w:rsidRDefault="001E75CE" w:rsidP="00152CA4">
      <w:r w:rsidRPr="00EC1E0B">
        <w:t>Naish, M., Rawling, E. and Hart, C. </w:t>
      </w:r>
      <w:r>
        <w:t>(</w:t>
      </w:r>
      <w:r w:rsidRPr="00EC1E0B">
        <w:t>1987</w:t>
      </w:r>
      <w:r>
        <w:t>)</w:t>
      </w:r>
      <w:r w:rsidRPr="00EC1E0B">
        <w:t>. </w:t>
      </w:r>
      <w:r w:rsidRPr="002C2EEC">
        <w:rPr>
          <w:i/>
          <w:iCs/>
        </w:rPr>
        <w:t>Geography 16–19: The Contribution of a Curriculum Project to 16–19 Education</w:t>
      </w:r>
      <w:r w:rsidRPr="00EC1E0B">
        <w:t>, Harlow: Longman. </w:t>
      </w:r>
    </w:p>
    <w:p w14:paraId="0C4454F1" w14:textId="77777777" w:rsidR="00152CA4" w:rsidRDefault="00152CA4" w:rsidP="00152CA4"/>
    <w:p w14:paraId="503D7FE2" w14:textId="347B6882" w:rsidR="001E75CE" w:rsidRDefault="001E75CE" w:rsidP="00152CA4">
      <w:r w:rsidRPr="00EC1E0B">
        <w:lastRenderedPageBreak/>
        <w:t xml:space="preserve">National Curriculum Council (NCC). </w:t>
      </w:r>
      <w:r>
        <w:t>(</w:t>
      </w:r>
      <w:r w:rsidRPr="00EC1E0B">
        <w:t>1990</w:t>
      </w:r>
      <w:r>
        <w:t>)</w:t>
      </w:r>
      <w:r w:rsidRPr="00EC1E0B">
        <w:t>. Curriculum Guidance 7: Environmental Education, York: National Curriculum Council.</w:t>
      </w:r>
    </w:p>
    <w:p w14:paraId="7D651D96" w14:textId="77777777" w:rsidR="00152CA4" w:rsidRDefault="00152CA4" w:rsidP="00152CA4"/>
    <w:p w14:paraId="625FED12" w14:textId="2B2D05F2" w:rsidR="001E75CE" w:rsidRDefault="001E75CE" w:rsidP="00152CA4">
      <w:r w:rsidRPr="009C592B">
        <w:t xml:space="preserve">Neumann, A. </w:t>
      </w:r>
      <w:r>
        <w:t>(</w:t>
      </w:r>
      <w:r w:rsidRPr="009C592B">
        <w:t>2014</w:t>
      </w:r>
      <w:r>
        <w:t>)</w:t>
      </w:r>
      <w:r w:rsidRPr="009C592B">
        <w:t xml:space="preserve">. “Staking a Claim on Learning: What We Should Know About Learning in Higher Education and why.” The Review of Higher Education 37 (2): 249–267. doi: </w:t>
      </w:r>
      <w:hyperlink r:id="rId21" w:history="1">
        <w:r w:rsidRPr="005D606F">
          <w:rPr>
            <w:rStyle w:val="Hyperlink"/>
          </w:rPr>
          <w:t>https://doi.org/10.1353/rhe.2014.0003</w:t>
        </w:r>
      </w:hyperlink>
    </w:p>
    <w:p w14:paraId="7949D187" w14:textId="77777777" w:rsidR="00152CA4" w:rsidRDefault="00152CA4" w:rsidP="00152CA4"/>
    <w:p w14:paraId="1516C1EE" w14:textId="1FF82639" w:rsidR="001E75CE" w:rsidRDefault="001E75CE" w:rsidP="00152CA4">
      <w:r w:rsidRPr="00444D3C">
        <w:t>Nils Kirsten (2019) Improving literacy and content learning across the curriculum? How teachers relate literacy teaching to school subjects in cross-curricular professional development, Education Inquiry, 10:4, 368-384, DOI: </w:t>
      </w:r>
      <w:hyperlink r:id="rId22" w:history="1">
        <w:r w:rsidRPr="00444D3C">
          <w:rPr>
            <w:rStyle w:val="Hyperlink"/>
          </w:rPr>
          <w:t>10.1080/20004508.2019.1580983</w:t>
        </w:r>
      </w:hyperlink>
    </w:p>
    <w:p w14:paraId="0DDF2E0E" w14:textId="77777777" w:rsidR="00152CA4" w:rsidRDefault="00152CA4" w:rsidP="00152CA4"/>
    <w:p w14:paraId="251A7AA4" w14:textId="45F67E4A" w:rsidR="001E75CE" w:rsidRDefault="001E75CE" w:rsidP="00152CA4">
      <w:r w:rsidRPr="000628E8">
        <w:t>O’Brien, D. G., Stewart, R. A., &amp; Moje, E. B. (1995). Why content literacy is difficult to infuse into the secondary school: complexities of curriculum, pedagogy, and school culture. Reading Research Quarterly, 30(3), 442–463.</w:t>
      </w:r>
    </w:p>
    <w:p w14:paraId="1C57C75C" w14:textId="77777777" w:rsidR="00152CA4" w:rsidRDefault="00152CA4" w:rsidP="00152CA4"/>
    <w:p w14:paraId="03DF9B61" w14:textId="6E87CC2A" w:rsidR="001E75CE" w:rsidRDefault="001E75CE" w:rsidP="00152CA4">
      <w:r>
        <w:t xml:space="preserve">Obara, S., &amp; Sloan, M. (2010). Classroom experiences with new curriculum materials during the implementation of performance standards in mathematics: A case study of teachers coping with change. International Journal of Science and Mathematics Education, 8(2), 349–372. </w:t>
      </w:r>
      <w:hyperlink r:id="rId23" w:history="1">
        <w:r w:rsidRPr="005D606F">
          <w:rPr>
            <w:rStyle w:val="Hyperlink"/>
          </w:rPr>
          <w:t>https://doi.org/10.1007/s10763-009- 9176-9</w:t>
        </w:r>
      </w:hyperlink>
    </w:p>
    <w:p w14:paraId="6AB06CDA" w14:textId="77777777" w:rsidR="00152CA4" w:rsidRDefault="00152CA4" w:rsidP="00152CA4"/>
    <w:p w14:paraId="34589BC0" w14:textId="0D4CE24E" w:rsidR="001E75CE" w:rsidRDefault="001E75CE" w:rsidP="00152CA4">
      <w:r w:rsidRPr="003D3790">
        <w:t>OECD (2015). Education Policy Outlook 2015 Making Reforms Happen. Paris: OECD. Osborn, M., McNess, E., and Broadfoot, P. (2000). What Teachers Do: Changing Policy and Practice in Primary Education. London: Continuum.</w:t>
      </w:r>
    </w:p>
    <w:p w14:paraId="59928E85" w14:textId="77777777" w:rsidR="00152CA4" w:rsidRDefault="00152CA4" w:rsidP="00152CA4"/>
    <w:p w14:paraId="465BE17A" w14:textId="66726965" w:rsidR="001E75CE" w:rsidRDefault="001E75CE" w:rsidP="00152CA4">
      <w:r>
        <w:t>O</w:t>
      </w:r>
      <w:r w:rsidRPr="00016561">
        <w:t>ECD. (2016) Education at a glance 2016 ( Paris, OECD Publishing).</w:t>
      </w:r>
    </w:p>
    <w:p w14:paraId="4E4222CE" w14:textId="77777777" w:rsidR="00152CA4" w:rsidRDefault="00152CA4" w:rsidP="00152CA4"/>
    <w:p w14:paraId="4DE5DF29" w14:textId="5A3E0DE1" w:rsidR="001E75CE" w:rsidRDefault="001E75CE" w:rsidP="00152CA4">
      <w:r>
        <w:t>Ogawa, R. T., Sandholtz, J. H., Martinez-Flores, M., &amp; Scribner, S. P. (2003). The substantive and symbolic consequences of a District’s standards-based curriculum. American Educational Research Journal, 40(1), 147–176. https://doi. org/10.3102/00028312040001147</w:t>
      </w:r>
    </w:p>
    <w:p w14:paraId="19A750CD" w14:textId="77777777" w:rsidR="00152CA4" w:rsidRDefault="00152CA4" w:rsidP="00152CA4"/>
    <w:p w14:paraId="06AEF992" w14:textId="42D376B4" w:rsidR="001E75CE" w:rsidRDefault="001E75CE" w:rsidP="00152CA4">
      <w:r>
        <w:t>Okai, A.U. (2010). History methods. Lagos. National Open University of Nigeria.</w:t>
      </w:r>
    </w:p>
    <w:p w14:paraId="457DB401" w14:textId="77777777" w:rsidR="00152CA4" w:rsidRDefault="00152CA4" w:rsidP="00152CA4"/>
    <w:p w14:paraId="01A90912" w14:textId="026F5153" w:rsidR="001E75CE" w:rsidRDefault="001E75CE" w:rsidP="00152CA4">
      <w:r>
        <w:t>Oloruntegbe, K.O. (2003). Curriculum: Concept, Development, Implementation and Revision. Nigeria: Ikare-Akoko; Calvary Ways Publishers</w:t>
      </w:r>
    </w:p>
    <w:p w14:paraId="038F9128" w14:textId="77777777" w:rsidR="00152CA4" w:rsidRDefault="00152CA4" w:rsidP="00152CA4"/>
    <w:p w14:paraId="4CCD9F67" w14:textId="35C06142" w:rsidR="001E75CE" w:rsidRDefault="001E75CE" w:rsidP="00152CA4">
      <w:r>
        <w:t>Oloruntegbe, K.O.&amp; Daramola, C.A. (2007) Facilitation of Curriculum Development in Schools: Instructional Materials as a Case Study. Ed. Thought, 6, 2, 24 – 33.</w:t>
      </w:r>
    </w:p>
    <w:p w14:paraId="305FF483" w14:textId="77777777" w:rsidR="00152CA4" w:rsidRDefault="00152CA4" w:rsidP="00152CA4"/>
    <w:p w14:paraId="0768FE2D" w14:textId="6C342472" w:rsidR="001E75CE" w:rsidRDefault="001E75CE" w:rsidP="00152CA4">
      <w:r>
        <w:t xml:space="preserve">Orr, D. W. </w:t>
      </w:r>
      <w:r>
        <w:t>(</w:t>
      </w:r>
      <w:r>
        <w:t>2013</w:t>
      </w:r>
      <w:r>
        <w:t>)</w:t>
      </w:r>
      <w:r>
        <w:t>. “Foreword: Shallow Versus Deep Environmental Education.” In Teaching Sustainability: Perspectives from the Humanities and Social Sciences, edited by W. Peterson Boring, and W. Forbes, ix–xiii. Nacogdoches, TX: Stephen F. Austin State University Press.</w:t>
      </w:r>
    </w:p>
    <w:p w14:paraId="276727F8" w14:textId="77777777" w:rsidR="00152CA4" w:rsidRDefault="00152CA4" w:rsidP="00152CA4"/>
    <w:p w14:paraId="61EBB56D" w14:textId="3B7526FE" w:rsidR="001E75CE" w:rsidRDefault="001E75CE" w:rsidP="00152CA4">
      <w:r>
        <w:t>Orr, D.W. (1992) Ecological Literacy, Education and the Transition to a Postmodern World. Albany: State University of New York Press</w:t>
      </w:r>
    </w:p>
    <w:p w14:paraId="1865A635" w14:textId="77777777" w:rsidR="00152CA4" w:rsidRDefault="00152CA4" w:rsidP="00152CA4"/>
    <w:p w14:paraId="2A9BEF77" w14:textId="77777777" w:rsidR="001E75CE" w:rsidRDefault="001E75CE" w:rsidP="00152CA4">
      <w:r>
        <w:t>Ouwuka, U. (1996) Curriculum Development for African.Publishers Ltd. Second Edition</w:t>
      </w:r>
    </w:p>
    <w:p w14:paraId="3B3E6C0B" w14:textId="0EA6011F" w:rsidR="001E75CE" w:rsidRDefault="001E75CE" w:rsidP="00152CA4">
      <w:r>
        <w:lastRenderedPageBreak/>
        <w:t>Penaluna, A.; Penaluna, K.; Polenakovikj, R. Developing entrepreneurial education in national school curricula: Lessons from North Macedonia and Wales. Entrep. Educ. 2020, 3, 245–263.</w:t>
      </w:r>
    </w:p>
    <w:p w14:paraId="1185A8C7" w14:textId="77777777" w:rsidR="00152CA4" w:rsidRDefault="00152CA4" w:rsidP="00152CA4"/>
    <w:p w14:paraId="64C3A43B" w14:textId="4FA89BB4" w:rsidR="001E75CE" w:rsidRDefault="001E75CE" w:rsidP="00152CA4">
      <w:r>
        <w:t xml:space="preserve">Penuel, W. R., Gallagher, L. P., &amp; Moorthy, S. (2011). Preparing teachers to design sequences of instruction in earth systems science: A comparison of three professional development programs. American Educational Research Journal, 48(4), 996– 1025. </w:t>
      </w:r>
      <w:hyperlink r:id="rId24" w:history="1">
        <w:r w:rsidRPr="005D606F">
          <w:rPr>
            <w:rStyle w:val="Hyperlink"/>
          </w:rPr>
          <w:t>https://doi.org/10.3102/0002831211410864</w:t>
        </w:r>
      </w:hyperlink>
    </w:p>
    <w:p w14:paraId="126A3830" w14:textId="77777777" w:rsidR="00152CA4" w:rsidRDefault="00152CA4" w:rsidP="00152CA4"/>
    <w:p w14:paraId="40805B27" w14:textId="0FFA3D37" w:rsidR="001E75CE" w:rsidRDefault="001E75CE" w:rsidP="00152CA4">
      <w:r>
        <w:t xml:space="preserve">Polikoff, M. S. (2020). Common standards aren’t enough. Education Next, 20(2). </w:t>
      </w:r>
      <w:hyperlink r:id="rId25" w:history="1">
        <w:r w:rsidRPr="005D606F">
          <w:rPr>
            <w:rStyle w:val="Hyperlink"/>
          </w:rPr>
          <w:t>https://www.educationnext.org/common-standards-arent-enough-forum-decade-on-has-commoncore-failed/</w:t>
        </w:r>
      </w:hyperlink>
    </w:p>
    <w:p w14:paraId="0E0B2E2A" w14:textId="77777777" w:rsidR="00152CA4" w:rsidRDefault="00152CA4" w:rsidP="00152CA4"/>
    <w:p w14:paraId="1735BA57" w14:textId="5DF6CA29" w:rsidR="001E75CE" w:rsidRDefault="001E75CE" w:rsidP="00152CA4">
      <w:r w:rsidRPr="00EC1E0B">
        <w:t>Posch, P. </w:t>
      </w:r>
      <w:r>
        <w:t>(</w:t>
      </w:r>
      <w:r w:rsidRPr="00EC1E0B">
        <w:t>1999</w:t>
      </w:r>
      <w:r>
        <w:t>)</w:t>
      </w:r>
      <w:r w:rsidRPr="00EC1E0B">
        <w:t>. The ecologisation of schools and its implications for educational policy. </w:t>
      </w:r>
      <w:r w:rsidRPr="002C2EEC">
        <w:rPr>
          <w:i/>
          <w:iCs/>
        </w:rPr>
        <w:t>Cambridge Journal of Education</w:t>
      </w:r>
      <w:r w:rsidRPr="00EC1E0B">
        <w:t>, 29(3): 341–348.</w:t>
      </w:r>
    </w:p>
    <w:p w14:paraId="5FB67CFB" w14:textId="77777777" w:rsidR="00152CA4" w:rsidRDefault="00152CA4" w:rsidP="00152CA4"/>
    <w:p w14:paraId="033A66EA" w14:textId="76E58D36" w:rsidR="001E75CE" w:rsidRDefault="001E75CE" w:rsidP="00152CA4">
      <w:r>
        <w:t xml:space="preserve">Power, S.; Newton, N.; Taylor, C. </w:t>
      </w:r>
      <w:r>
        <w:t xml:space="preserve">(2020). </w:t>
      </w:r>
      <w:r>
        <w:t>‘Successful futures’ for all in Wales? The challenges of curriculum reform for addressing educational inequalities. Curric. J. 31, 317–333.</w:t>
      </w:r>
    </w:p>
    <w:p w14:paraId="5F673D43" w14:textId="77777777" w:rsidR="00152CA4" w:rsidRDefault="00152CA4" w:rsidP="00152CA4"/>
    <w:p w14:paraId="728AC12C" w14:textId="16A61BDE" w:rsidR="001E75CE" w:rsidRDefault="001E75CE" w:rsidP="00152CA4">
      <w:r w:rsidRPr="00AD6034">
        <w:t>Priestley,  M.  &amp;  Minty,  S.  (2013)  Curriculum  for  excellence:  ‘A  brilliant  idea,  but...’,  Scottish Educational Review, 45(1), 39–52.</w:t>
      </w:r>
    </w:p>
    <w:p w14:paraId="7D87D608" w14:textId="77777777" w:rsidR="00152CA4" w:rsidRDefault="00152CA4" w:rsidP="00152CA4"/>
    <w:p w14:paraId="5021AE98" w14:textId="0D1A5773" w:rsidR="001E75CE" w:rsidRDefault="001E75CE" w:rsidP="00152CA4">
      <w:r>
        <w:t>Reed, D. K. (2009). A synthesis of professional development on the implementation of literacy strategies for middle school content area teachers. RMLE Online, 32(10), 1–12.</w:t>
      </w:r>
    </w:p>
    <w:p w14:paraId="46999425" w14:textId="77777777" w:rsidR="00152CA4" w:rsidRDefault="00152CA4" w:rsidP="00152CA4"/>
    <w:p w14:paraId="3733E67E" w14:textId="5F2AEE8F" w:rsidR="001E75CE" w:rsidRDefault="001E75CE" w:rsidP="00152CA4">
      <w:r>
        <w:t xml:space="preserve">Reid, A., and P. Petocz. </w:t>
      </w:r>
      <w:r>
        <w:t>(</w:t>
      </w:r>
      <w:r>
        <w:t>2006</w:t>
      </w:r>
      <w:r>
        <w:t>)</w:t>
      </w:r>
      <w:r>
        <w:t>. “University Lecturers’ Understanding of Sustainability.” Higher Education 51 (1): 105–123.</w:t>
      </w:r>
    </w:p>
    <w:p w14:paraId="0D0ED552" w14:textId="77777777" w:rsidR="00152CA4" w:rsidRDefault="00152CA4" w:rsidP="00152CA4"/>
    <w:p w14:paraId="5D1E517A" w14:textId="0CD52038" w:rsidR="001E75CE" w:rsidRDefault="001E75CE" w:rsidP="00152CA4">
      <w:r>
        <w:t>Richmond, J. M. and Morgan, R. F. (1977) A national survey of the environmental knowledge and attitudes of fifth year pupils in England. ERIC ED 134 478.</w:t>
      </w:r>
    </w:p>
    <w:p w14:paraId="6741B079" w14:textId="77777777" w:rsidR="00152CA4" w:rsidRDefault="00152CA4" w:rsidP="00152CA4"/>
    <w:p w14:paraId="6F28B020" w14:textId="5E1C11A2" w:rsidR="001E75CE" w:rsidRDefault="001E75CE" w:rsidP="00152CA4">
      <w:r w:rsidRPr="00CE3078">
        <w:t xml:space="preserve">Rickinson, M. </w:t>
      </w:r>
      <w:r>
        <w:t>(</w:t>
      </w:r>
      <w:r w:rsidRPr="00CE3078">
        <w:t>2001</w:t>
      </w:r>
      <w:r>
        <w:t>)</w:t>
      </w:r>
      <w:r w:rsidRPr="00CE3078">
        <w:t>. Learners and learning in environmental education: a critical review of the evidence. Environmental Education Research, 7(3): 207–320.</w:t>
      </w:r>
    </w:p>
    <w:p w14:paraId="75DD6178" w14:textId="77777777" w:rsidR="00152CA4" w:rsidRDefault="00152CA4" w:rsidP="00152CA4"/>
    <w:p w14:paraId="06F9B0AB" w14:textId="48F12ED5" w:rsidR="001E75CE" w:rsidRDefault="001E75CE" w:rsidP="00152CA4">
      <w:r>
        <w:t xml:space="preserve">Rosen, M.A. Sustainability: A Crucial Quest for Humanity. Sustainability </w:t>
      </w:r>
      <w:r>
        <w:t>(</w:t>
      </w:r>
      <w:r>
        <w:t>2009</w:t>
      </w:r>
      <w:r>
        <w:t>)</w:t>
      </w:r>
      <w:r>
        <w:t>, 1, 1–4.</w:t>
      </w:r>
    </w:p>
    <w:p w14:paraId="679E6D21" w14:textId="77777777" w:rsidR="00152CA4" w:rsidRDefault="00152CA4" w:rsidP="00152CA4"/>
    <w:p w14:paraId="33FB391C" w14:textId="43CD7D54" w:rsidR="001E75CE" w:rsidRDefault="001E75CE" w:rsidP="00152CA4">
      <w:r w:rsidRPr="009C592B">
        <w:t xml:space="preserve">Rosenzweig, Cynthia, David Karoly, Marta Vicarelli, Peter Neofotis, Qigang Wu, Gino Casassa, Annette Menzel, et al. 2008. “Attributing Physical and Biological Impacts to Anthropogenic Climate Change.” Nature 453 (7193): 353–357. doi: </w:t>
      </w:r>
      <w:hyperlink r:id="rId26" w:history="1">
        <w:r w:rsidRPr="005D606F">
          <w:rPr>
            <w:rStyle w:val="Hyperlink"/>
          </w:rPr>
          <w:t>https://doi.org/10.1038/nature06937</w:t>
        </w:r>
      </w:hyperlink>
    </w:p>
    <w:p w14:paraId="3D4DE066" w14:textId="77777777" w:rsidR="00152CA4" w:rsidRDefault="00152CA4" w:rsidP="00152CA4"/>
    <w:p w14:paraId="47CAA85C" w14:textId="6FA67D92" w:rsidR="001E75CE" w:rsidRDefault="001E75CE" w:rsidP="00152CA4">
      <w:r>
        <w:t>Scott, D. and Willits, F. K. (1994) Environmental attitudes and behaviour: Pennsylvania Survey. Environment and Behaviour, 26(2), 239–260.</w:t>
      </w:r>
    </w:p>
    <w:p w14:paraId="612C460B" w14:textId="77777777" w:rsidR="00152CA4" w:rsidRDefault="00152CA4" w:rsidP="00152CA4"/>
    <w:p w14:paraId="44A9AC4F" w14:textId="24B9FD80" w:rsidR="001E75CE" w:rsidRDefault="001E75CE" w:rsidP="00152CA4">
      <w:r w:rsidRPr="000628E8">
        <w:t>Shanahan, T., &amp; Shanahan, C. (2008). Teaching disciplinary literacy to adolescents: Rethinking content-area literacy. Harvard Educational Review, 78(1), 40–59.</w:t>
      </w:r>
    </w:p>
    <w:p w14:paraId="0E3ED099" w14:textId="77777777" w:rsidR="00152CA4" w:rsidRDefault="00152CA4" w:rsidP="00152CA4"/>
    <w:p w14:paraId="3C443934" w14:textId="1AD540CC" w:rsidR="001E75CE" w:rsidRDefault="001E75CE" w:rsidP="00152CA4">
      <w:r>
        <w:lastRenderedPageBreak/>
        <w:t xml:space="preserve">Sherman, J. D., and H. L. Burns. </w:t>
      </w:r>
      <w:r>
        <w:t>(</w:t>
      </w:r>
      <w:r>
        <w:t>2015</w:t>
      </w:r>
      <w:r>
        <w:t>)</w:t>
      </w:r>
      <w:r>
        <w:t>. “‘Radically Different Learning’: Implementing Sustainability Pedagogy in a University Peer Mentor Program.” Teaching in Higher Education 20 (3): 231–243.</w:t>
      </w:r>
    </w:p>
    <w:p w14:paraId="022382F7" w14:textId="77777777" w:rsidR="00152CA4" w:rsidRDefault="00152CA4" w:rsidP="00152CA4"/>
    <w:p w14:paraId="205345F3" w14:textId="276401B1" w:rsidR="001E75CE" w:rsidRDefault="001E75CE" w:rsidP="00152CA4">
      <w:r>
        <w:t xml:space="preserve">Sherman, J. D., and H. L. Burns. </w:t>
      </w:r>
      <w:r>
        <w:t>(</w:t>
      </w:r>
      <w:r>
        <w:t>2015</w:t>
      </w:r>
      <w:r>
        <w:t>)</w:t>
      </w:r>
      <w:r>
        <w:t>. “‘Radically Different Learning’: Implementing Sustainability Pedagogy in a University Peer Mentor Program.” Teaching in Higher Education 20 (3): 231–243.</w:t>
      </w:r>
    </w:p>
    <w:p w14:paraId="42A1B37A" w14:textId="77777777" w:rsidR="00152CA4" w:rsidRDefault="00152CA4" w:rsidP="00152CA4"/>
    <w:p w14:paraId="35AF4EC0" w14:textId="506F276F" w:rsidR="001E75CE" w:rsidRDefault="001E75CE" w:rsidP="00152CA4">
      <w:r>
        <w:t>Showers, D. E. and Shrigley, R. L. (1995) Effects of knowledge and persuasion on highschool students’ attitudes toward nuclear power plants. Journal of Research in Science Teaching, 32(1), 29–43.</w:t>
      </w:r>
    </w:p>
    <w:p w14:paraId="5348BE8A" w14:textId="77777777" w:rsidR="00152CA4" w:rsidRDefault="00152CA4" w:rsidP="00152CA4"/>
    <w:p w14:paraId="216CDC91" w14:textId="28C29F95" w:rsidR="001E75CE" w:rsidRDefault="001E75CE" w:rsidP="00152CA4">
      <w:r w:rsidRPr="00016561">
        <w:t>Sinnema, C. &amp; Aitken, G. (2013) Emerging international trends in curriculum, in: M. Priestley &amp; G. J. J. Biesta (Eds) Reinventing the curriculum: New trends in curriculum policy and practice ( London, Bloomsbury Academic).</w:t>
      </w:r>
    </w:p>
    <w:p w14:paraId="4D70DCBD" w14:textId="77777777" w:rsidR="00152CA4" w:rsidRDefault="00152CA4" w:rsidP="00152CA4"/>
    <w:p w14:paraId="68565EB8" w14:textId="7DD10EAE" w:rsidR="001E75CE" w:rsidRDefault="001E75CE" w:rsidP="00152CA4">
      <w:r w:rsidRPr="00016561">
        <w:t>Sinnema, C., Alansari, M., Turner, H. (2011) Monitoring and evaluating curriculum implementation. Final evaluation report on the implementation of the New Zealand curriculum 2008–2009. Wellington: The New Zealand Ministry of Education.</w:t>
      </w:r>
    </w:p>
    <w:p w14:paraId="582D291D" w14:textId="77777777" w:rsidR="00152CA4" w:rsidRDefault="00152CA4" w:rsidP="00152CA4"/>
    <w:p w14:paraId="547CB3F3" w14:textId="77777777" w:rsidR="001E75CE" w:rsidRDefault="001E75CE" w:rsidP="00152CA4">
      <w:r>
        <w:t xml:space="preserve">Sinnema, C.; Nieveen, N.; Priestley, M. </w:t>
      </w:r>
      <w:r>
        <w:t xml:space="preserve">(2020). </w:t>
      </w:r>
      <w:r>
        <w:t>Successful futures, successful curriculum: What can Wales learn from international curriculum reforms? Curric. J. 31, 181–201.</w:t>
      </w:r>
    </w:p>
    <w:p w14:paraId="4F105BD3" w14:textId="77777777" w:rsidR="001E75CE" w:rsidRDefault="001E75CE" w:rsidP="00152CA4">
      <w:r>
        <w:t xml:space="preserve">Šlaus, I.; Jacobs, G. </w:t>
      </w:r>
      <w:r>
        <w:t xml:space="preserve">(2011). </w:t>
      </w:r>
      <w:r>
        <w:t>Human Capital and Sustainability. Sustainability, 3, 97–154.</w:t>
      </w:r>
    </w:p>
    <w:p w14:paraId="419F92BB" w14:textId="578F19C5" w:rsidR="001E75CE" w:rsidRDefault="001E75CE" w:rsidP="00152CA4">
      <w:r w:rsidRPr="000628E8">
        <w:t xml:space="preserve">Smith, J. (2019) Curriculum coherence and teachers’ decision-making in Scottish high school history syllabi, The Curriculum Journal, 30(4), 441– 463. </w:t>
      </w:r>
      <w:hyperlink r:id="rId27" w:history="1">
        <w:r w:rsidRPr="005D606F">
          <w:rPr>
            <w:rStyle w:val="Hyperlink"/>
          </w:rPr>
          <w:t>https://doi.org/10.1080/09585176.2019.1647861</w:t>
        </w:r>
      </w:hyperlink>
    </w:p>
    <w:p w14:paraId="27DC8B69" w14:textId="77777777" w:rsidR="00152CA4" w:rsidRDefault="00152CA4" w:rsidP="00152CA4"/>
    <w:p w14:paraId="21CCEB0C" w14:textId="52DD03C0" w:rsidR="001E75CE" w:rsidRDefault="001E75CE" w:rsidP="00152CA4">
      <w:r w:rsidRPr="00444D3C">
        <w:t>Stuart Pearson , Steven Honeywood &amp; Mitch O’Toole (2005) Not Yet Learning for Sustainability: The Challenge of Environmental Education in a University, International Research in Geographical &amp; Environmental Education, 14:3, 173-186, DOI: 10.1080/10382040508668349</w:t>
      </w:r>
    </w:p>
    <w:p w14:paraId="03E5B6F8" w14:textId="77777777" w:rsidR="00152CA4" w:rsidRPr="00444D3C" w:rsidRDefault="00152CA4" w:rsidP="00152CA4"/>
    <w:p w14:paraId="4D620067" w14:textId="1EA8EFE2" w:rsidR="001E75CE" w:rsidRDefault="001E75CE" w:rsidP="00152CA4">
      <w:r>
        <w:t xml:space="preserve">Tarr, J. E., Chávez, Ó., Reys, R. E., &amp; Reys, B. J. (2006). From the written to the enacted curricula: The intermediary role of middle school mathematics teachers in shaping students’ opportunity to learn. School Science and Mathematics, 106(4), 191–201. </w:t>
      </w:r>
      <w:hyperlink r:id="rId28" w:history="1">
        <w:r w:rsidRPr="005D606F">
          <w:rPr>
            <w:rStyle w:val="Hyperlink"/>
          </w:rPr>
          <w:t>https://doi.org/10.1111/j.1949-8594.2006. tb18075.x</w:t>
        </w:r>
      </w:hyperlink>
    </w:p>
    <w:p w14:paraId="520775E3" w14:textId="77777777" w:rsidR="00152CA4" w:rsidRDefault="00152CA4" w:rsidP="00152CA4"/>
    <w:p w14:paraId="43B64F7A" w14:textId="03425591" w:rsidR="001E75CE" w:rsidRDefault="001E75CE" w:rsidP="00152CA4">
      <w:r>
        <w:t>Tomlins, B. and Froud, K. (1994) Environmental education: teaching approaches and students’ attitudes: a briefing paper (Slough, UK: National Foundation for Educational Research).</w:t>
      </w:r>
    </w:p>
    <w:p w14:paraId="22D955D2" w14:textId="77777777" w:rsidR="00152CA4" w:rsidRDefault="00152CA4" w:rsidP="00152CA4"/>
    <w:p w14:paraId="4413CFEA" w14:textId="06BE3156" w:rsidR="001E75CE" w:rsidRDefault="001E75CE" w:rsidP="00152CA4">
      <w:r w:rsidRPr="00CE3078">
        <w:t xml:space="preserve">University of London Examinations and Assessment Council. </w:t>
      </w:r>
      <w:r>
        <w:t>(</w:t>
      </w:r>
      <w:r w:rsidRPr="00CE3078">
        <w:t>1996</w:t>
      </w:r>
      <w:r>
        <w:t>)</w:t>
      </w:r>
      <w:r w:rsidRPr="00CE3078">
        <w:t>. Geography (16–19 Project) Syllabus 9219, London: University of London Examinations and Assessment.</w:t>
      </w:r>
    </w:p>
    <w:p w14:paraId="497764C4" w14:textId="77777777" w:rsidR="00152CA4" w:rsidRDefault="00152CA4" w:rsidP="00152CA4"/>
    <w:p w14:paraId="471C209E" w14:textId="046199B6" w:rsidR="001E75CE" w:rsidRDefault="001E75CE" w:rsidP="00152CA4">
      <w:r>
        <w:t>Uzzell, D. (1999) Education for environmental action in the community: new roles and relationships. Cambridge Journal of Education, 29(3), 397–413.</w:t>
      </w:r>
    </w:p>
    <w:p w14:paraId="2F527AD0" w14:textId="77777777" w:rsidR="00152CA4" w:rsidRDefault="00152CA4" w:rsidP="00152CA4"/>
    <w:p w14:paraId="1D1C3AB9" w14:textId="0A3E5109" w:rsidR="001E75CE" w:rsidRDefault="001E75CE" w:rsidP="00152CA4">
      <w:r w:rsidRPr="00444D3C">
        <w:lastRenderedPageBreak/>
        <w:t>Vasconcelos, Clara, and Nir Orion. 2021. "Earth Science Education as a Key Component of Education for Sustainability" </w:t>
      </w:r>
      <w:r w:rsidRPr="002C2EEC">
        <w:rPr>
          <w:i/>
          <w:iCs/>
        </w:rPr>
        <w:t>Sustainability</w:t>
      </w:r>
      <w:r w:rsidRPr="00444D3C">
        <w:t xml:space="preserve"> 13, no. 3: 1316. </w:t>
      </w:r>
      <w:hyperlink r:id="rId29" w:history="1">
        <w:r w:rsidRPr="00444D3C">
          <w:rPr>
            <w:rStyle w:val="Hyperlink"/>
          </w:rPr>
          <w:t>https://doi.org/10.3390/su13031316</w:t>
        </w:r>
      </w:hyperlink>
    </w:p>
    <w:p w14:paraId="13B78716" w14:textId="77777777" w:rsidR="00152CA4" w:rsidRDefault="00152CA4" w:rsidP="00152CA4"/>
    <w:p w14:paraId="5F057F35" w14:textId="02C60F0B" w:rsidR="001E75CE" w:rsidRDefault="001E75CE" w:rsidP="00152CA4">
      <w:r w:rsidRPr="00016561">
        <w:t>Volman, M., Raban, A., Heemskerk, I., Ledouz, G. &amp; Kuiper, E. (2018) Toekomstgericht onderwijs: Doelen en werkwijzen van innovatieve VO-scholen. [Future-oriented education: aims and approaches of innovative schools for secondary education] ( Amsterdam, Kohnstamm Institute).</w:t>
      </w:r>
    </w:p>
    <w:p w14:paraId="033BC761" w14:textId="77777777" w:rsidR="00152CA4" w:rsidRDefault="00152CA4" w:rsidP="00152CA4"/>
    <w:p w14:paraId="70EDF057" w14:textId="275C986D" w:rsidR="001E75CE" w:rsidRDefault="001E75CE" w:rsidP="00152CA4">
      <w:r w:rsidRPr="00CE3078">
        <w:t xml:space="preserve">Walker, K. E. </w:t>
      </w:r>
      <w:r>
        <w:t>(</w:t>
      </w:r>
      <w:r w:rsidRPr="00CE3078">
        <w:t>1997</w:t>
      </w:r>
      <w:r>
        <w:t>)</w:t>
      </w:r>
      <w:r w:rsidRPr="00CE3078">
        <w:t>. Challenging critical theory in environmental education. Environmental Education Research, 3(2): 155–162.</w:t>
      </w:r>
    </w:p>
    <w:p w14:paraId="26506350" w14:textId="77777777" w:rsidR="00152CA4" w:rsidRDefault="00152CA4" w:rsidP="00152CA4"/>
    <w:p w14:paraId="732A1C82" w14:textId="77777777" w:rsidR="001E75CE" w:rsidRDefault="001E75CE" w:rsidP="00152CA4">
      <w:r w:rsidRPr="00016561">
        <w:t>Wall, A. &amp; Leckie, A. (2017) Curriculum Integration: an overview, CIiMLE, 22(1), 36– 40.</w:t>
      </w:r>
    </w:p>
    <w:p w14:paraId="31949E70" w14:textId="74FEBE77" w:rsidR="001E75CE" w:rsidRDefault="001E75CE" w:rsidP="00152CA4">
      <w:r>
        <w:t>Weicht, R.; Ivanova, I.; Gikopoulou, O. The CRADLE teaching methodology: Developing foreign language and entrepreneurial skills in primary school pupils. Entrep. Educ. 2020, 3, 265–285.</w:t>
      </w:r>
    </w:p>
    <w:p w14:paraId="6BDDC33B" w14:textId="77777777" w:rsidR="00152CA4" w:rsidRDefault="00152CA4" w:rsidP="00152CA4"/>
    <w:p w14:paraId="2D8F083A" w14:textId="77777777" w:rsidR="001E75CE" w:rsidRDefault="001E75CE" w:rsidP="00152CA4">
      <w:r w:rsidRPr="00AD6034">
        <w:t>Welsh Government (2020) The curriculum for Wales. Available online at: https://hwb.gov.wales /curri culum -for-wales /intro duction</w:t>
      </w:r>
      <w:r>
        <w:t xml:space="preserve"> (accessed 4 November 2022).</w:t>
      </w:r>
    </w:p>
    <w:p w14:paraId="633B753B" w14:textId="35978CC5" w:rsidR="001E75CE" w:rsidRDefault="001E75CE" w:rsidP="00152CA4">
      <w:r w:rsidRPr="00AD6034">
        <w:t>Welsh Government (2020</w:t>
      </w:r>
      <w:r>
        <w:t>b</w:t>
      </w:r>
      <w:r w:rsidRPr="00AD6034">
        <w:t>) The curriculum for Wales. Available online at:</w:t>
      </w:r>
      <w:r>
        <w:t xml:space="preserve"> </w:t>
      </w:r>
      <w:hyperlink r:id="rId30" w:anchor="curriculum-design-and-the-four-purposes" w:history="1">
        <w:r w:rsidRPr="00BE4B45">
          <w:rPr>
            <w:rStyle w:val="Hyperlink"/>
          </w:rPr>
          <w:t>https://hwb.gov.wales/curriculum-for-wales/designing-your-curriculum/developing-a-vision-for-curriculum-design/#curriculum-design-and-the-four-purposes</w:t>
        </w:r>
      </w:hyperlink>
      <w:r>
        <w:t xml:space="preserve"> (accessed 4 November 2022).</w:t>
      </w:r>
    </w:p>
    <w:p w14:paraId="12002F6C" w14:textId="77777777" w:rsidR="00152CA4" w:rsidRDefault="00152CA4" w:rsidP="00152CA4"/>
    <w:p w14:paraId="7B0D424E" w14:textId="2C27EB26" w:rsidR="001E75CE" w:rsidRDefault="001E75CE" w:rsidP="00152CA4">
      <w:r w:rsidRPr="002A0849">
        <w:t>Welsh Government. (2013). </w:t>
      </w:r>
      <w:r w:rsidRPr="002C2EEC">
        <w:rPr>
          <w:i/>
          <w:iCs/>
        </w:rPr>
        <w:t>Written Statement - National Literacy and Numeracy Framework</w:t>
      </w:r>
      <w:r w:rsidRPr="002A0849">
        <w:t>. [Online]. Gov.Wales. Last Updated: 28 January 2013. Available at: https://www.gov.wales/written-statement-national-literacy-and-numeracy-framework#:~:text=The%20LNF%2 [Accessed 9 March 2023].</w:t>
      </w:r>
    </w:p>
    <w:p w14:paraId="1274CB07" w14:textId="77777777" w:rsidR="00152CA4" w:rsidRDefault="00152CA4" w:rsidP="00152CA4"/>
    <w:p w14:paraId="46B59D6D" w14:textId="259D8431" w:rsidR="001E75CE" w:rsidRDefault="001E75CE" w:rsidP="00152CA4">
      <w:r w:rsidRPr="00016561">
        <w:t>Welsh Government. (2019) Draft curriculum for Wales 2022: A guide to curriculum for Wales 2022.</w:t>
      </w:r>
    </w:p>
    <w:p w14:paraId="26E50B91" w14:textId="77777777" w:rsidR="00152CA4" w:rsidRDefault="00152CA4" w:rsidP="00152CA4"/>
    <w:p w14:paraId="40653870" w14:textId="77777777" w:rsidR="001E75CE" w:rsidRDefault="001E75CE" w:rsidP="00152CA4">
      <w:r w:rsidRPr="00826284">
        <w:t xml:space="preserve">Welsh Government. (2019) Our national mission: A transformational curriculum. Available online at: https ://gov.wales/ sites/ defau lt/files/ consu ltati ons/2019-02/consu ltati on-docum ent-trans formational-curri culum-v2.pdf (accessed </w:t>
      </w:r>
      <w:r>
        <w:t>4 November 2022).</w:t>
      </w:r>
    </w:p>
    <w:p w14:paraId="0632F25D" w14:textId="3BF98342" w:rsidR="001E75CE" w:rsidRDefault="001E75CE" w:rsidP="00152CA4">
      <w:r w:rsidRPr="002A0849">
        <w:t>Welsh Government. (2021). </w:t>
      </w:r>
      <w:r w:rsidRPr="002C2EEC">
        <w:rPr>
          <w:i/>
          <w:iCs/>
        </w:rPr>
        <w:t>Green investment to tackle climate and nature emergency</w:t>
      </w:r>
      <w:r w:rsidRPr="002A0849">
        <w:t>. [Online]. Gov.Wales. Last Updated: 20 December 2021. Available at: https://www.gov.wales/green-investment-tackle-climate-and-nature-emergency [Accessed 9 March 2023].</w:t>
      </w:r>
    </w:p>
    <w:p w14:paraId="6E2D3CB0" w14:textId="77777777" w:rsidR="00152CA4" w:rsidRDefault="00152CA4" w:rsidP="00152CA4"/>
    <w:p w14:paraId="6B888CCF" w14:textId="77777777" w:rsidR="001E75CE" w:rsidRDefault="001E75CE" w:rsidP="00152CA4">
      <w:r>
        <w:t>Welsh Government. Curriculum for Wales Guidance; Welsh Government: Cardiff, UK, 2020.</w:t>
      </w:r>
    </w:p>
    <w:p w14:paraId="708ED5C9" w14:textId="587E113D" w:rsidR="001E75CE" w:rsidRDefault="001E75CE" w:rsidP="00152CA4">
      <w:r>
        <w:t xml:space="preserve">Winter, J., D. Cotton, and P. Warwick. </w:t>
      </w:r>
      <w:r>
        <w:t>(</w:t>
      </w:r>
      <w:r>
        <w:t>2016</w:t>
      </w:r>
      <w:r>
        <w:t>)</w:t>
      </w:r>
      <w:r>
        <w:t>. “The University as a Site of Socialisation for Sustainability Education.” In Teaching Education for Sustainable Development at University Level, edited by W. Leal Filho and P. Pace, 97–108. Cham: Springer.</w:t>
      </w:r>
    </w:p>
    <w:p w14:paraId="7768412D" w14:textId="77777777" w:rsidR="00152CA4" w:rsidRDefault="00152CA4" w:rsidP="00152CA4"/>
    <w:p w14:paraId="32AC7223" w14:textId="75994A63" w:rsidR="001E75CE" w:rsidRDefault="001E75CE" w:rsidP="00152CA4">
      <w:r>
        <w:t xml:space="preserve">Yarime, M., G. Trencher, T. Mino, R. W. Scholz, L. Olsson, B. Ness, N. Frantzeskaki, and J. Rotmans. </w:t>
      </w:r>
      <w:r>
        <w:t>(</w:t>
      </w:r>
      <w:r>
        <w:t>2012</w:t>
      </w:r>
      <w:r>
        <w:t>)</w:t>
      </w:r>
      <w:r>
        <w:t xml:space="preserve">. “Establishing Sustainability Science in Higher Education Institutions: </w:t>
      </w:r>
      <w:r>
        <w:lastRenderedPageBreak/>
        <w:t>Towards an Integration of Academic Development, Institutionalization, and Stakeholder Collaborations.” Sustainability Science 7 (1): 101–113.</w:t>
      </w:r>
    </w:p>
    <w:p w14:paraId="14C7BFAA" w14:textId="77777777" w:rsidR="00152CA4" w:rsidRDefault="00152CA4" w:rsidP="00152CA4"/>
    <w:p w14:paraId="1CA374C5" w14:textId="77777777" w:rsidR="001E75CE" w:rsidRDefault="001E75CE" w:rsidP="00152CA4">
      <w:r>
        <w:t>Yount, J. R. and Horton, P. B. (1992) Factors influencing environmental attitude: the relationship between environmental attitude defensibility and cognitive reasoning level. Journal of Research in Science Teaching, 29(10), 1059–1078.</w:t>
      </w:r>
    </w:p>
    <w:p w14:paraId="2A247F5A" w14:textId="77777777" w:rsidR="001E75CE" w:rsidRDefault="001E75CE" w:rsidP="00152CA4"/>
    <w:p w14:paraId="0989EE26" w14:textId="483FAAE0" w:rsidR="001E75CE" w:rsidRDefault="001E75CE" w:rsidP="002C2EEC"/>
    <w:p w14:paraId="4D8B26D8" w14:textId="60C77CDB" w:rsidR="001E75CE" w:rsidRDefault="001E75CE">
      <w:r>
        <w:br w:type="page"/>
      </w:r>
    </w:p>
    <w:p w14:paraId="600DCE79" w14:textId="77777777" w:rsidR="001E75CE" w:rsidRDefault="001E75CE"/>
    <w:p w14:paraId="2B5B6C9C" w14:textId="0CB6EDE6" w:rsidR="00FB2FFD" w:rsidRDefault="00FB2FFD" w:rsidP="00FB2FFD">
      <w:pPr>
        <w:pStyle w:val="Heading1"/>
      </w:pPr>
      <w:bookmarkStart w:id="24" w:name="_Toc131682249"/>
      <w:r w:rsidRPr="00FB2FFD">
        <w:t>Bibliography</w:t>
      </w:r>
      <w:bookmarkEnd w:id="24"/>
    </w:p>
    <w:p w14:paraId="60D14048" w14:textId="569BFF0B" w:rsidR="001E75CE" w:rsidRDefault="001E75CE" w:rsidP="001E75CE"/>
    <w:p w14:paraId="02004CD0" w14:textId="77777777" w:rsidR="001E75CE" w:rsidRPr="001E75CE" w:rsidRDefault="001E75CE" w:rsidP="001E75CE">
      <w:pPr>
        <w:numPr>
          <w:ilvl w:val="0"/>
          <w:numId w:val="5"/>
        </w:numPr>
      </w:pPr>
      <w:r w:rsidRPr="001E75CE">
        <w:t>Van Leeuwen, A. and Janssen, J., 2019. A systematic review of teacher guidance during collaborative learning in primary and secondary education. Educational Research Review, 27, pp.71-89.</w:t>
      </w:r>
    </w:p>
    <w:p w14:paraId="608F8BAC" w14:textId="77777777" w:rsidR="001E75CE" w:rsidRPr="001E75CE" w:rsidRDefault="001E75CE" w:rsidP="001E75CE">
      <w:pPr>
        <w:numPr>
          <w:ilvl w:val="0"/>
          <w:numId w:val="5"/>
        </w:numPr>
      </w:pPr>
      <w:r w:rsidRPr="001E75CE">
        <w:t>Jones, D.V., 2002. National numeracy initiatives in England and Wales: a comparative study of policy. The Curriculum Journal, 13(1), pp.5-23.</w:t>
      </w:r>
    </w:p>
    <w:p w14:paraId="3994309F" w14:textId="77777777" w:rsidR="001E75CE" w:rsidRPr="001E75CE" w:rsidRDefault="001E75CE" w:rsidP="001E75CE"/>
    <w:sectPr w:rsidR="001E75CE" w:rsidRPr="001E75CE" w:rsidSect="00B8635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02A00" w14:textId="77777777" w:rsidR="002C2E0C" w:rsidRDefault="002C2E0C" w:rsidP="00FB2FFD">
      <w:r>
        <w:separator/>
      </w:r>
    </w:p>
  </w:endnote>
  <w:endnote w:type="continuationSeparator" w:id="0">
    <w:p w14:paraId="52D8B771" w14:textId="77777777" w:rsidR="002C2E0C" w:rsidRDefault="002C2E0C" w:rsidP="00FB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742896"/>
      <w:docPartObj>
        <w:docPartGallery w:val="Page Numbers (Bottom of Page)"/>
        <w:docPartUnique/>
      </w:docPartObj>
    </w:sdtPr>
    <w:sdtContent>
      <w:p w14:paraId="3B24BA2D" w14:textId="63C81856" w:rsidR="00FB2FFD" w:rsidRDefault="00FB2FFD" w:rsidP="005D60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991E3C">
          <w:rPr>
            <w:rStyle w:val="PageNumber"/>
          </w:rPr>
          <w:fldChar w:fldCharType="separate"/>
        </w:r>
        <w:r w:rsidR="00991E3C">
          <w:rPr>
            <w:rStyle w:val="PageNumber"/>
            <w:noProof/>
          </w:rPr>
          <w:t>10</w:t>
        </w:r>
        <w:r>
          <w:rPr>
            <w:rStyle w:val="PageNumber"/>
          </w:rPr>
          <w:fldChar w:fldCharType="end"/>
        </w:r>
      </w:p>
    </w:sdtContent>
  </w:sdt>
  <w:p w14:paraId="17F8B42C" w14:textId="77777777" w:rsidR="00FB2FFD" w:rsidRDefault="00FB2FFD" w:rsidP="00FB2F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7969198"/>
      <w:docPartObj>
        <w:docPartGallery w:val="Page Numbers (Bottom of Page)"/>
        <w:docPartUnique/>
      </w:docPartObj>
    </w:sdtPr>
    <w:sdtContent>
      <w:p w14:paraId="14D99418" w14:textId="7305E753" w:rsidR="00FB2FFD" w:rsidRDefault="00FB2FFD" w:rsidP="005D60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D60DC" w14:textId="250834F7" w:rsidR="00FB2FFD" w:rsidRDefault="00FB2FFD" w:rsidP="00B120A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4055613"/>
      <w:docPartObj>
        <w:docPartGallery w:val="Page Numbers (Bottom of Page)"/>
        <w:docPartUnique/>
      </w:docPartObj>
    </w:sdtPr>
    <w:sdtContent>
      <w:p w14:paraId="5772D8D3" w14:textId="0281F8B1" w:rsidR="00A17B20" w:rsidRDefault="00A17B20" w:rsidP="005D60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sdtContent>
  </w:sdt>
  <w:p w14:paraId="2EBBC98B" w14:textId="77777777" w:rsidR="00A17B20" w:rsidRDefault="00A17B20" w:rsidP="00A17B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9482E" w14:textId="77777777" w:rsidR="002C2E0C" w:rsidRDefault="002C2E0C" w:rsidP="00FB2FFD">
      <w:r>
        <w:separator/>
      </w:r>
    </w:p>
  </w:footnote>
  <w:footnote w:type="continuationSeparator" w:id="0">
    <w:p w14:paraId="086DD1B6" w14:textId="77777777" w:rsidR="002C2E0C" w:rsidRDefault="002C2E0C" w:rsidP="00FB2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2D0C"/>
    <w:multiLevelType w:val="hybridMultilevel"/>
    <w:tmpl w:val="DBC84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706DA"/>
    <w:multiLevelType w:val="hybridMultilevel"/>
    <w:tmpl w:val="1878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850CF"/>
    <w:multiLevelType w:val="hybridMultilevel"/>
    <w:tmpl w:val="DD68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05B2F"/>
    <w:multiLevelType w:val="hybridMultilevel"/>
    <w:tmpl w:val="B2B0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75CF6"/>
    <w:multiLevelType w:val="multilevel"/>
    <w:tmpl w:val="191251C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0B143E9"/>
    <w:multiLevelType w:val="hybridMultilevel"/>
    <w:tmpl w:val="1544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403979"/>
    <w:multiLevelType w:val="hybridMultilevel"/>
    <w:tmpl w:val="1FEAB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7062393">
    <w:abstractNumId w:val="5"/>
  </w:num>
  <w:num w:numId="2" w16cid:durableId="1624842028">
    <w:abstractNumId w:val="3"/>
  </w:num>
  <w:num w:numId="3" w16cid:durableId="1666712623">
    <w:abstractNumId w:val="0"/>
  </w:num>
  <w:num w:numId="4" w16cid:durableId="1032343136">
    <w:abstractNumId w:val="6"/>
  </w:num>
  <w:num w:numId="5" w16cid:durableId="633753497">
    <w:abstractNumId w:val="1"/>
  </w:num>
  <w:num w:numId="6" w16cid:durableId="98837897">
    <w:abstractNumId w:val="4"/>
  </w:num>
  <w:num w:numId="7" w16cid:durableId="322974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93F"/>
    <w:rsid w:val="000618E3"/>
    <w:rsid w:val="00071C3F"/>
    <w:rsid w:val="000A4F0F"/>
    <w:rsid w:val="00114BDA"/>
    <w:rsid w:val="00152CA4"/>
    <w:rsid w:val="001A1C9F"/>
    <w:rsid w:val="001E75CE"/>
    <w:rsid w:val="002C2E0C"/>
    <w:rsid w:val="002C2EEC"/>
    <w:rsid w:val="003E2741"/>
    <w:rsid w:val="00483893"/>
    <w:rsid w:val="005109F3"/>
    <w:rsid w:val="00514396"/>
    <w:rsid w:val="00560EEA"/>
    <w:rsid w:val="00576BA1"/>
    <w:rsid w:val="00627A98"/>
    <w:rsid w:val="006967E6"/>
    <w:rsid w:val="00843E11"/>
    <w:rsid w:val="00991E3C"/>
    <w:rsid w:val="009B362B"/>
    <w:rsid w:val="009E0687"/>
    <w:rsid w:val="00A17B20"/>
    <w:rsid w:val="00A44FCD"/>
    <w:rsid w:val="00A5533F"/>
    <w:rsid w:val="00A70C7E"/>
    <w:rsid w:val="00A922B6"/>
    <w:rsid w:val="00B120A2"/>
    <w:rsid w:val="00B818EE"/>
    <w:rsid w:val="00B86352"/>
    <w:rsid w:val="00C35E34"/>
    <w:rsid w:val="00C611E8"/>
    <w:rsid w:val="00CA1854"/>
    <w:rsid w:val="00CE419A"/>
    <w:rsid w:val="00D06D9E"/>
    <w:rsid w:val="00D4193F"/>
    <w:rsid w:val="00D57BA6"/>
    <w:rsid w:val="00EB1235"/>
    <w:rsid w:val="00F0536F"/>
    <w:rsid w:val="00FA3C10"/>
    <w:rsid w:val="00FB1D43"/>
    <w:rsid w:val="00FB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09A90"/>
  <w15:chartTrackingRefBased/>
  <w15:docId w15:val="{9B74D41C-199A-754D-A67F-E7389EC8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A98"/>
    <w:pPr>
      <w:keepNext/>
      <w:keepLines/>
      <w:spacing w:before="240"/>
      <w:outlineLvl w:val="0"/>
    </w:pPr>
    <w:rPr>
      <w:rFonts w:asciiTheme="majorHAnsi" w:eastAsiaTheme="majorEastAsia" w:hAnsiTheme="majorHAnsi" w:cstheme="majorBidi"/>
      <w:color w:val="538135" w:themeColor="accent6" w:themeShade="BF"/>
      <w:sz w:val="32"/>
      <w:szCs w:val="32"/>
    </w:rPr>
  </w:style>
  <w:style w:type="paragraph" w:styleId="Heading2">
    <w:name w:val="heading 2"/>
    <w:basedOn w:val="Normal"/>
    <w:next w:val="Normal"/>
    <w:link w:val="Heading2Char"/>
    <w:uiPriority w:val="9"/>
    <w:unhideWhenUsed/>
    <w:qFormat/>
    <w:rsid w:val="00627A98"/>
    <w:pPr>
      <w:keepNext/>
      <w:keepLines/>
      <w:spacing w:before="40"/>
      <w:outlineLvl w:val="1"/>
    </w:pPr>
    <w:rPr>
      <w:rFonts w:asciiTheme="majorHAnsi" w:eastAsiaTheme="majorEastAsia" w:hAnsiTheme="majorHAnsi" w:cstheme="majorBidi"/>
      <w:color w:val="A8D08D" w:themeColor="accent6" w:themeTint="99"/>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193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4193F"/>
    <w:rPr>
      <w:rFonts w:eastAsiaTheme="minorEastAsia"/>
      <w:kern w:val="0"/>
      <w:sz w:val="22"/>
      <w:szCs w:val="22"/>
      <w:lang w:val="en-US" w:eastAsia="zh-CN"/>
      <w14:ligatures w14:val="none"/>
    </w:rPr>
  </w:style>
  <w:style w:type="paragraph" w:styleId="ListParagraph">
    <w:name w:val="List Paragraph"/>
    <w:basedOn w:val="Normal"/>
    <w:uiPriority w:val="34"/>
    <w:qFormat/>
    <w:rsid w:val="00114BDA"/>
    <w:pPr>
      <w:ind w:left="720"/>
      <w:contextualSpacing/>
    </w:pPr>
    <w:rPr>
      <w:kern w:val="0"/>
      <w14:ligatures w14:val="none"/>
    </w:rPr>
  </w:style>
  <w:style w:type="character" w:customStyle="1" w:styleId="Heading1Char">
    <w:name w:val="Heading 1 Char"/>
    <w:basedOn w:val="DefaultParagraphFont"/>
    <w:link w:val="Heading1"/>
    <w:uiPriority w:val="9"/>
    <w:rsid w:val="00627A98"/>
    <w:rPr>
      <w:rFonts w:asciiTheme="majorHAnsi" w:eastAsiaTheme="majorEastAsia" w:hAnsiTheme="majorHAnsi" w:cstheme="majorBidi"/>
      <w:color w:val="538135" w:themeColor="accent6" w:themeShade="BF"/>
      <w:sz w:val="32"/>
      <w:szCs w:val="32"/>
    </w:rPr>
  </w:style>
  <w:style w:type="character" w:customStyle="1" w:styleId="Heading2Char">
    <w:name w:val="Heading 2 Char"/>
    <w:basedOn w:val="DefaultParagraphFont"/>
    <w:link w:val="Heading2"/>
    <w:uiPriority w:val="9"/>
    <w:rsid w:val="00627A98"/>
    <w:rPr>
      <w:rFonts w:asciiTheme="majorHAnsi" w:eastAsiaTheme="majorEastAsia" w:hAnsiTheme="majorHAnsi" w:cstheme="majorBidi"/>
      <w:color w:val="A8D08D" w:themeColor="accent6" w:themeTint="99"/>
      <w:sz w:val="26"/>
      <w:szCs w:val="26"/>
    </w:rPr>
  </w:style>
  <w:style w:type="paragraph" w:styleId="Caption">
    <w:name w:val="caption"/>
    <w:basedOn w:val="Normal"/>
    <w:next w:val="Normal"/>
    <w:uiPriority w:val="35"/>
    <w:unhideWhenUsed/>
    <w:qFormat/>
    <w:rsid w:val="00560EEA"/>
    <w:pPr>
      <w:spacing w:after="200"/>
    </w:pPr>
    <w:rPr>
      <w:i/>
      <w:iCs/>
      <w:color w:val="44546A" w:themeColor="text2"/>
      <w:kern w:val="0"/>
      <w:sz w:val="18"/>
      <w:szCs w:val="18"/>
      <w14:ligatures w14:val="none"/>
    </w:rPr>
  </w:style>
  <w:style w:type="paragraph" w:styleId="Footer">
    <w:name w:val="footer"/>
    <w:basedOn w:val="Normal"/>
    <w:link w:val="FooterChar"/>
    <w:uiPriority w:val="99"/>
    <w:unhideWhenUsed/>
    <w:rsid w:val="00FB2FFD"/>
    <w:pPr>
      <w:tabs>
        <w:tab w:val="center" w:pos="4513"/>
        <w:tab w:val="right" w:pos="9026"/>
      </w:tabs>
    </w:pPr>
  </w:style>
  <w:style w:type="character" w:customStyle="1" w:styleId="FooterChar">
    <w:name w:val="Footer Char"/>
    <w:basedOn w:val="DefaultParagraphFont"/>
    <w:link w:val="Footer"/>
    <w:uiPriority w:val="99"/>
    <w:rsid w:val="00FB2FFD"/>
  </w:style>
  <w:style w:type="character" w:styleId="PageNumber">
    <w:name w:val="page number"/>
    <w:basedOn w:val="DefaultParagraphFont"/>
    <w:uiPriority w:val="99"/>
    <w:semiHidden/>
    <w:unhideWhenUsed/>
    <w:rsid w:val="00FB2FFD"/>
  </w:style>
  <w:style w:type="paragraph" w:styleId="TOCHeading">
    <w:name w:val="TOC Heading"/>
    <w:basedOn w:val="Heading1"/>
    <w:next w:val="Normal"/>
    <w:uiPriority w:val="39"/>
    <w:unhideWhenUsed/>
    <w:qFormat/>
    <w:rsid w:val="00FB2FFD"/>
    <w:pPr>
      <w:spacing w:before="480" w:line="276" w:lineRule="auto"/>
      <w:outlineLvl w:val="9"/>
    </w:pPr>
    <w:rPr>
      <w:b/>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FB2FFD"/>
    <w:pPr>
      <w:spacing w:before="120"/>
    </w:pPr>
    <w:rPr>
      <w:rFonts w:cstheme="minorHAnsi"/>
      <w:b/>
      <w:bCs/>
      <w:i/>
      <w:iCs/>
    </w:rPr>
  </w:style>
  <w:style w:type="paragraph" w:styleId="TOC2">
    <w:name w:val="toc 2"/>
    <w:basedOn w:val="Normal"/>
    <w:next w:val="Normal"/>
    <w:autoRedefine/>
    <w:uiPriority w:val="39"/>
    <w:unhideWhenUsed/>
    <w:rsid w:val="00FB2FFD"/>
    <w:pPr>
      <w:spacing w:before="120"/>
      <w:ind w:left="240"/>
    </w:pPr>
    <w:rPr>
      <w:rFonts w:cstheme="minorHAnsi"/>
      <w:b/>
      <w:bCs/>
      <w:sz w:val="22"/>
      <w:szCs w:val="22"/>
    </w:rPr>
  </w:style>
  <w:style w:type="character" w:styleId="Hyperlink">
    <w:name w:val="Hyperlink"/>
    <w:basedOn w:val="DefaultParagraphFont"/>
    <w:uiPriority w:val="99"/>
    <w:unhideWhenUsed/>
    <w:rsid w:val="00FB2FFD"/>
    <w:rPr>
      <w:color w:val="0563C1" w:themeColor="hyperlink"/>
      <w:u w:val="single"/>
    </w:rPr>
  </w:style>
  <w:style w:type="paragraph" w:styleId="TOC3">
    <w:name w:val="toc 3"/>
    <w:basedOn w:val="Normal"/>
    <w:next w:val="Normal"/>
    <w:autoRedefine/>
    <w:uiPriority w:val="39"/>
    <w:semiHidden/>
    <w:unhideWhenUsed/>
    <w:rsid w:val="00FB2FFD"/>
    <w:pPr>
      <w:ind w:left="480"/>
    </w:pPr>
    <w:rPr>
      <w:rFonts w:cstheme="minorHAnsi"/>
      <w:sz w:val="20"/>
      <w:szCs w:val="20"/>
    </w:rPr>
  </w:style>
  <w:style w:type="paragraph" w:styleId="TOC4">
    <w:name w:val="toc 4"/>
    <w:basedOn w:val="Normal"/>
    <w:next w:val="Normal"/>
    <w:autoRedefine/>
    <w:uiPriority w:val="39"/>
    <w:semiHidden/>
    <w:unhideWhenUsed/>
    <w:rsid w:val="00FB2FFD"/>
    <w:pPr>
      <w:ind w:left="720"/>
    </w:pPr>
    <w:rPr>
      <w:rFonts w:cstheme="minorHAnsi"/>
      <w:sz w:val="20"/>
      <w:szCs w:val="20"/>
    </w:rPr>
  </w:style>
  <w:style w:type="paragraph" w:styleId="TOC5">
    <w:name w:val="toc 5"/>
    <w:basedOn w:val="Normal"/>
    <w:next w:val="Normal"/>
    <w:autoRedefine/>
    <w:uiPriority w:val="39"/>
    <w:semiHidden/>
    <w:unhideWhenUsed/>
    <w:rsid w:val="00FB2FFD"/>
    <w:pPr>
      <w:ind w:left="960"/>
    </w:pPr>
    <w:rPr>
      <w:rFonts w:cstheme="minorHAnsi"/>
      <w:sz w:val="20"/>
      <w:szCs w:val="20"/>
    </w:rPr>
  </w:style>
  <w:style w:type="paragraph" w:styleId="TOC6">
    <w:name w:val="toc 6"/>
    <w:basedOn w:val="Normal"/>
    <w:next w:val="Normal"/>
    <w:autoRedefine/>
    <w:uiPriority w:val="39"/>
    <w:semiHidden/>
    <w:unhideWhenUsed/>
    <w:rsid w:val="00FB2FFD"/>
    <w:pPr>
      <w:ind w:left="1200"/>
    </w:pPr>
    <w:rPr>
      <w:rFonts w:cstheme="minorHAnsi"/>
      <w:sz w:val="20"/>
      <w:szCs w:val="20"/>
    </w:rPr>
  </w:style>
  <w:style w:type="paragraph" w:styleId="TOC7">
    <w:name w:val="toc 7"/>
    <w:basedOn w:val="Normal"/>
    <w:next w:val="Normal"/>
    <w:autoRedefine/>
    <w:uiPriority w:val="39"/>
    <w:semiHidden/>
    <w:unhideWhenUsed/>
    <w:rsid w:val="00FB2FFD"/>
    <w:pPr>
      <w:ind w:left="1440"/>
    </w:pPr>
    <w:rPr>
      <w:rFonts w:cstheme="minorHAnsi"/>
      <w:sz w:val="20"/>
      <w:szCs w:val="20"/>
    </w:rPr>
  </w:style>
  <w:style w:type="paragraph" w:styleId="TOC8">
    <w:name w:val="toc 8"/>
    <w:basedOn w:val="Normal"/>
    <w:next w:val="Normal"/>
    <w:autoRedefine/>
    <w:uiPriority w:val="39"/>
    <w:semiHidden/>
    <w:unhideWhenUsed/>
    <w:rsid w:val="00FB2FFD"/>
    <w:pPr>
      <w:ind w:left="1680"/>
    </w:pPr>
    <w:rPr>
      <w:rFonts w:cstheme="minorHAnsi"/>
      <w:sz w:val="20"/>
      <w:szCs w:val="20"/>
    </w:rPr>
  </w:style>
  <w:style w:type="paragraph" w:styleId="TOC9">
    <w:name w:val="toc 9"/>
    <w:basedOn w:val="Normal"/>
    <w:next w:val="Normal"/>
    <w:autoRedefine/>
    <w:uiPriority w:val="39"/>
    <w:semiHidden/>
    <w:unhideWhenUsed/>
    <w:rsid w:val="00FB2FFD"/>
    <w:pPr>
      <w:ind w:left="1920"/>
    </w:pPr>
    <w:rPr>
      <w:rFonts w:cstheme="minorHAnsi"/>
      <w:sz w:val="20"/>
      <w:szCs w:val="20"/>
    </w:rPr>
  </w:style>
  <w:style w:type="paragraph" w:styleId="Header">
    <w:name w:val="header"/>
    <w:basedOn w:val="Normal"/>
    <w:link w:val="HeaderChar"/>
    <w:uiPriority w:val="99"/>
    <w:unhideWhenUsed/>
    <w:rsid w:val="00991E3C"/>
    <w:pPr>
      <w:tabs>
        <w:tab w:val="center" w:pos="4513"/>
        <w:tab w:val="right" w:pos="9026"/>
      </w:tabs>
    </w:pPr>
  </w:style>
  <w:style w:type="character" w:customStyle="1" w:styleId="HeaderChar">
    <w:name w:val="Header Char"/>
    <w:basedOn w:val="DefaultParagraphFont"/>
    <w:link w:val="Header"/>
    <w:uiPriority w:val="99"/>
    <w:rsid w:val="00991E3C"/>
  </w:style>
  <w:style w:type="character" w:styleId="UnresolvedMention">
    <w:name w:val="Unresolved Mention"/>
    <w:basedOn w:val="DefaultParagraphFont"/>
    <w:uiPriority w:val="99"/>
    <w:semiHidden/>
    <w:unhideWhenUsed/>
    <w:rsid w:val="001E75CE"/>
    <w:rPr>
      <w:color w:val="605E5C"/>
      <w:shd w:val="clear" w:color="auto" w:fill="E1DFDD"/>
    </w:rPr>
  </w:style>
  <w:style w:type="character" w:styleId="FollowedHyperlink">
    <w:name w:val="FollowedHyperlink"/>
    <w:basedOn w:val="DefaultParagraphFont"/>
    <w:uiPriority w:val="99"/>
    <w:semiHidden/>
    <w:unhideWhenUsed/>
    <w:rsid w:val="00FB1D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0022487114560646" TargetMode="External"/><Relationship Id="rId18" Type="http://schemas.openxmlformats.org/officeDocument/2006/relationships/hyperlink" Target="https://doi.org/10.1177/2332858418806863" TargetMode="External"/><Relationship Id="rId26" Type="http://schemas.openxmlformats.org/officeDocument/2006/relationships/hyperlink" Target="https://doi.org/10.1038/nature06937" TargetMode="External"/><Relationship Id="rId3" Type="http://schemas.openxmlformats.org/officeDocument/2006/relationships/styles" Target="styles.xml"/><Relationship Id="rId21" Type="http://schemas.openxmlformats.org/officeDocument/2006/relationships/hyperlink" Target="https://doi.org/10.1353/rhe.2014.0003"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doi.org/10.1080/00220270500038644" TargetMode="External"/><Relationship Id="rId25" Type="http://schemas.openxmlformats.org/officeDocument/2006/relationships/hyperlink" Target="https://www.educationnext.org/common-standards-arent-enough-forum-decade-on-has-commoncore-failed/" TargetMode="External"/><Relationship Id="rId2" Type="http://schemas.openxmlformats.org/officeDocument/2006/relationships/numbering" Target="numbering.xml"/><Relationship Id="rId16" Type="http://schemas.openxmlformats.org/officeDocument/2006/relationships/hyperlink" Target="https://www.google.com/search?q=environmental+education&amp;tbm=isch&amp;chips=q:environmental+education,g_1:clipart:7BNmbavxa_A%3D&amp;rlz=1C5CHFA_enGB890GB890&amp;hl=en-US&amp;sa=X&amp;ved=2ahUKEwij8aHyxsz9AhWvlycCHY2sAeEQ4lYoA3oECAEQKQ&amp;biw=1370&amp;bih=687#imgrc=d1BCwU-FHZdmgM" TargetMode="External"/><Relationship Id="rId20" Type="http://schemas.openxmlformats.org/officeDocument/2006/relationships/hyperlink" Target="https://www.educationnext.org/common-core-hasnot-worked-forum-decade-on-has-common-core-failed/" TargetMode="External"/><Relationship Id="rId29" Type="http://schemas.openxmlformats.org/officeDocument/2006/relationships/hyperlink" Target="https://doi.org/10.3390/su130313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3102/000283121141086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urriculum.gov.bc.ca/rethinking-curriculum" TargetMode="External"/><Relationship Id="rId23" Type="http://schemas.openxmlformats.org/officeDocument/2006/relationships/hyperlink" Target="https://doi.org/10.1007/s10763-009-%209176-9" TargetMode="External"/><Relationship Id="rId28" Type="http://schemas.openxmlformats.org/officeDocument/2006/relationships/hyperlink" Target="https://doi.org/10.1111/j.1949-8594.2006.%20tb18075.x" TargetMode="External"/><Relationship Id="rId10" Type="http://schemas.openxmlformats.org/officeDocument/2006/relationships/footer" Target="footer1.xml"/><Relationship Id="rId19" Type="http://schemas.openxmlformats.org/officeDocument/2006/relationships/hyperlink" Target="https://doi.org/10.1080/13562517.2020.174742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324/9781315513614" TargetMode="External"/><Relationship Id="rId22" Type="http://schemas.openxmlformats.org/officeDocument/2006/relationships/hyperlink" Target="https://doi.org/10.1080/20004508.2019.1580983" TargetMode="External"/><Relationship Id="rId27" Type="http://schemas.openxmlformats.org/officeDocument/2006/relationships/hyperlink" Target="https://doi.org/10.1080/09585176.2019.1647861" TargetMode="External"/><Relationship Id="rId30" Type="http://schemas.openxmlformats.org/officeDocument/2006/relationships/hyperlink" Target="https://hwb.gov.wales/curriculum-for-wales/designing-your-curriculum/developing-a-vision-for-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0D2340-BB58-6841-8853-496C1694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59</Pages>
  <Words>18157</Words>
  <Characters>103498</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Education for Environmental Sustainability: A Cross-curricular Theme?</vt:lpstr>
    </vt:vector>
  </TitlesOfParts>
  <Company/>
  <LinksUpToDate>false</LinksUpToDate>
  <CharactersWithSpaces>121413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for Environmental Sustainability: A Cross-curricular Theme?</dc:title>
  <dc:subject>Msc Environmental Conservation and Management</dc:subject>
  <dc:creator>Charlotte Morgan (1550929)</dc:creator>
  <cp:keywords/>
  <dc:description/>
  <cp:lastModifiedBy>Charlotte Angharad Morgan (1550929)</cp:lastModifiedBy>
  <cp:revision>13</cp:revision>
  <dcterms:created xsi:type="dcterms:W3CDTF">2023-03-08T14:11:00Z</dcterms:created>
  <dcterms:modified xsi:type="dcterms:W3CDTF">2023-04-06T13:14:00Z</dcterms:modified>
  <cp:category>MSc Environmental Conservation and Management</cp:category>
</cp:coreProperties>
</file>