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21F2E" w:rsidP="00A551C6" w:rsidRDefault="00B21F2E" w14:paraId="46E560EB" w14:textId="77777777">
      <w:pPr>
        <w:jc w:val="center"/>
        <w:rPr>
          <w:rFonts w:ascii="Tahoma" w:hAnsi="Tahoma" w:cs="Tahoma"/>
          <w:b/>
          <w:u w:val="single"/>
        </w:rPr>
      </w:pPr>
    </w:p>
    <w:p w:rsidR="001B69C8" w:rsidP="00B945EA" w:rsidRDefault="001B69C8" w14:paraId="618BF57D" w14:textId="77777777">
      <w:pPr>
        <w:jc w:val="both"/>
        <w:rPr>
          <w:rFonts w:ascii="Tahoma" w:hAnsi="Tahoma" w:cs="Tahoma"/>
          <w:b/>
          <w:u w:val="single"/>
        </w:rPr>
      </w:pPr>
    </w:p>
    <w:p w:rsidR="001B69C8" w:rsidP="00B945EA" w:rsidRDefault="001B69C8" w14:paraId="5E1B2845" w14:textId="77777777">
      <w:pPr>
        <w:jc w:val="both"/>
        <w:rPr>
          <w:rFonts w:ascii="Tahoma" w:hAnsi="Tahoma" w:cs="Tahoma"/>
          <w:b/>
          <w:u w:val="single"/>
        </w:rPr>
      </w:pPr>
    </w:p>
    <w:p w:rsidR="00301AD0" w:rsidP="00B945EA" w:rsidRDefault="001B6DB4" w14:paraId="3FBC8958" w14:textId="5155A802">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rsidRPr="003C3341" w:rsidR="00C50AE7" w:rsidP="00B945EA" w:rsidRDefault="00C50AE7" w14:paraId="3EEDD075" w14:textId="77777777">
      <w:pPr>
        <w:jc w:val="both"/>
        <w:rPr>
          <w:rFonts w:ascii="Tahoma" w:hAnsi="Tahoma" w:cs="Tahoma"/>
          <w:b/>
          <w:u w:val="single"/>
        </w:rPr>
      </w:pPr>
    </w:p>
    <w:p w:rsidR="00301AD0" w:rsidP="00B945EA" w:rsidRDefault="00B21F2E" w14:paraId="4462EA07" w14:textId="524C674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Pr="003C3341" w:rsidR="00301AD0">
        <w:rPr>
          <w:rFonts w:ascii="Tahoma" w:hAnsi="Tahoma" w:cs="Tahoma"/>
        </w:rPr>
        <w:t xml:space="preserve"> </w:t>
      </w:r>
      <w:r w:rsidR="003617CF">
        <w:rPr>
          <w:rFonts w:ascii="Tahoma" w:hAnsi="Tahoma" w:cs="Tahoma"/>
        </w:rPr>
        <w:t>You may choose from the following topics:</w:t>
      </w:r>
    </w:p>
    <w:p w:rsidR="0079230B" w:rsidP="0079230B" w:rsidRDefault="0079230B" w14:paraId="4E236024" w14:textId="77777777">
      <w:pPr>
        <w:pStyle w:val="NormalWeb"/>
        <w:numPr>
          <w:ilvl w:val="0"/>
          <w:numId w:val="28"/>
        </w:numPr>
        <w:rPr>
          <w:rFonts w:ascii="SymbolMT" w:hAnsi="SymbolMT"/>
        </w:rPr>
      </w:pPr>
      <w:r>
        <w:rPr>
          <w:rFonts w:ascii="Calibri" w:hAnsi="Calibri" w:cs="Calibri"/>
        </w:rPr>
        <w:t xml:space="preserve">Allergies and Intolerances and the importance within the industry </w:t>
      </w:r>
    </w:p>
    <w:p w:rsidR="0079230B" w:rsidP="0079230B" w:rsidRDefault="0079230B" w14:paraId="3E2C1866" w14:textId="77777777">
      <w:pPr>
        <w:pStyle w:val="NormalWeb"/>
        <w:numPr>
          <w:ilvl w:val="0"/>
          <w:numId w:val="28"/>
        </w:numPr>
        <w:rPr>
          <w:rFonts w:ascii="SymbolMT" w:hAnsi="SymbolMT"/>
        </w:rPr>
      </w:pPr>
      <w:r>
        <w:rPr>
          <w:rFonts w:ascii="Calibri" w:hAnsi="Calibri" w:cs="Calibri"/>
        </w:rPr>
        <w:t xml:space="preserve">Food Safety Fundamentals (The 4 C’s) </w:t>
      </w:r>
    </w:p>
    <w:p w:rsidR="0079230B" w:rsidP="0079230B" w:rsidRDefault="0079230B" w14:paraId="3CB0DA4B" w14:textId="77777777">
      <w:pPr>
        <w:pStyle w:val="NormalWeb"/>
        <w:numPr>
          <w:ilvl w:val="0"/>
          <w:numId w:val="28"/>
        </w:numPr>
        <w:rPr>
          <w:rFonts w:ascii="SymbolMT" w:hAnsi="SymbolMT"/>
        </w:rPr>
      </w:pPr>
      <w:r>
        <w:rPr>
          <w:rFonts w:ascii="Calibri" w:hAnsi="Calibri" w:cs="Calibri"/>
        </w:rPr>
        <w:t xml:space="preserve">Ratings, Inspections and Reporting Procedures </w:t>
      </w:r>
    </w:p>
    <w:p w:rsidR="00B945EA" w:rsidP="00B945EA" w:rsidRDefault="00B945EA" w14:paraId="1EB2ED0E" w14:textId="77777777">
      <w:pPr>
        <w:jc w:val="both"/>
        <w:rPr>
          <w:rFonts w:ascii="Tahoma" w:hAnsi="Tahoma" w:cs="Tahoma"/>
        </w:rPr>
      </w:pPr>
    </w:p>
    <w:p w:rsidRPr="003C3341" w:rsidR="00B21F2E" w:rsidP="00B945EA" w:rsidRDefault="00B21F2E" w14:paraId="7011E673" w14:textId="6E901B6D">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rsidRPr="003C3341" w:rsidR="00301AD0" w:rsidRDefault="00301AD0" w14:paraId="21B8D9FF" w14:textId="77777777">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Pr="003C3341" w:rsidR="00B21F2E" w:rsidTr="00B21F2E" w14:paraId="0D3FB92D" w14:textId="77777777">
        <w:tc>
          <w:tcPr>
            <w:tcW w:w="3987" w:type="dxa"/>
            <w:shd w:val="clear" w:color="auto" w:fill="8DB3E2" w:themeFill="text2" w:themeFillTint="66"/>
          </w:tcPr>
          <w:p w:rsidR="00B21F2E" w:rsidRDefault="00B21F2E" w14:paraId="4B8FE21B" w14:textId="47FE007F">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034D91">
              <w:rPr>
                <w:rFonts w:ascii="Tahoma" w:hAnsi="Tahoma" w:cs="Tahoma"/>
                <w:b/>
                <w:sz w:val="20"/>
                <w:szCs w:val="20"/>
              </w:rPr>
              <w:t>Aslam Kazi</w:t>
            </w:r>
          </w:p>
          <w:p w:rsidRPr="003C3341" w:rsidR="001B69C8" w:rsidRDefault="001B69C8" w14:paraId="498F0B10" w14:textId="77777777">
            <w:pPr>
              <w:rPr>
                <w:rFonts w:ascii="Tahoma" w:hAnsi="Tahoma" w:cs="Tahoma"/>
                <w:b/>
                <w:sz w:val="20"/>
                <w:szCs w:val="20"/>
              </w:rPr>
            </w:pPr>
          </w:p>
          <w:p w:rsidRPr="003C3341" w:rsidR="00B21F2E" w:rsidRDefault="001B69C8" w14:paraId="69E1F0CF" w14:textId="242B4534">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034D91">
              <w:rPr>
                <w:rFonts w:ascii="Tahoma" w:hAnsi="Tahoma" w:cs="Tahoma"/>
                <w:b/>
                <w:sz w:val="20"/>
                <w:szCs w:val="20"/>
              </w:rPr>
              <w:t>2016967</w:t>
            </w:r>
          </w:p>
          <w:p w:rsidRPr="003C3341" w:rsidR="00B21F2E" w:rsidRDefault="00B21F2E" w14:paraId="1BE02E96" w14:textId="77777777">
            <w:pPr>
              <w:rPr>
                <w:rFonts w:ascii="Tahoma" w:hAnsi="Tahoma" w:cs="Tahoma"/>
                <w:b/>
                <w:sz w:val="20"/>
                <w:szCs w:val="20"/>
              </w:rPr>
            </w:pPr>
          </w:p>
        </w:tc>
        <w:tc>
          <w:tcPr>
            <w:tcW w:w="7195" w:type="dxa"/>
            <w:shd w:val="clear" w:color="auto" w:fill="8DB3E2" w:themeFill="text2" w:themeFillTint="66"/>
          </w:tcPr>
          <w:p w:rsidR="00B21F2E" w:rsidRDefault="001B69C8" w14:paraId="488BCD26" w14:textId="4A2AFFB7">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034D91">
              <w:rPr>
                <w:rFonts w:ascii="Tahoma" w:hAnsi="Tahoma" w:cs="Tahoma"/>
                <w:b/>
                <w:sz w:val="20"/>
                <w:szCs w:val="20"/>
              </w:rPr>
              <w:t>Food and Beverage Operations</w:t>
            </w:r>
          </w:p>
          <w:p w:rsidR="00B21F2E" w:rsidP="00B21F2E" w:rsidRDefault="00B21F2E" w14:paraId="2019D1B6" w14:textId="77777777">
            <w:pPr>
              <w:rPr>
                <w:rFonts w:ascii="Tahoma" w:hAnsi="Tahoma" w:cs="Tahoma"/>
                <w:b/>
                <w:sz w:val="20"/>
                <w:szCs w:val="20"/>
              </w:rPr>
            </w:pPr>
          </w:p>
          <w:p w:rsidRPr="003C3341" w:rsidR="001B69C8" w:rsidP="00034D91" w:rsidRDefault="001B69C8" w14:paraId="450FE136" w14:textId="300BB924">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034D91">
              <w:rPr>
                <w:rFonts w:ascii="Tahoma" w:hAnsi="Tahoma" w:cs="Tahoma"/>
                <w:b/>
                <w:sz w:val="20"/>
                <w:szCs w:val="20"/>
              </w:rPr>
              <w:t>Mary Needham</w:t>
            </w:r>
            <w:bookmarkStart w:name="_GoBack" w:id="0"/>
            <w:bookmarkEnd w:id="0"/>
          </w:p>
        </w:tc>
      </w:tr>
    </w:tbl>
    <w:p w:rsidRPr="003C3341" w:rsidR="0062012D" w:rsidRDefault="0062012D" w14:paraId="1F13C318" w14:textId="4D5FFF34">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Pr="003C3341" w:rsidR="00B21F2E" w:rsidTr="11AF9BB5" w14:paraId="19DFCE05" w14:textId="77777777">
        <w:tc>
          <w:tcPr>
            <w:tcW w:w="3983" w:type="dxa"/>
            <w:shd w:val="clear" w:color="auto" w:fill="FBD4B4" w:themeFill="accent6" w:themeFillTint="66"/>
            <w:tcMar/>
          </w:tcPr>
          <w:p w:rsidRPr="00AB498A" w:rsidR="00AB498A" w:rsidP="00AB498A" w:rsidRDefault="008F0D83" w14:paraId="1DD078E4" w14:textId="77777777">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Pr="00AB498A" w:rsidR="00AB498A">
              <w:rPr>
                <w:rFonts w:ascii="Tahoma" w:hAnsi="Tahoma" w:cs="Tahoma"/>
                <w:b/>
                <w:sz w:val="20"/>
                <w:szCs w:val="20"/>
              </w:rPr>
              <w:t xml:space="preserve">Food Safety Fundamentals (The 4 C’s) </w:t>
            </w:r>
          </w:p>
          <w:p w:rsidRPr="00946B23" w:rsidR="00B21F2E" w:rsidP="00B21F2E" w:rsidRDefault="00B21F2E" w14:paraId="15299B24" w14:textId="4E36E63F">
            <w:pPr>
              <w:rPr>
                <w:rFonts w:ascii="Tahoma" w:hAnsi="Tahoma" w:cs="Tahoma"/>
                <w:b/>
                <w:sz w:val="20"/>
                <w:szCs w:val="20"/>
              </w:rPr>
            </w:pPr>
          </w:p>
        </w:tc>
        <w:tc>
          <w:tcPr>
            <w:tcW w:w="7199" w:type="dxa"/>
            <w:shd w:val="clear" w:color="auto" w:fill="FBD4B4" w:themeFill="accent6" w:themeFillTint="66"/>
            <w:tcMar/>
          </w:tcPr>
          <w:p w:rsidR="00B21F2E" w:rsidP="11AF9BB5" w:rsidRDefault="00B945EA" w14:paraId="46D7ECC8" w14:textId="78481770">
            <w:pPr>
              <w:rPr>
                <w:rFonts w:ascii="Tahoma" w:hAnsi="Tahoma" w:cs="Tahoma"/>
                <w:b w:val="1"/>
                <w:bCs w:val="1"/>
                <w:sz w:val="20"/>
                <w:szCs w:val="20"/>
              </w:rPr>
            </w:pPr>
            <w:r w:rsidRPr="11AF9BB5" w:rsidR="00B945EA">
              <w:rPr>
                <w:rFonts w:ascii="Tahoma" w:hAnsi="Tahoma" w:cs="Tahoma"/>
                <w:b w:val="1"/>
                <w:bCs w:val="1"/>
                <w:sz w:val="20"/>
                <w:szCs w:val="20"/>
              </w:rPr>
              <w:t>Date Completed</w:t>
            </w:r>
            <w:r w:rsidRPr="11AF9BB5" w:rsidR="001B69C8">
              <w:rPr>
                <w:rFonts w:ascii="Tahoma" w:hAnsi="Tahoma" w:cs="Tahoma"/>
                <w:b w:val="1"/>
                <w:bCs w:val="1"/>
                <w:sz w:val="20"/>
                <w:szCs w:val="20"/>
              </w:rPr>
              <w:t>:</w:t>
            </w:r>
            <w:r w:rsidRPr="11AF9BB5" w:rsidR="003478CE">
              <w:rPr>
                <w:rFonts w:ascii="Tahoma" w:hAnsi="Tahoma" w:cs="Tahoma"/>
                <w:b w:val="1"/>
                <w:bCs w:val="1"/>
                <w:sz w:val="20"/>
                <w:szCs w:val="20"/>
              </w:rPr>
              <w:t xml:space="preserve"> </w:t>
            </w:r>
            <w:r w:rsidRPr="11AF9BB5" w:rsidR="795AB251">
              <w:rPr>
                <w:rFonts w:ascii="Tahoma" w:hAnsi="Tahoma" w:cs="Tahoma"/>
                <w:b w:val="1"/>
                <w:bCs w:val="1"/>
                <w:sz w:val="20"/>
                <w:szCs w:val="20"/>
              </w:rPr>
              <w:t>17/10/21</w:t>
            </w:r>
          </w:p>
          <w:p w:rsidR="00B21F2E" w:rsidP="00B21F2E" w:rsidRDefault="00B21F2E" w14:paraId="36F1B310" w14:textId="77777777">
            <w:pPr>
              <w:jc w:val="center"/>
              <w:rPr>
                <w:rFonts w:ascii="Tahoma" w:hAnsi="Tahoma" w:cs="Tahoma"/>
                <w:b/>
                <w:sz w:val="20"/>
                <w:szCs w:val="20"/>
              </w:rPr>
            </w:pPr>
          </w:p>
          <w:p w:rsidRPr="003C3341" w:rsidR="00B21F2E" w:rsidP="00B21F2E" w:rsidRDefault="00B21F2E" w14:paraId="5A58C08D" w14:textId="0CB28053">
            <w:pPr>
              <w:jc w:val="center"/>
              <w:rPr>
                <w:rFonts w:ascii="Tahoma" w:hAnsi="Tahoma" w:cs="Tahoma"/>
                <w:b/>
                <w:sz w:val="20"/>
                <w:szCs w:val="20"/>
              </w:rPr>
            </w:pPr>
          </w:p>
        </w:tc>
      </w:tr>
      <w:tr w:rsidRPr="003C3341" w:rsidR="00B945EA" w:rsidTr="11AF9BB5" w14:paraId="60CC0225" w14:textId="77777777">
        <w:trPr>
          <w:trHeight w:val="2494"/>
        </w:trPr>
        <w:tc>
          <w:tcPr>
            <w:tcW w:w="11182" w:type="dxa"/>
            <w:gridSpan w:val="2"/>
            <w:tcMar/>
          </w:tcPr>
          <w:p w:rsidR="00B945EA" w:rsidP="00A65C1D" w:rsidRDefault="00B945EA" w14:paraId="0831D54A" w14:textId="77777777">
            <w:pPr>
              <w:rPr>
                <w:rFonts w:ascii="Tahoma" w:hAnsi="Tahoma" w:cs="Tahoma"/>
                <w:sz w:val="20"/>
                <w:szCs w:val="20"/>
              </w:rPr>
            </w:pPr>
          </w:p>
          <w:p w:rsidRPr="00B94261" w:rsidR="00B94261" w:rsidP="00B94261" w:rsidRDefault="00B94261" w14:paraId="3CFFF895" w14:textId="720E92D5">
            <w:pPr>
              <w:spacing w:line="360" w:lineRule="auto"/>
              <w:jc w:val="both"/>
              <w:rPr>
                <w:rFonts w:ascii="Arial" w:hAnsi="Arial" w:cs="Arial"/>
              </w:rPr>
            </w:pPr>
            <w:r w:rsidRPr="00B94261">
              <w:rPr>
                <w:rFonts w:ascii="Arial" w:hAnsi="Arial" w:cs="Arial"/>
              </w:rPr>
              <w:t>HACCP-based processes are a must for food preparation and storage that is both safe and sanitary. While initially designed for the food processing sector, HACCP protocols should be used by all food handlers, including small businesses like restaurants, bars, and cafés. It's also a legal obligation in certain nations, so you have to do it</w:t>
            </w:r>
            <w:r>
              <w:rPr>
                <w:rFonts w:ascii="Arial" w:hAnsi="Arial" w:cs="Arial"/>
              </w:rPr>
              <w:t xml:space="preserve"> (</w:t>
            </w:r>
            <w:r w:rsidRPr="00B94261">
              <w:rPr>
                <w:rFonts w:ascii="Arial" w:hAnsi="Arial" w:cs="Arial"/>
              </w:rPr>
              <w:t>Dale,</w:t>
            </w:r>
            <w:r>
              <w:rPr>
                <w:rFonts w:ascii="Arial" w:hAnsi="Arial" w:cs="Arial"/>
              </w:rPr>
              <w:t xml:space="preserve"> 2021)</w:t>
            </w:r>
            <w:r w:rsidRPr="00B94261">
              <w:rPr>
                <w:rFonts w:ascii="Arial" w:hAnsi="Arial" w:cs="Arial"/>
              </w:rPr>
              <w:t>. Their scale and complexity of food preparation operations may be accommodated. I am talking about food safety because we have learned about food safety and food hygiene fundamentals this week. This report will contain some critical aspects of food safety and cleanliness, why these are important, and the necessary implications for a business manager.</w:t>
            </w:r>
          </w:p>
          <w:p w:rsidRPr="00B94261" w:rsidR="00B94261" w:rsidP="00B94261" w:rsidRDefault="00B94261" w14:paraId="42F030B0" w14:textId="267A7D8E">
            <w:pPr>
              <w:spacing w:line="360" w:lineRule="auto"/>
              <w:jc w:val="both"/>
              <w:rPr>
                <w:rFonts w:ascii="Arial" w:hAnsi="Arial" w:cs="Arial"/>
              </w:rPr>
            </w:pPr>
            <w:r w:rsidRPr="00B94261">
              <w:rPr>
                <w:rFonts w:ascii="Arial" w:hAnsi="Arial" w:cs="Arial"/>
              </w:rPr>
              <w:t>When it comes to food safety, hygiene is the yardstick to evaluate how well cleaning, washing, and storage procedures are followed to the letter. Your food will be safe to consume since they guarantee it. If food safety and hygiene requirements are not fulfilled, consumers may get very ill from food poisoning or foodborne illnesses</w:t>
            </w:r>
            <w:r>
              <w:rPr>
                <w:rFonts w:ascii="Arial" w:hAnsi="Arial" w:cs="Arial"/>
              </w:rPr>
              <w:t xml:space="preserve"> (</w:t>
            </w:r>
            <w:r w:rsidRPr="00B94261">
              <w:rPr>
                <w:rFonts w:ascii="Arial" w:hAnsi="Arial" w:cs="Arial"/>
              </w:rPr>
              <w:t>González-Torres,</w:t>
            </w:r>
            <w:r>
              <w:rPr>
                <w:rFonts w:ascii="Arial" w:hAnsi="Arial" w:cs="Arial"/>
              </w:rPr>
              <w:t xml:space="preserve"> 2021)</w:t>
            </w:r>
            <w:r w:rsidRPr="00B94261">
              <w:rPr>
                <w:rFonts w:ascii="Arial" w:hAnsi="Arial" w:cs="Arial"/>
              </w:rPr>
              <w:t>. As a consequence, consumer well-being is dependent on food safety and cleanliness. This safeguards the health of those who come and protects germs from contaminating their meals. Hand washing is a process in which hands are washed for at least 20 seconds using hand soap. Hand washing has been the standard since the covid-19 epidemic, and the WHO strongly advises using hand sanitiser. Furthermore, in unsanitary practices, cross-contamination is a significant problem.</w:t>
            </w:r>
          </w:p>
          <w:p w:rsidRPr="00B94261" w:rsidR="00B94261" w:rsidP="00B94261" w:rsidRDefault="00B94261" w14:paraId="1388B17F" w14:textId="28700CC0">
            <w:pPr>
              <w:spacing w:line="360" w:lineRule="auto"/>
              <w:jc w:val="both"/>
              <w:rPr>
                <w:rFonts w:ascii="Arial" w:hAnsi="Arial" w:cs="Arial"/>
              </w:rPr>
            </w:pPr>
            <w:r w:rsidRPr="00B94261">
              <w:rPr>
                <w:rFonts w:ascii="Arial" w:hAnsi="Arial" w:cs="Arial"/>
              </w:rPr>
              <w:t xml:space="preserve">The best way to avoid cross-contamination is to prepare your meals using a separate cutting board for raw meats and seafood. After handling any natural animal products, be sure to wash your hands with </w:t>
            </w:r>
            <w:r w:rsidRPr="00B94261">
              <w:rPr>
                <w:rFonts w:ascii="Arial" w:hAnsi="Arial" w:cs="Arial"/>
              </w:rPr>
              <w:lastRenderedPageBreak/>
              <w:t>soap and hot water thoroughly</w:t>
            </w:r>
            <w:r>
              <w:rPr>
                <w:rFonts w:ascii="Arial" w:hAnsi="Arial" w:cs="Arial"/>
              </w:rPr>
              <w:t xml:space="preserve"> (</w:t>
            </w:r>
            <w:r w:rsidRPr="00B94261">
              <w:rPr>
                <w:rFonts w:ascii="Arial" w:hAnsi="Arial" w:cs="Arial"/>
              </w:rPr>
              <w:t>Harris,</w:t>
            </w:r>
            <w:r>
              <w:rPr>
                <w:rFonts w:ascii="Arial" w:hAnsi="Arial" w:cs="Arial"/>
              </w:rPr>
              <w:t xml:space="preserve"> 2021)</w:t>
            </w:r>
            <w:r w:rsidRPr="00B94261">
              <w:rPr>
                <w:rFonts w:ascii="Arial" w:hAnsi="Arial" w:cs="Arial"/>
              </w:rPr>
              <w:t>. Make sure to follow these three temperature guidelines while cooking meat or eggs in your kitchen: To make eggs, cook all ground meats to 160°F, poultry to 165°F, and fresh meat steaks to 145°F before combining with the rest of the ingredients</w:t>
            </w:r>
            <w:r>
              <w:rPr>
                <w:rFonts w:ascii="Arial" w:hAnsi="Arial" w:cs="Arial"/>
              </w:rPr>
              <w:t xml:space="preserve"> (</w:t>
            </w:r>
            <w:r>
              <w:rPr>
                <w:rFonts w:ascii="Arial" w:hAnsi="Arial" w:cs="Arial"/>
                <w:color w:val="222222"/>
                <w:sz w:val="20"/>
                <w:szCs w:val="20"/>
              </w:rPr>
              <w:t>Awasthi, 2021)</w:t>
            </w:r>
            <w:r w:rsidRPr="00B94261">
              <w:rPr>
                <w:rFonts w:ascii="Arial" w:hAnsi="Arial" w:cs="Arial"/>
              </w:rPr>
              <w:t>. Use a thermometer to check the temperature. The word restriction means it's tough to cover all of the material in the module in one go.</w:t>
            </w:r>
          </w:p>
          <w:p w:rsidRPr="00B94261" w:rsidR="00B94261" w:rsidP="00B94261" w:rsidRDefault="00B94261" w14:paraId="7E0E1BA4" w14:textId="2A9AB5B8">
            <w:pPr>
              <w:spacing w:line="360" w:lineRule="auto"/>
              <w:jc w:val="both"/>
              <w:rPr>
                <w:rFonts w:ascii="Arial" w:hAnsi="Arial" w:cs="Arial"/>
              </w:rPr>
            </w:pPr>
            <w:r w:rsidRPr="00B94261">
              <w:rPr>
                <w:rFonts w:ascii="Arial" w:hAnsi="Arial" w:cs="Arial"/>
              </w:rPr>
              <w:t>Let me begin by shedding some light on how I currently see the relationship between food safety and cleanliness. As previously stated, many individuals will not stay at a hotel if the conditions are unsanitary and unsafe. We learned from the lecture that everything in the hotel should be kept in tip-top shape to ensure that guests have a clean and safe environment to stay in</w:t>
            </w:r>
            <w:r>
              <w:rPr>
                <w:rFonts w:ascii="Arial" w:hAnsi="Arial" w:cs="Arial"/>
              </w:rPr>
              <w:t xml:space="preserve"> (</w:t>
            </w:r>
            <w:r w:rsidRPr="00B94261">
              <w:rPr>
                <w:rFonts w:ascii="Arial" w:hAnsi="Arial" w:cs="Arial"/>
              </w:rPr>
              <w:t>Taha,</w:t>
            </w:r>
            <w:r>
              <w:rPr>
                <w:rFonts w:ascii="Arial" w:hAnsi="Arial" w:cs="Arial"/>
              </w:rPr>
              <w:t xml:space="preserve"> 2021)</w:t>
            </w:r>
            <w:r w:rsidRPr="00B94261">
              <w:rPr>
                <w:rFonts w:ascii="Arial" w:hAnsi="Arial" w:cs="Arial"/>
              </w:rPr>
              <w:t>. On top of all of this, we can confidently state that the rigorous food safety procedure and its tight execution are unmatched. Everyone's hair and feet should be coated in the safety procedure, even if it seems excessive. One careless move may have a significant impact on the hotel's brand value. Planning and execution are critical to building and maintaining a work environment where workers are eager to put in their all. Hilton hotels spend 16 million</w:t>
            </w:r>
            <w:r>
              <w:rPr>
                <w:rFonts w:ascii="Arial" w:hAnsi="Arial" w:cs="Arial"/>
              </w:rPr>
              <w:t xml:space="preserve"> (</w:t>
            </w:r>
            <w:r w:rsidRPr="00B94261">
              <w:rPr>
                <w:rFonts w:ascii="Arial" w:hAnsi="Arial" w:cs="Arial"/>
              </w:rPr>
              <w:t xml:space="preserve">Limon, </w:t>
            </w:r>
            <w:r>
              <w:rPr>
                <w:rFonts w:ascii="Arial" w:hAnsi="Arial" w:cs="Arial"/>
              </w:rPr>
              <w:t>2021)</w:t>
            </w:r>
            <w:r w:rsidRPr="00B94261">
              <w:rPr>
                <w:rFonts w:ascii="Arial" w:hAnsi="Arial" w:cs="Arial"/>
              </w:rPr>
              <w:t xml:space="preserve"> pounds a year educating their staff and keeping their hotels clean and secure throughout the globe.</w:t>
            </w:r>
          </w:p>
          <w:p w:rsidR="00B94261" w:rsidP="00B94261" w:rsidRDefault="00B94261" w14:paraId="7E475FDB" w14:textId="1B5E002D">
            <w:pPr>
              <w:spacing w:line="360" w:lineRule="auto"/>
              <w:jc w:val="both"/>
              <w:rPr>
                <w:rFonts w:ascii="Arial" w:hAnsi="Arial" w:cs="Arial"/>
              </w:rPr>
            </w:pPr>
            <w:r w:rsidRPr="00B94261">
              <w:rPr>
                <w:rFonts w:ascii="Arial" w:hAnsi="Arial" w:cs="Arial"/>
              </w:rPr>
              <w:t>Additionally, I need to clarify how my management understanding will be used in a company by outlining a few important aspects below. A detailed and precise food safety and hygiene protocol will be provided at the end, serving as direction and urgency for the hotel's staff to keep sanitary procedures intact. If you want all the food safety facilities, I'll put up a sizable expenditure to get you there. As an example, there are many foods service equipment and cleaning chemicals available. The hotel sector generates 289,700 tons of waste each year</w:t>
            </w:r>
            <w:r>
              <w:rPr>
                <w:rFonts w:ascii="Arial" w:hAnsi="Arial" w:cs="Arial"/>
              </w:rPr>
              <w:t xml:space="preserve"> (</w:t>
            </w:r>
            <w:r w:rsidRPr="00B94261">
              <w:rPr>
                <w:rFonts w:ascii="Arial" w:hAnsi="Arial" w:cs="Arial"/>
              </w:rPr>
              <w:t>Liggans,</w:t>
            </w:r>
            <w:r>
              <w:rPr>
                <w:rFonts w:ascii="Arial" w:hAnsi="Arial" w:cs="Arial"/>
              </w:rPr>
              <w:t xml:space="preserve"> 2021)</w:t>
            </w:r>
            <w:r w:rsidRPr="00B94261">
              <w:rPr>
                <w:rFonts w:ascii="Arial" w:hAnsi="Arial" w:cs="Arial"/>
              </w:rPr>
              <w:t>, including 79,000 tons of garbage</w:t>
            </w:r>
            <w:r>
              <w:rPr>
                <w:rFonts w:ascii="Arial" w:hAnsi="Arial" w:cs="Arial"/>
              </w:rPr>
              <w:t xml:space="preserve"> (</w:t>
            </w:r>
            <w:r w:rsidRPr="00B94261">
              <w:rPr>
                <w:rFonts w:ascii="Arial" w:hAnsi="Arial" w:cs="Arial"/>
              </w:rPr>
              <w:t>Patel,</w:t>
            </w:r>
            <w:r>
              <w:rPr>
                <w:rFonts w:ascii="Arial" w:hAnsi="Arial" w:cs="Arial"/>
              </w:rPr>
              <w:t xml:space="preserve"> 2021)</w:t>
            </w:r>
            <w:r w:rsidRPr="00B94261">
              <w:rPr>
                <w:rFonts w:ascii="Arial" w:hAnsi="Arial" w:cs="Arial"/>
              </w:rPr>
              <w:t>. What a considerable sum of money! Most businesses consider several options for disposing of trash. In any case, I plan to recycle and reuse all of this garbage. Technology investments like this will always have my support. As a bonus, I plan to use these actions to promote my company's good name in the marketplace. Many jobs will be created to deal with the trash, and selling it correctly will be the lifeblood of a blue ocean's survival. Pest eradication should be banned to promote a good image of the company. Chemical is often used to eliminate this in most companies. Even though it's an annoyance, I'm going to use it as a marketing tool. The pressure from environmental peer organizations is tremendous; therefore, I will devise a method that does not eliminate insects and pests while maintaining food safety.</w:t>
            </w:r>
          </w:p>
          <w:p w:rsidR="00B94261" w:rsidP="00B94261" w:rsidRDefault="00B94261" w14:paraId="00396D2F" w14:textId="361E4558">
            <w:pPr>
              <w:spacing w:line="360" w:lineRule="auto"/>
              <w:jc w:val="both"/>
              <w:rPr>
                <w:rFonts w:ascii="Arial" w:hAnsi="Arial" w:cs="Arial"/>
              </w:rPr>
            </w:pPr>
          </w:p>
          <w:p w:rsidR="00B94261" w:rsidP="00B94261" w:rsidRDefault="00B94261" w14:paraId="42570D53" w14:textId="20A6EE8A">
            <w:pPr>
              <w:spacing w:line="360" w:lineRule="auto"/>
              <w:jc w:val="both"/>
              <w:rPr>
                <w:rFonts w:ascii="Arial" w:hAnsi="Arial" w:cs="Arial"/>
              </w:rPr>
            </w:pPr>
          </w:p>
          <w:p w:rsidRPr="00B94261" w:rsidR="00B94261" w:rsidP="00B94261" w:rsidRDefault="00B94261" w14:paraId="3F19DF40" w14:textId="77777777">
            <w:pPr>
              <w:spacing w:line="360" w:lineRule="auto"/>
              <w:jc w:val="both"/>
              <w:rPr>
                <w:rFonts w:ascii="Arial" w:hAnsi="Arial" w:cs="Arial"/>
              </w:rPr>
            </w:pPr>
          </w:p>
          <w:p w:rsidR="00F51904" w:rsidP="00B94261" w:rsidRDefault="00B94261" w14:paraId="31742AB4" w14:textId="13354960">
            <w:pPr>
              <w:spacing w:line="360" w:lineRule="auto"/>
              <w:jc w:val="both"/>
              <w:rPr>
                <w:rFonts w:ascii="Arial" w:hAnsi="Arial" w:cs="Arial"/>
              </w:rPr>
            </w:pPr>
            <w:r w:rsidRPr="00B94261">
              <w:rPr>
                <w:rFonts w:ascii="Arial" w:hAnsi="Arial" w:cs="Arial"/>
              </w:rPr>
              <w:lastRenderedPageBreak/>
              <w:t>Ensuring food safety and cleanliness, as well as maintaining sustainability, is a significant competitive advantage. This sector relies on maintaining high standards of food safety and cleanliness to stay alive in the market. Food safety and food hygiene is such a practice, where every hotel put their effort to float. However, move forward with a strategic vision for a business is also critical.</w:t>
            </w:r>
          </w:p>
          <w:p w:rsidR="00F51904" w:rsidP="00C414B0" w:rsidRDefault="00F51904" w14:paraId="467586AD" w14:textId="77777777">
            <w:pPr>
              <w:spacing w:line="360" w:lineRule="auto"/>
              <w:jc w:val="both"/>
              <w:rPr>
                <w:rFonts w:ascii="Arial" w:hAnsi="Arial" w:cs="Arial"/>
              </w:rPr>
            </w:pPr>
          </w:p>
          <w:p w:rsidRPr="0082407E" w:rsidR="00F51904" w:rsidP="00C414B0" w:rsidRDefault="00F51904" w14:paraId="4F94C46A" w14:textId="77777777">
            <w:pPr>
              <w:spacing w:line="360" w:lineRule="auto"/>
              <w:jc w:val="both"/>
              <w:rPr>
                <w:rFonts w:ascii="Arial" w:hAnsi="Arial" w:cs="Arial"/>
              </w:rPr>
            </w:pPr>
          </w:p>
          <w:p w:rsidR="00797115" w:rsidP="00447AEC" w:rsidRDefault="00797115" w14:paraId="4DC1E882" w14:textId="77777777">
            <w:pPr>
              <w:jc w:val="both"/>
              <w:rPr>
                <w:rFonts w:ascii="Tahoma" w:hAnsi="Tahoma" w:cs="Tahoma"/>
                <w:sz w:val="20"/>
                <w:szCs w:val="20"/>
              </w:rPr>
            </w:pPr>
          </w:p>
          <w:p w:rsidR="00375882" w:rsidP="00447AEC" w:rsidRDefault="00375882" w14:paraId="10B11E51" w14:textId="77777777">
            <w:pPr>
              <w:jc w:val="both"/>
              <w:rPr>
                <w:rFonts w:ascii="Tahoma" w:hAnsi="Tahoma" w:cs="Tahoma"/>
                <w:sz w:val="20"/>
                <w:szCs w:val="20"/>
              </w:rPr>
            </w:pPr>
          </w:p>
          <w:p w:rsidR="00375882" w:rsidP="00447AEC" w:rsidRDefault="00375882" w14:paraId="629A4250" w14:textId="77777777">
            <w:pPr>
              <w:jc w:val="both"/>
              <w:rPr>
                <w:rFonts w:ascii="Tahoma" w:hAnsi="Tahoma" w:cs="Tahoma"/>
                <w:sz w:val="20"/>
                <w:szCs w:val="20"/>
              </w:rPr>
            </w:pPr>
          </w:p>
          <w:p w:rsidR="00375882" w:rsidP="00447AEC" w:rsidRDefault="00375882" w14:paraId="3223D94F" w14:textId="77777777">
            <w:pPr>
              <w:jc w:val="both"/>
              <w:rPr>
                <w:rFonts w:ascii="Tahoma" w:hAnsi="Tahoma" w:cs="Tahoma"/>
                <w:sz w:val="20"/>
                <w:szCs w:val="20"/>
              </w:rPr>
            </w:pPr>
          </w:p>
          <w:p w:rsidR="00375882" w:rsidP="00447AEC" w:rsidRDefault="00375882" w14:paraId="5AAD8421" w14:textId="77777777">
            <w:pPr>
              <w:jc w:val="both"/>
              <w:rPr>
                <w:rFonts w:ascii="Tahoma" w:hAnsi="Tahoma" w:cs="Tahoma"/>
                <w:sz w:val="20"/>
                <w:szCs w:val="20"/>
              </w:rPr>
            </w:pPr>
          </w:p>
          <w:p w:rsidR="00375882" w:rsidP="00447AEC" w:rsidRDefault="00375882" w14:paraId="601C5B2A" w14:textId="77777777">
            <w:pPr>
              <w:jc w:val="both"/>
              <w:rPr>
                <w:rFonts w:ascii="Tahoma" w:hAnsi="Tahoma" w:cs="Tahoma"/>
                <w:sz w:val="20"/>
                <w:szCs w:val="20"/>
              </w:rPr>
            </w:pPr>
          </w:p>
          <w:p w:rsidR="00375882" w:rsidP="00447AEC" w:rsidRDefault="00375882" w14:paraId="169E8A99" w14:textId="77777777">
            <w:pPr>
              <w:jc w:val="both"/>
              <w:rPr>
                <w:rFonts w:ascii="Tahoma" w:hAnsi="Tahoma" w:cs="Tahoma"/>
                <w:sz w:val="20"/>
                <w:szCs w:val="20"/>
              </w:rPr>
            </w:pPr>
          </w:p>
          <w:p w:rsidR="00375882" w:rsidP="00447AEC" w:rsidRDefault="00375882" w14:paraId="0514EA32" w14:textId="77777777">
            <w:pPr>
              <w:jc w:val="both"/>
              <w:rPr>
                <w:rFonts w:ascii="Tahoma" w:hAnsi="Tahoma" w:cs="Tahoma"/>
                <w:sz w:val="20"/>
                <w:szCs w:val="20"/>
              </w:rPr>
            </w:pPr>
          </w:p>
          <w:p w:rsidR="00375882" w:rsidP="00447AEC" w:rsidRDefault="00375882" w14:paraId="733FBFA5" w14:textId="77777777">
            <w:pPr>
              <w:jc w:val="both"/>
              <w:rPr>
                <w:rFonts w:ascii="Tahoma" w:hAnsi="Tahoma" w:cs="Tahoma"/>
                <w:sz w:val="20"/>
                <w:szCs w:val="20"/>
              </w:rPr>
            </w:pPr>
          </w:p>
          <w:p w:rsidR="00375882" w:rsidP="00447AEC" w:rsidRDefault="00375882" w14:paraId="20085F77" w14:textId="77777777">
            <w:pPr>
              <w:jc w:val="both"/>
              <w:rPr>
                <w:rFonts w:ascii="Tahoma" w:hAnsi="Tahoma" w:cs="Tahoma"/>
                <w:sz w:val="20"/>
                <w:szCs w:val="20"/>
              </w:rPr>
            </w:pPr>
          </w:p>
          <w:p w:rsidR="00375882" w:rsidP="00447AEC" w:rsidRDefault="00375882" w14:paraId="368349A1" w14:textId="77777777">
            <w:pPr>
              <w:jc w:val="both"/>
              <w:rPr>
                <w:rFonts w:ascii="Tahoma" w:hAnsi="Tahoma" w:cs="Tahoma"/>
                <w:sz w:val="20"/>
                <w:szCs w:val="20"/>
              </w:rPr>
            </w:pPr>
          </w:p>
          <w:p w:rsidR="00375882" w:rsidP="00447AEC" w:rsidRDefault="00375882" w14:paraId="24449AB5" w14:textId="77777777">
            <w:pPr>
              <w:jc w:val="both"/>
              <w:rPr>
                <w:rFonts w:ascii="Tahoma" w:hAnsi="Tahoma" w:cs="Tahoma"/>
                <w:sz w:val="20"/>
                <w:szCs w:val="20"/>
              </w:rPr>
            </w:pPr>
          </w:p>
          <w:p w:rsidR="00375882" w:rsidP="00447AEC" w:rsidRDefault="00375882" w14:paraId="6C7BBFE8" w14:textId="77777777">
            <w:pPr>
              <w:jc w:val="both"/>
              <w:rPr>
                <w:rFonts w:ascii="Tahoma" w:hAnsi="Tahoma" w:cs="Tahoma"/>
                <w:sz w:val="20"/>
                <w:szCs w:val="20"/>
              </w:rPr>
            </w:pPr>
          </w:p>
          <w:p w:rsidR="00375882" w:rsidP="00447AEC" w:rsidRDefault="00375882" w14:paraId="1AB82913" w14:textId="77777777">
            <w:pPr>
              <w:jc w:val="both"/>
              <w:rPr>
                <w:rFonts w:ascii="Tahoma" w:hAnsi="Tahoma" w:cs="Tahoma"/>
                <w:sz w:val="20"/>
                <w:szCs w:val="20"/>
              </w:rPr>
            </w:pPr>
          </w:p>
          <w:p w:rsidR="00375882" w:rsidP="00447AEC" w:rsidRDefault="00375882" w14:paraId="494EE66A" w14:textId="77777777">
            <w:pPr>
              <w:jc w:val="both"/>
              <w:rPr>
                <w:rFonts w:ascii="Tahoma" w:hAnsi="Tahoma" w:cs="Tahoma"/>
                <w:sz w:val="20"/>
                <w:szCs w:val="20"/>
              </w:rPr>
            </w:pPr>
          </w:p>
          <w:p w:rsidR="00375882" w:rsidP="00447AEC" w:rsidRDefault="00375882" w14:paraId="22275F03" w14:textId="77777777">
            <w:pPr>
              <w:jc w:val="both"/>
              <w:rPr>
                <w:rFonts w:ascii="Tahoma" w:hAnsi="Tahoma" w:cs="Tahoma"/>
                <w:sz w:val="20"/>
                <w:szCs w:val="20"/>
              </w:rPr>
            </w:pPr>
          </w:p>
          <w:p w:rsidR="00375882" w:rsidP="00447AEC" w:rsidRDefault="00375882" w14:paraId="2A8AB872" w14:textId="77777777">
            <w:pPr>
              <w:jc w:val="both"/>
              <w:rPr>
                <w:rFonts w:ascii="Tahoma" w:hAnsi="Tahoma" w:cs="Tahoma"/>
                <w:sz w:val="20"/>
                <w:szCs w:val="20"/>
              </w:rPr>
            </w:pPr>
          </w:p>
          <w:p w:rsidR="00375882" w:rsidP="00447AEC" w:rsidRDefault="00375882" w14:paraId="7D9AACA5" w14:textId="77777777">
            <w:pPr>
              <w:jc w:val="both"/>
              <w:rPr>
                <w:rFonts w:ascii="Tahoma" w:hAnsi="Tahoma" w:cs="Tahoma"/>
                <w:sz w:val="20"/>
                <w:szCs w:val="20"/>
              </w:rPr>
            </w:pPr>
          </w:p>
          <w:p w:rsidR="00375882" w:rsidP="00447AEC" w:rsidRDefault="00375882" w14:paraId="36346B27" w14:textId="77777777">
            <w:pPr>
              <w:jc w:val="both"/>
              <w:rPr>
                <w:rFonts w:ascii="Tahoma" w:hAnsi="Tahoma" w:cs="Tahoma"/>
                <w:sz w:val="20"/>
                <w:szCs w:val="20"/>
              </w:rPr>
            </w:pPr>
          </w:p>
          <w:p w:rsidR="00375882" w:rsidP="00447AEC" w:rsidRDefault="00375882" w14:paraId="4D8D755B" w14:textId="77777777">
            <w:pPr>
              <w:jc w:val="both"/>
              <w:rPr>
                <w:rFonts w:ascii="Tahoma" w:hAnsi="Tahoma" w:cs="Tahoma"/>
                <w:sz w:val="20"/>
                <w:szCs w:val="20"/>
              </w:rPr>
            </w:pPr>
          </w:p>
          <w:p w:rsidR="00375882" w:rsidP="00447AEC" w:rsidRDefault="00375882" w14:paraId="02268108" w14:textId="77777777">
            <w:pPr>
              <w:jc w:val="both"/>
              <w:rPr>
                <w:rFonts w:ascii="Tahoma" w:hAnsi="Tahoma" w:cs="Tahoma"/>
                <w:sz w:val="20"/>
                <w:szCs w:val="20"/>
              </w:rPr>
            </w:pPr>
          </w:p>
          <w:p w:rsidR="00375882" w:rsidP="00447AEC" w:rsidRDefault="00375882" w14:paraId="5A0C8C10" w14:textId="77777777">
            <w:pPr>
              <w:jc w:val="both"/>
              <w:rPr>
                <w:rFonts w:ascii="Tahoma" w:hAnsi="Tahoma" w:cs="Tahoma"/>
                <w:sz w:val="20"/>
                <w:szCs w:val="20"/>
              </w:rPr>
            </w:pPr>
          </w:p>
          <w:p w:rsidR="00375882" w:rsidP="00447AEC" w:rsidRDefault="00375882" w14:paraId="1E6225CA" w14:textId="77777777">
            <w:pPr>
              <w:jc w:val="both"/>
              <w:rPr>
                <w:rFonts w:ascii="Tahoma" w:hAnsi="Tahoma" w:cs="Tahoma"/>
                <w:sz w:val="20"/>
                <w:szCs w:val="20"/>
              </w:rPr>
            </w:pPr>
          </w:p>
          <w:p w:rsidR="00375882" w:rsidP="00447AEC" w:rsidRDefault="00375882" w14:paraId="49FF004B" w14:textId="77777777">
            <w:pPr>
              <w:jc w:val="both"/>
              <w:rPr>
                <w:rFonts w:ascii="Tahoma" w:hAnsi="Tahoma" w:cs="Tahoma"/>
                <w:sz w:val="20"/>
                <w:szCs w:val="20"/>
              </w:rPr>
            </w:pPr>
          </w:p>
          <w:p w:rsidR="00375882" w:rsidP="00447AEC" w:rsidRDefault="00375882" w14:paraId="657F557C" w14:textId="77777777">
            <w:pPr>
              <w:jc w:val="both"/>
              <w:rPr>
                <w:rFonts w:ascii="Tahoma" w:hAnsi="Tahoma" w:cs="Tahoma"/>
                <w:sz w:val="20"/>
                <w:szCs w:val="20"/>
              </w:rPr>
            </w:pPr>
          </w:p>
          <w:p w:rsidR="00375882" w:rsidP="00447AEC" w:rsidRDefault="00375882" w14:paraId="4215162F" w14:textId="77777777">
            <w:pPr>
              <w:jc w:val="both"/>
              <w:rPr>
                <w:rFonts w:ascii="Tahoma" w:hAnsi="Tahoma" w:cs="Tahoma"/>
                <w:sz w:val="20"/>
                <w:szCs w:val="20"/>
              </w:rPr>
            </w:pPr>
          </w:p>
          <w:p w:rsidR="00375882" w:rsidP="00447AEC" w:rsidRDefault="00375882" w14:paraId="411F92ED" w14:textId="77777777">
            <w:pPr>
              <w:jc w:val="both"/>
              <w:rPr>
                <w:rFonts w:ascii="Tahoma" w:hAnsi="Tahoma" w:cs="Tahoma"/>
                <w:sz w:val="20"/>
                <w:szCs w:val="20"/>
              </w:rPr>
            </w:pPr>
          </w:p>
          <w:p w:rsidR="00375882" w:rsidP="00447AEC" w:rsidRDefault="00375882" w14:paraId="0510974C" w14:textId="77777777">
            <w:pPr>
              <w:jc w:val="both"/>
              <w:rPr>
                <w:rFonts w:ascii="Tahoma" w:hAnsi="Tahoma" w:cs="Tahoma"/>
                <w:sz w:val="20"/>
                <w:szCs w:val="20"/>
              </w:rPr>
            </w:pPr>
          </w:p>
          <w:p w:rsidR="00375882" w:rsidP="00447AEC" w:rsidRDefault="00375882" w14:paraId="6B28EBBA" w14:textId="77777777">
            <w:pPr>
              <w:jc w:val="both"/>
              <w:rPr>
                <w:rFonts w:ascii="Tahoma" w:hAnsi="Tahoma" w:cs="Tahoma"/>
                <w:sz w:val="20"/>
                <w:szCs w:val="20"/>
              </w:rPr>
            </w:pPr>
          </w:p>
          <w:p w:rsidR="00375882" w:rsidP="00447AEC" w:rsidRDefault="00375882" w14:paraId="3680D1E7" w14:textId="77777777">
            <w:pPr>
              <w:jc w:val="both"/>
              <w:rPr>
                <w:rFonts w:ascii="Tahoma" w:hAnsi="Tahoma" w:cs="Tahoma"/>
                <w:sz w:val="20"/>
                <w:szCs w:val="20"/>
              </w:rPr>
            </w:pPr>
          </w:p>
          <w:p w:rsidR="00375882" w:rsidP="00447AEC" w:rsidRDefault="00375882" w14:paraId="5B6F190D" w14:textId="77777777">
            <w:pPr>
              <w:jc w:val="both"/>
              <w:rPr>
                <w:rFonts w:ascii="Tahoma" w:hAnsi="Tahoma" w:cs="Tahoma"/>
                <w:sz w:val="20"/>
                <w:szCs w:val="20"/>
              </w:rPr>
            </w:pPr>
          </w:p>
          <w:p w:rsidR="00375882" w:rsidP="00447AEC" w:rsidRDefault="00375882" w14:paraId="1CBB91F9" w14:textId="77777777">
            <w:pPr>
              <w:jc w:val="both"/>
              <w:rPr>
                <w:rFonts w:ascii="Tahoma" w:hAnsi="Tahoma" w:cs="Tahoma"/>
                <w:sz w:val="20"/>
                <w:szCs w:val="20"/>
              </w:rPr>
            </w:pPr>
          </w:p>
          <w:p w:rsidR="00375882" w:rsidP="00447AEC" w:rsidRDefault="00375882" w14:paraId="22B4E043" w14:textId="77777777">
            <w:pPr>
              <w:jc w:val="both"/>
              <w:rPr>
                <w:rFonts w:ascii="Tahoma" w:hAnsi="Tahoma" w:cs="Tahoma"/>
                <w:sz w:val="20"/>
                <w:szCs w:val="20"/>
              </w:rPr>
            </w:pPr>
          </w:p>
          <w:p w:rsidR="00375882" w:rsidP="00447AEC" w:rsidRDefault="00375882" w14:paraId="40B794DC" w14:textId="77777777">
            <w:pPr>
              <w:jc w:val="both"/>
              <w:rPr>
                <w:rFonts w:ascii="Tahoma" w:hAnsi="Tahoma" w:cs="Tahoma"/>
                <w:sz w:val="20"/>
                <w:szCs w:val="20"/>
              </w:rPr>
            </w:pPr>
          </w:p>
          <w:p w:rsidR="00375882" w:rsidP="00447AEC" w:rsidRDefault="00375882" w14:paraId="0A732014" w14:textId="77777777">
            <w:pPr>
              <w:jc w:val="both"/>
              <w:rPr>
                <w:rFonts w:ascii="Tahoma" w:hAnsi="Tahoma" w:cs="Tahoma"/>
                <w:sz w:val="20"/>
                <w:szCs w:val="20"/>
              </w:rPr>
            </w:pPr>
          </w:p>
          <w:p w:rsidR="00375882" w:rsidP="00447AEC" w:rsidRDefault="00375882" w14:paraId="57B1B02B" w14:textId="77777777">
            <w:pPr>
              <w:jc w:val="both"/>
              <w:rPr>
                <w:rFonts w:ascii="Tahoma" w:hAnsi="Tahoma" w:cs="Tahoma"/>
                <w:sz w:val="20"/>
                <w:szCs w:val="20"/>
              </w:rPr>
            </w:pPr>
          </w:p>
          <w:p w:rsidR="00375882" w:rsidP="00447AEC" w:rsidRDefault="00375882" w14:paraId="29092048" w14:textId="77777777">
            <w:pPr>
              <w:jc w:val="both"/>
              <w:rPr>
                <w:rFonts w:ascii="Tahoma" w:hAnsi="Tahoma" w:cs="Tahoma"/>
                <w:sz w:val="20"/>
                <w:szCs w:val="20"/>
              </w:rPr>
            </w:pPr>
          </w:p>
          <w:p w:rsidR="00375882" w:rsidP="00447AEC" w:rsidRDefault="00375882" w14:paraId="45D18CD5" w14:textId="77777777">
            <w:pPr>
              <w:jc w:val="both"/>
              <w:rPr>
                <w:rFonts w:ascii="Tahoma" w:hAnsi="Tahoma" w:cs="Tahoma"/>
                <w:sz w:val="20"/>
                <w:szCs w:val="20"/>
              </w:rPr>
            </w:pPr>
          </w:p>
          <w:p w:rsidR="00375882" w:rsidP="00447AEC" w:rsidRDefault="00375882" w14:paraId="18548036" w14:textId="77777777">
            <w:pPr>
              <w:jc w:val="both"/>
              <w:rPr>
                <w:rFonts w:ascii="Tahoma" w:hAnsi="Tahoma" w:cs="Tahoma"/>
                <w:sz w:val="20"/>
                <w:szCs w:val="20"/>
              </w:rPr>
            </w:pPr>
          </w:p>
          <w:p w:rsidR="00375882" w:rsidP="00447AEC" w:rsidRDefault="00375882" w14:paraId="04482D04" w14:textId="77777777">
            <w:pPr>
              <w:jc w:val="both"/>
              <w:rPr>
                <w:rFonts w:ascii="Tahoma" w:hAnsi="Tahoma" w:cs="Tahoma"/>
                <w:sz w:val="20"/>
                <w:szCs w:val="20"/>
              </w:rPr>
            </w:pPr>
          </w:p>
          <w:p w:rsidR="00375882" w:rsidP="00447AEC" w:rsidRDefault="00375882" w14:paraId="21316D23" w14:textId="77777777">
            <w:pPr>
              <w:jc w:val="both"/>
              <w:rPr>
                <w:rFonts w:ascii="Tahoma" w:hAnsi="Tahoma" w:cs="Tahoma"/>
                <w:sz w:val="20"/>
                <w:szCs w:val="20"/>
              </w:rPr>
            </w:pPr>
          </w:p>
          <w:p w:rsidR="00375882" w:rsidP="00447AEC" w:rsidRDefault="00375882" w14:paraId="7ABB693F" w14:textId="77777777">
            <w:pPr>
              <w:jc w:val="both"/>
              <w:rPr>
                <w:rFonts w:ascii="Tahoma" w:hAnsi="Tahoma" w:cs="Tahoma"/>
                <w:sz w:val="20"/>
                <w:szCs w:val="20"/>
              </w:rPr>
            </w:pPr>
          </w:p>
          <w:p w:rsidR="00375882" w:rsidP="00447AEC" w:rsidRDefault="00375882" w14:paraId="558B68CD" w14:textId="77777777">
            <w:pPr>
              <w:jc w:val="both"/>
              <w:rPr>
                <w:rFonts w:ascii="Tahoma" w:hAnsi="Tahoma" w:cs="Tahoma"/>
                <w:sz w:val="20"/>
                <w:szCs w:val="20"/>
              </w:rPr>
            </w:pPr>
          </w:p>
          <w:p w:rsidR="00375882" w:rsidP="00447AEC" w:rsidRDefault="00375882" w14:paraId="213727D5" w14:textId="77777777">
            <w:pPr>
              <w:jc w:val="both"/>
              <w:rPr>
                <w:rFonts w:ascii="Tahoma" w:hAnsi="Tahoma" w:cs="Tahoma"/>
                <w:sz w:val="20"/>
                <w:szCs w:val="20"/>
              </w:rPr>
            </w:pPr>
          </w:p>
          <w:p w:rsidR="00375882" w:rsidP="00447AEC" w:rsidRDefault="00375882" w14:paraId="0209048A" w14:textId="77777777">
            <w:pPr>
              <w:jc w:val="both"/>
              <w:rPr>
                <w:rFonts w:ascii="Tahoma" w:hAnsi="Tahoma" w:cs="Tahoma"/>
                <w:sz w:val="20"/>
                <w:szCs w:val="20"/>
              </w:rPr>
            </w:pPr>
          </w:p>
          <w:p w:rsidR="00375882" w:rsidP="00447AEC" w:rsidRDefault="00375882" w14:paraId="29A6BCD8" w14:textId="77777777">
            <w:pPr>
              <w:jc w:val="both"/>
              <w:rPr>
                <w:rFonts w:ascii="Tahoma" w:hAnsi="Tahoma" w:cs="Tahoma"/>
                <w:sz w:val="20"/>
                <w:szCs w:val="20"/>
              </w:rPr>
            </w:pPr>
          </w:p>
          <w:p w:rsidR="00375882" w:rsidP="00447AEC" w:rsidRDefault="00375882" w14:paraId="40F3433A" w14:textId="77777777">
            <w:pPr>
              <w:jc w:val="both"/>
              <w:rPr>
                <w:rFonts w:ascii="Tahoma" w:hAnsi="Tahoma" w:cs="Tahoma"/>
                <w:sz w:val="20"/>
                <w:szCs w:val="20"/>
              </w:rPr>
            </w:pPr>
          </w:p>
          <w:p w:rsidR="00375882" w:rsidP="00447AEC" w:rsidRDefault="00375882" w14:paraId="3723CE45" w14:textId="77777777">
            <w:pPr>
              <w:jc w:val="both"/>
              <w:rPr>
                <w:rFonts w:ascii="Tahoma" w:hAnsi="Tahoma" w:cs="Tahoma"/>
                <w:sz w:val="20"/>
                <w:szCs w:val="20"/>
              </w:rPr>
            </w:pPr>
          </w:p>
          <w:p w:rsidRPr="003C3341" w:rsidR="00375882" w:rsidP="00447AEC" w:rsidRDefault="00375882" w14:paraId="3B344F1E" w14:textId="4F66D5C5">
            <w:pPr>
              <w:jc w:val="both"/>
              <w:rPr>
                <w:rFonts w:ascii="Tahoma" w:hAnsi="Tahoma" w:cs="Tahoma"/>
                <w:sz w:val="20"/>
                <w:szCs w:val="20"/>
              </w:rPr>
            </w:pPr>
          </w:p>
        </w:tc>
      </w:tr>
    </w:tbl>
    <w:p w:rsidR="00B00678" w:rsidP="00B945EA" w:rsidRDefault="00B00678" w14:paraId="7D9A52CF" w14:textId="77777777">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Pr="003C3341" w:rsidR="00375882" w:rsidTr="00375882" w14:paraId="693FCD7B" w14:textId="77777777">
        <w:tc>
          <w:tcPr>
            <w:tcW w:w="10910" w:type="dxa"/>
            <w:shd w:val="clear" w:color="auto" w:fill="FBD4B4" w:themeFill="accent6" w:themeFillTint="66"/>
          </w:tcPr>
          <w:p w:rsidRPr="00946B23" w:rsidR="00375882" w:rsidP="007F6692" w:rsidRDefault="00375882" w14:paraId="0731D9DE" w14:textId="3AF3D5E7">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rsidR="00375882" w:rsidP="007F6692" w:rsidRDefault="00375882" w14:paraId="2A993785" w14:textId="77777777">
            <w:pPr>
              <w:jc w:val="center"/>
              <w:rPr>
                <w:rFonts w:ascii="Tahoma" w:hAnsi="Tahoma" w:cs="Tahoma"/>
                <w:b/>
                <w:sz w:val="20"/>
                <w:szCs w:val="20"/>
              </w:rPr>
            </w:pPr>
          </w:p>
          <w:p w:rsidRPr="003C3341" w:rsidR="00375882" w:rsidP="007F6692" w:rsidRDefault="00375882" w14:paraId="52F3ACFA" w14:textId="77777777">
            <w:pPr>
              <w:jc w:val="center"/>
              <w:rPr>
                <w:rFonts w:ascii="Tahoma" w:hAnsi="Tahoma" w:cs="Tahoma"/>
                <w:b/>
                <w:sz w:val="20"/>
                <w:szCs w:val="20"/>
              </w:rPr>
            </w:pPr>
          </w:p>
        </w:tc>
      </w:tr>
      <w:tr w:rsidRPr="003C3341" w:rsidR="00375882" w:rsidTr="007F6692" w14:paraId="130E5631" w14:textId="77777777">
        <w:trPr>
          <w:trHeight w:val="2494"/>
        </w:trPr>
        <w:tc>
          <w:tcPr>
            <w:tcW w:w="11182" w:type="dxa"/>
            <w:gridSpan w:val="2"/>
          </w:tcPr>
          <w:p w:rsidR="00375882" w:rsidP="007F6692" w:rsidRDefault="00375882" w14:paraId="4FBADFA5" w14:textId="77777777">
            <w:pPr>
              <w:rPr>
                <w:rFonts w:ascii="Tahoma" w:hAnsi="Tahoma" w:cs="Tahoma"/>
                <w:sz w:val="20"/>
                <w:szCs w:val="20"/>
              </w:rPr>
            </w:pPr>
          </w:p>
          <w:p w:rsidR="00375882" w:rsidP="007F6692" w:rsidRDefault="00B94261" w14:paraId="4F228F5D" w14:textId="15946972">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Dale, C., Robinson, N. and Sheikh, F., 2021. Tourist Safety and Security Post COVID-19: Global Perspectives. In </w:t>
            </w:r>
            <w:r>
              <w:rPr>
                <w:rFonts w:ascii="Arial" w:hAnsi="Arial" w:cs="Arial"/>
                <w:i/>
                <w:iCs/>
                <w:color w:val="222222"/>
                <w:sz w:val="20"/>
                <w:szCs w:val="20"/>
                <w:shd w:val="clear" w:color="auto" w:fill="FFFFFF"/>
              </w:rPr>
              <w:t>Tourism Destination Management in a Post-Pandemic Context</w:t>
            </w:r>
            <w:r>
              <w:rPr>
                <w:rFonts w:ascii="Arial" w:hAnsi="Arial" w:cs="Arial"/>
                <w:color w:val="222222"/>
                <w:sz w:val="20"/>
                <w:szCs w:val="20"/>
                <w:shd w:val="clear" w:color="auto" w:fill="FFFFFF"/>
              </w:rPr>
              <w:t>. Emerald Publishing Limited.</w:t>
            </w:r>
          </w:p>
          <w:p w:rsidR="00B94261" w:rsidP="007F6692" w:rsidRDefault="00B94261" w14:paraId="799E08C9" w14:textId="18E7F62A">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González-Torres, T., Rodríguez-Sánchez, J.L. and </w:t>
            </w:r>
            <w:proofErr w:type="spellStart"/>
            <w:r>
              <w:rPr>
                <w:rFonts w:ascii="Arial" w:hAnsi="Arial" w:cs="Arial"/>
                <w:color w:val="222222"/>
                <w:sz w:val="20"/>
                <w:szCs w:val="20"/>
                <w:shd w:val="clear" w:color="auto" w:fill="FFFFFF"/>
              </w:rPr>
              <w:t>Pelechano-Barahona</w:t>
            </w:r>
            <w:proofErr w:type="spellEnd"/>
            <w:r>
              <w:rPr>
                <w:rFonts w:ascii="Arial" w:hAnsi="Arial" w:cs="Arial"/>
                <w:color w:val="222222"/>
                <w:sz w:val="20"/>
                <w:szCs w:val="20"/>
                <w:shd w:val="clear" w:color="auto" w:fill="FFFFFF"/>
              </w:rPr>
              <w:t>, E., 2021. Managing relationships in the Tourism Supply Chain to overcome epidemic outbreaks: The case of COVID-19 and the hospitality industry in Spain.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92</w:t>
            </w:r>
            <w:r>
              <w:rPr>
                <w:rFonts w:ascii="Arial" w:hAnsi="Arial" w:cs="Arial"/>
                <w:color w:val="222222"/>
                <w:sz w:val="20"/>
                <w:szCs w:val="20"/>
                <w:shd w:val="clear" w:color="auto" w:fill="FFFFFF"/>
              </w:rPr>
              <w:t>, p.102733.</w:t>
            </w:r>
          </w:p>
          <w:p w:rsidR="00B94261" w:rsidP="007F6692" w:rsidRDefault="00B94261" w14:paraId="15DB66A1" w14:textId="1EA28A35">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Harris, K., Taylor Jr, S. and DiPietro, R.B., 2021. Antecedents and outcomes of restaurant employees’ food safety intervention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94</w:t>
            </w:r>
            <w:r>
              <w:rPr>
                <w:rFonts w:ascii="Arial" w:hAnsi="Arial" w:cs="Arial"/>
                <w:color w:val="222222"/>
                <w:sz w:val="20"/>
                <w:szCs w:val="20"/>
                <w:shd w:val="clear" w:color="auto" w:fill="FFFFFF"/>
              </w:rPr>
              <w:t>, p.102858.</w:t>
            </w:r>
          </w:p>
          <w:p w:rsidR="00B94261" w:rsidP="007F6692" w:rsidRDefault="00B94261" w14:paraId="5C9CC335" w14:textId="77777777">
            <w:pPr>
              <w:spacing w:line="360" w:lineRule="auto"/>
              <w:jc w:val="both"/>
              <w:rPr>
                <w:rFonts w:ascii="Arial" w:hAnsi="Arial" w:cs="Arial"/>
              </w:rPr>
            </w:pPr>
          </w:p>
          <w:tbl>
            <w:tblPr>
              <w:tblW w:w="6564" w:type="dxa"/>
              <w:shd w:val="clear" w:color="auto" w:fill="FFFFFF"/>
              <w:tblCellMar>
                <w:left w:w="0" w:type="dxa"/>
                <w:right w:w="0" w:type="dxa"/>
              </w:tblCellMar>
              <w:tblLook w:val="04A0" w:firstRow="1" w:lastRow="0" w:firstColumn="1" w:lastColumn="0" w:noHBand="0" w:noVBand="1"/>
            </w:tblPr>
            <w:tblGrid>
              <w:gridCol w:w="6564"/>
            </w:tblGrid>
            <w:tr w:rsidR="00B94261" w:rsidTr="00B94261" w14:paraId="64B26EB3" w14:textId="77777777">
              <w:tc>
                <w:tcPr>
                  <w:tcW w:w="0" w:type="auto"/>
                  <w:shd w:val="clear" w:color="auto" w:fill="FFFFFF"/>
                  <w:vAlign w:val="center"/>
                  <w:hideMark/>
                </w:tcPr>
                <w:p w:rsidR="00B94261" w:rsidP="00B94261" w:rsidRDefault="00B94261" w14:paraId="363D31F6" w14:textId="77777777">
                  <w:pPr>
                    <w:rPr>
                      <w:sz w:val="20"/>
                      <w:szCs w:val="20"/>
                    </w:rPr>
                  </w:pPr>
                </w:p>
              </w:tc>
            </w:tr>
            <w:tr w:rsidR="00B94261" w:rsidTr="00B94261" w14:paraId="3D33C4DE" w14:textId="77777777">
              <w:tc>
                <w:tcPr>
                  <w:tcW w:w="0" w:type="auto"/>
                  <w:shd w:val="clear" w:color="auto" w:fill="FFFFFF"/>
                  <w:tcMar>
                    <w:top w:w="120" w:type="dxa"/>
                    <w:left w:w="0" w:type="dxa"/>
                    <w:bottom w:w="120" w:type="dxa"/>
                    <w:right w:w="0" w:type="dxa"/>
                  </w:tcMar>
                  <w:hideMark/>
                </w:tcPr>
                <w:p w:rsidR="00B94261" w:rsidP="00B94261" w:rsidRDefault="00B94261" w14:paraId="2C4DBC0B" w14:textId="381DCE77">
                  <w:pPr>
                    <w:jc w:val="both"/>
                    <w:rPr>
                      <w:rFonts w:ascii="Arial" w:hAnsi="Arial" w:cs="Arial"/>
                      <w:color w:val="222222"/>
                      <w:sz w:val="20"/>
                      <w:szCs w:val="20"/>
                    </w:rPr>
                  </w:pPr>
                  <w:r>
                    <w:rPr>
                      <w:rFonts w:ascii="Arial" w:hAnsi="Arial" w:cs="Arial"/>
                      <w:color w:val="222222"/>
                      <w:sz w:val="20"/>
                      <w:szCs w:val="20"/>
                    </w:rPr>
                    <w:t>Awasthi, B., 2021. Does the food safety ranking system act as a nudge</w:t>
                  </w:r>
                  <w:proofErr w:type="gramStart"/>
                  <w:r>
                    <w:rPr>
                      <w:rFonts w:ascii="Arial" w:hAnsi="Arial" w:cs="Arial"/>
                      <w:color w:val="222222"/>
                      <w:sz w:val="20"/>
                      <w:szCs w:val="20"/>
                    </w:rPr>
                    <w:t>?.</w:t>
                  </w:r>
                  <w:proofErr w:type="gramEnd"/>
                  <w:r>
                    <w:rPr>
                      <w:rFonts w:ascii="Arial" w:hAnsi="Arial" w:cs="Arial"/>
                      <w:color w:val="222222"/>
                      <w:sz w:val="20"/>
                      <w:szCs w:val="20"/>
                    </w:rPr>
                    <w:t> </w:t>
                  </w:r>
                  <w:r>
                    <w:rPr>
                      <w:rFonts w:ascii="Arial" w:hAnsi="Arial" w:cs="Arial"/>
                      <w:i/>
                      <w:iCs/>
                      <w:color w:val="222222"/>
                      <w:sz w:val="20"/>
                      <w:szCs w:val="20"/>
                    </w:rPr>
                    <w:t xml:space="preserve">International Journal of Applied </w:t>
                  </w:r>
                  <w:proofErr w:type="spellStart"/>
                  <w:r>
                    <w:rPr>
                      <w:rFonts w:ascii="Arial" w:hAnsi="Arial" w:cs="Arial"/>
                      <w:i/>
                      <w:iCs/>
                      <w:color w:val="222222"/>
                      <w:sz w:val="20"/>
                      <w:szCs w:val="20"/>
                    </w:rPr>
                    <w:t>Behavioral</w:t>
                  </w:r>
                  <w:proofErr w:type="spellEnd"/>
                  <w:r>
                    <w:rPr>
                      <w:rFonts w:ascii="Arial" w:hAnsi="Arial" w:cs="Arial"/>
                      <w:i/>
                      <w:iCs/>
                      <w:color w:val="222222"/>
                      <w:sz w:val="20"/>
                      <w:szCs w:val="20"/>
                    </w:rPr>
                    <w:t xml:space="preserve"> Economics (IJABE)</w:t>
                  </w:r>
                  <w:r>
                    <w:rPr>
                      <w:rFonts w:ascii="Arial" w:hAnsi="Arial" w:cs="Arial"/>
                      <w:color w:val="222222"/>
                      <w:sz w:val="20"/>
                      <w:szCs w:val="20"/>
                    </w:rPr>
                    <w:t>, </w:t>
                  </w:r>
                  <w:r>
                    <w:rPr>
                      <w:rFonts w:ascii="Arial" w:hAnsi="Arial" w:cs="Arial"/>
                      <w:i/>
                      <w:iCs/>
                      <w:color w:val="222222"/>
                      <w:sz w:val="20"/>
                      <w:szCs w:val="20"/>
                    </w:rPr>
                    <w:t>10</w:t>
                  </w:r>
                  <w:r>
                    <w:rPr>
                      <w:rFonts w:ascii="Arial" w:hAnsi="Arial" w:cs="Arial"/>
                      <w:color w:val="222222"/>
                      <w:sz w:val="20"/>
                      <w:szCs w:val="20"/>
                    </w:rPr>
                    <w:t>(4), pp.42-58.</w:t>
                  </w:r>
                </w:p>
              </w:tc>
            </w:tr>
          </w:tbl>
          <w:p w:rsidR="00375882" w:rsidP="007F6692" w:rsidRDefault="00B94261" w14:paraId="7BE2B521" w14:textId="160CD225">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Madaki, M.Y. and Miroslava, B., 2021. Determinants of food safety behaviour among food vendors: the case of Nigeria. </w:t>
            </w:r>
            <w:r>
              <w:rPr>
                <w:rFonts w:ascii="Arial" w:hAnsi="Arial" w:cs="Arial"/>
                <w:i/>
                <w:iCs/>
                <w:color w:val="222222"/>
                <w:sz w:val="20"/>
                <w:szCs w:val="20"/>
                <w:shd w:val="clear" w:color="auto" w:fill="FFFFFF"/>
              </w:rPr>
              <w:t>British Food Journal</w:t>
            </w:r>
            <w:r>
              <w:rPr>
                <w:rFonts w:ascii="Arial" w:hAnsi="Arial" w:cs="Arial"/>
                <w:color w:val="222222"/>
                <w:sz w:val="20"/>
                <w:szCs w:val="20"/>
                <w:shd w:val="clear" w:color="auto" w:fill="FFFFFF"/>
              </w:rPr>
              <w:t>.</w:t>
            </w:r>
          </w:p>
          <w:p w:rsidR="00B94261" w:rsidP="007F6692" w:rsidRDefault="00B94261" w14:paraId="04E6877F" w14:textId="60A6AB13">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Taha, S., </w:t>
            </w:r>
            <w:proofErr w:type="spellStart"/>
            <w:r>
              <w:rPr>
                <w:rFonts w:ascii="Arial" w:hAnsi="Arial" w:cs="Arial"/>
                <w:color w:val="222222"/>
                <w:sz w:val="20"/>
                <w:szCs w:val="20"/>
                <w:shd w:val="clear" w:color="auto" w:fill="FFFFFF"/>
              </w:rPr>
              <w:t>Osaili</w:t>
            </w:r>
            <w:proofErr w:type="spellEnd"/>
            <w:r>
              <w:rPr>
                <w:rFonts w:ascii="Arial" w:hAnsi="Arial" w:cs="Arial"/>
                <w:color w:val="222222"/>
                <w:sz w:val="20"/>
                <w:szCs w:val="20"/>
                <w:shd w:val="clear" w:color="auto" w:fill="FFFFFF"/>
              </w:rPr>
              <w:t xml:space="preserve">, T.M., </w:t>
            </w:r>
            <w:proofErr w:type="spellStart"/>
            <w:r>
              <w:rPr>
                <w:rFonts w:ascii="Arial" w:hAnsi="Arial" w:cs="Arial"/>
                <w:color w:val="222222"/>
                <w:sz w:val="20"/>
                <w:szCs w:val="20"/>
                <w:shd w:val="clear" w:color="auto" w:fill="FFFFFF"/>
              </w:rPr>
              <w:t>Vij</w:t>
            </w:r>
            <w:proofErr w:type="spellEnd"/>
            <w:r>
              <w:rPr>
                <w:rFonts w:ascii="Arial" w:hAnsi="Arial" w:cs="Arial"/>
                <w:color w:val="222222"/>
                <w:sz w:val="20"/>
                <w:szCs w:val="20"/>
                <w:shd w:val="clear" w:color="auto" w:fill="FFFFFF"/>
              </w:rPr>
              <w:t xml:space="preserve">, M., Vij, A., </w:t>
            </w:r>
            <w:proofErr w:type="spellStart"/>
            <w:r>
              <w:rPr>
                <w:rFonts w:ascii="Arial" w:hAnsi="Arial" w:cs="Arial"/>
                <w:color w:val="222222"/>
                <w:sz w:val="20"/>
                <w:szCs w:val="20"/>
                <w:shd w:val="clear" w:color="auto" w:fill="FFFFFF"/>
              </w:rPr>
              <w:t>Alhogaraty</w:t>
            </w:r>
            <w:proofErr w:type="spellEnd"/>
            <w:r>
              <w:rPr>
                <w:rFonts w:ascii="Arial" w:hAnsi="Arial" w:cs="Arial"/>
                <w:color w:val="222222"/>
                <w:sz w:val="20"/>
                <w:szCs w:val="20"/>
                <w:shd w:val="clear" w:color="auto" w:fill="FFFFFF"/>
              </w:rPr>
              <w:t xml:space="preserve">, E., </w:t>
            </w:r>
            <w:proofErr w:type="spellStart"/>
            <w:r>
              <w:rPr>
                <w:rFonts w:ascii="Arial" w:hAnsi="Arial" w:cs="Arial"/>
                <w:color w:val="222222"/>
                <w:sz w:val="20"/>
                <w:szCs w:val="20"/>
                <w:shd w:val="clear" w:color="auto" w:fill="FFFFFF"/>
              </w:rPr>
              <w:t>Ghassan</w:t>
            </w:r>
            <w:proofErr w:type="spellEnd"/>
            <w:r>
              <w:rPr>
                <w:rFonts w:ascii="Arial" w:hAnsi="Arial" w:cs="Arial"/>
                <w:color w:val="222222"/>
                <w:sz w:val="20"/>
                <w:szCs w:val="20"/>
                <w:shd w:val="clear" w:color="auto" w:fill="FFFFFF"/>
              </w:rPr>
              <w:t xml:space="preserve">, A.U., </w:t>
            </w:r>
            <w:proofErr w:type="spellStart"/>
            <w:r>
              <w:rPr>
                <w:rFonts w:ascii="Arial" w:hAnsi="Arial" w:cs="Arial"/>
                <w:color w:val="222222"/>
                <w:sz w:val="20"/>
                <w:szCs w:val="20"/>
                <w:shd w:val="clear" w:color="auto" w:fill="FFFFFF"/>
              </w:rPr>
              <w:t>Albloush</w:t>
            </w:r>
            <w:proofErr w:type="spellEnd"/>
            <w:r>
              <w:rPr>
                <w:rFonts w:ascii="Arial" w:hAnsi="Arial" w:cs="Arial"/>
                <w:color w:val="222222"/>
                <w:sz w:val="20"/>
                <w:szCs w:val="20"/>
                <w:shd w:val="clear" w:color="auto" w:fill="FFFFFF"/>
              </w:rPr>
              <w:t xml:space="preserve">, A., </w:t>
            </w:r>
            <w:proofErr w:type="spellStart"/>
            <w:r>
              <w:rPr>
                <w:rFonts w:ascii="Arial" w:hAnsi="Arial" w:cs="Arial"/>
                <w:color w:val="222222"/>
                <w:sz w:val="20"/>
                <w:szCs w:val="20"/>
                <w:shd w:val="clear" w:color="auto" w:fill="FFFFFF"/>
              </w:rPr>
              <w:t>Nassoura</w:t>
            </w:r>
            <w:proofErr w:type="spellEnd"/>
            <w:r>
              <w:rPr>
                <w:rFonts w:ascii="Arial" w:hAnsi="Arial" w:cs="Arial"/>
                <w:color w:val="222222"/>
                <w:sz w:val="20"/>
                <w:szCs w:val="20"/>
                <w:shd w:val="clear" w:color="auto" w:fill="FFFFFF"/>
              </w:rPr>
              <w:t>, A., Bohra, O.P. and Altaher, S., 2021. Measuring management practices impact on hygiene practices of food handlers: The mediating role of commitment and training perception. </w:t>
            </w:r>
            <w:r>
              <w:rPr>
                <w:rFonts w:ascii="Arial" w:hAnsi="Arial" w:cs="Arial"/>
                <w:i/>
                <w:iCs/>
                <w:color w:val="222222"/>
                <w:sz w:val="20"/>
                <w:szCs w:val="20"/>
                <w:shd w:val="clear" w:color="auto" w:fill="FFFFFF"/>
              </w:rPr>
              <w:t>Food Control</w:t>
            </w:r>
            <w:r>
              <w:rPr>
                <w:rFonts w:ascii="Arial" w:hAnsi="Arial" w:cs="Arial"/>
                <w:color w:val="222222"/>
                <w:sz w:val="20"/>
                <w:szCs w:val="20"/>
                <w:shd w:val="clear" w:color="auto" w:fill="FFFFFF"/>
              </w:rPr>
              <w:t>, p.108313.</w:t>
            </w:r>
          </w:p>
          <w:p w:rsidR="00B94261" w:rsidP="007F6692" w:rsidRDefault="00B94261" w14:paraId="74FDF10F" w14:textId="46DE35D7">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Hsieh, Y.J., Chen, Y.L. and Wang, Y.C., 2021. Government and social trust vs. hotel response efficacy: A protection motivation perspective on hotel stay intention during the COVID-19 pandemic.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97</w:t>
            </w:r>
            <w:r>
              <w:rPr>
                <w:rFonts w:ascii="Arial" w:hAnsi="Arial" w:cs="Arial"/>
                <w:color w:val="222222"/>
                <w:sz w:val="20"/>
                <w:szCs w:val="20"/>
                <w:shd w:val="clear" w:color="auto" w:fill="FFFFFF"/>
              </w:rPr>
              <w:t>, p.102991.</w:t>
            </w:r>
          </w:p>
          <w:p w:rsidR="00B94261" w:rsidP="007F6692" w:rsidRDefault="00B94261" w14:paraId="55C46291" w14:textId="29EEB71F">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Limon, M.R., 2021. Food safety practices of food handlers at home engaged in online food businesses during COVID-19 pandemic in the Philippines. </w:t>
            </w:r>
            <w:r>
              <w:rPr>
                <w:rFonts w:ascii="Arial" w:hAnsi="Arial" w:cs="Arial"/>
                <w:i/>
                <w:iCs/>
                <w:color w:val="222222"/>
                <w:sz w:val="20"/>
                <w:szCs w:val="20"/>
                <w:shd w:val="clear" w:color="auto" w:fill="FFFFFF"/>
              </w:rPr>
              <w:t>Current Research in Food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 pp.63-73.</w:t>
            </w:r>
          </w:p>
          <w:p w:rsidR="00B94261" w:rsidP="007F6692" w:rsidRDefault="00B94261" w14:paraId="45F3E2A6" w14:textId="2DFD1562">
            <w:pPr>
              <w:spacing w:line="360"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Trmcic</w:t>
            </w:r>
            <w:proofErr w:type="spellEnd"/>
            <w:r>
              <w:rPr>
                <w:rFonts w:ascii="Arial" w:hAnsi="Arial" w:cs="Arial"/>
                <w:color w:val="222222"/>
                <w:sz w:val="20"/>
                <w:szCs w:val="20"/>
                <w:shd w:val="clear" w:color="auto" w:fill="FFFFFF"/>
              </w:rPr>
              <w:t xml:space="preserve">, A., Demmings, E., </w:t>
            </w:r>
            <w:proofErr w:type="spellStart"/>
            <w:r>
              <w:rPr>
                <w:rFonts w:ascii="Arial" w:hAnsi="Arial" w:cs="Arial"/>
                <w:color w:val="222222"/>
                <w:sz w:val="20"/>
                <w:szCs w:val="20"/>
                <w:shd w:val="clear" w:color="auto" w:fill="FFFFFF"/>
              </w:rPr>
              <w:t>Kniel</w:t>
            </w:r>
            <w:proofErr w:type="spellEnd"/>
            <w:r>
              <w:rPr>
                <w:rFonts w:ascii="Arial" w:hAnsi="Arial" w:cs="Arial"/>
                <w:color w:val="222222"/>
                <w:sz w:val="20"/>
                <w:szCs w:val="20"/>
                <w:shd w:val="clear" w:color="auto" w:fill="FFFFFF"/>
              </w:rPr>
              <w:t xml:space="preserve">, K., Wiedmann, M. and </w:t>
            </w:r>
            <w:proofErr w:type="spellStart"/>
            <w:r>
              <w:rPr>
                <w:rFonts w:ascii="Arial" w:hAnsi="Arial" w:cs="Arial"/>
                <w:color w:val="222222"/>
                <w:sz w:val="20"/>
                <w:szCs w:val="20"/>
                <w:shd w:val="clear" w:color="auto" w:fill="FFFFFF"/>
              </w:rPr>
              <w:t>Alcaine</w:t>
            </w:r>
            <w:proofErr w:type="spellEnd"/>
            <w:r>
              <w:rPr>
                <w:rFonts w:ascii="Arial" w:hAnsi="Arial" w:cs="Arial"/>
                <w:color w:val="222222"/>
                <w:sz w:val="20"/>
                <w:szCs w:val="20"/>
                <w:shd w:val="clear" w:color="auto" w:fill="FFFFFF"/>
              </w:rPr>
              <w:t>, S.D., Food Safety and Employee Health Implications of COVID-19Food Safety and Employee Health Implications of COVID-19. </w:t>
            </w:r>
            <w:r>
              <w:rPr>
                <w:rFonts w:ascii="Arial" w:hAnsi="Arial" w:cs="Arial"/>
                <w:i/>
                <w:iCs/>
                <w:color w:val="222222"/>
                <w:sz w:val="20"/>
                <w:szCs w:val="20"/>
                <w:shd w:val="clear" w:color="auto" w:fill="FFFFFF"/>
              </w:rPr>
              <w:t>Journal of Food Protection</w:t>
            </w:r>
            <w:r>
              <w:rPr>
                <w:rFonts w:ascii="Arial" w:hAnsi="Arial" w:cs="Arial"/>
                <w:color w:val="222222"/>
                <w:sz w:val="20"/>
                <w:szCs w:val="20"/>
                <w:shd w:val="clear" w:color="auto" w:fill="FFFFFF"/>
              </w:rPr>
              <w:t>.</w:t>
            </w:r>
          </w:p>
          <w:p w:rsidR="00B94261" w:rsidP="007F6692" w:rsidRDefault="00B94261" w14:paraId="612A2D10" w14:textId="3DC7DCAC">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Liggans, G.L., Boyer, M.S., Moore, V.S. and Williams, L.B., 2021. Assessing Employee Health Policies for Reporting and Excluding Ill Food Employees in Restaurants within the United States. </w:t>
            </w:r>
            <w:r>
              <w:rPr>
                <w:rFonts w:ascii="Arial" w:hAnsi="Arial" w:cs="Arial"/>
                <w:i/>
                <w:iCs/>
                <w:color w:val="222222"/>
                <w:sz w:val="20"/>
                <w:szCs w:val="20"/>
                <w:shd w:val="clear" w:color="auto" w:fill="FFFFFF"/>
              </w:rPr>
              <w:t>Journal of Food Protection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84</w:t>
            </w:r>
            <w:r>
              <w:rPr>
                <w:rFonts w:ascii="Arial" w:hAnsi="Arial" w:cs="Arial"/>
                <w:color w:val="222222"/>
                <w:sz w:val="20"/>
                <w:szCs w:val="20"/>
                <w:shd w:val="clear" w:color="auto" w:fill="FFFFFF"/>
              </w:rPr>
              <w:t>(2), pp.291-295.</w:t>
            </w:r>
          </w:p>
          <w:p w:rsidR="00B94261" w:rsidP="007F6692" w:rsidRDefault="00B94261" w14:paraId="376983DB" w14:textId="207B01C3">
            <w:pPr>
              <w:spacing w:line="36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Patel, P.C., </w:t>
            </w:r>
            <w:proofErr w:type="spellStart"/>
            <w:r>
              <w:rPr>
                <w:rFonts w:ascii="Arial" w:hAnsi="Arial" w:cs="Arial"/>
                <w:color w:val="222222"/>
                <w:sz w:val="20"/>
                <w:szCs w:val="20"/>
                <w:shd w:val="clear" w:color="auto" w:fill="FFFFFF"/>
              </w:rPr>
              <w:t>Tsionas</w:t>
            </w:r>
            <w:proofErr w:type="spellEnd"/>
            <w:r>
              <w:rPr>
                <w:rFonts w:ascii="Arial" w:hAnsi="Arial" w:cs="Arial"/>
                <w:color w:val="222222"/>
                <w:sz w:val="20"/>
                <w:szCs w:val="20"/>
                <w:shd w:val="clear" w:color="auto" w:fill="FFFFFF"/>
              </w:rPr>
              <w:t>, M. and Assaf, A.G., 2021. How much do low-scoring food establishments improve after health safety inspections? Not much! Evidence from Los Angeles.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95</w:t>
            </w:r>
            <w:r>
              <w:rPr>
                <w:rFonts w:ascii="Arial" w:hAnsi="Arial" w:cs="Arial"/>
                <w:color w:val="222222"/>
                <w:sz w:val="20"/>
                <w:szCs w:val="20"/>
                <w:shd w:val="clear" w:color="auto" w:fill="FFFFFF"/>
              </w:rPr>
              <w:t>, p.102927.</w:t>
            </w:r>
          </w:p>
          <w:p w:rsidR="00B94261" w:rsidP="007F6692" w:rsidRDefault="00B94261" w14:paraId="29FF4F03" w14:textId="77777777">
            <w:pPr>
              <w:spacing w:line="360" w:lineRule="auto"/>
              <w:jc w:val="both"/>
              <w:rPr>
                <w:rFonts w:ascii="Arial" w:hAnsi="Arial" w:cs="Arial"/>
              </w:rPr>
            </w:pPr>
          </w:p>
          <w:p w:rsidR="00B94261" w:rsidP="007F6692" w:rsidRDefault="00B94261" w14:paraId="40BC6C5D" w14:textId="77777777">
            <w:pPr>
              <w:spacing w:line="360" w:lineRule="auto"/>
              <w:jc w:val="both"/>
              <w:rPr>
                <w:rFonts w:ascii="Arial" w:hAnsi="Arial" w:cs="Arial"/>
              </w:rPr>
            </w:pPr>
          </w:p>
          <w:p w:rsidR="00375882" w:rsidP="007F6692" w:rsidRDefault="00375882" w14:paraId="4C6DEC4D" w14:textId="300F334B">
            <w:pPr>
              <w:spacing w:line="360" w:lineRule="auto"/>
              <w:jc w:val="both"/>
              <w:rPr>
                <w:rFonts w:ascii="Arial" w:hAnsi="Arial" w:cs="Arial"/>
              </w:rPr>
            </w:pPr>
          </w:p>
          <w:p w:rsidR="00375882" w:rsidP="007F6692" w:rsidRDefault="00375882" w14:paraId="522F9E9C" w14:textId="07E4A2C3">
            <w:pPr>
              <w:spacing w:line="360" w:lineRule="auto"/>
              <w:jc w:val="both"/>
              <w:rPr>
                <w:rFonts w:ascii="Arial" w:hAnsi="Arial" w:cs="Arial"/>
              </w:rPr>
            </w:pPr>
          </w:p>
          <w:p w:rsidR="00375882" w:rsidP="007F6692" w:rsidRDefault="00375882" w14:paraId="6944CF61" w14:textId="0FD4B374">
            <w:pPr>
              <w:spacing w:line="360" w:lineRule="auto"/>
              <w:jc w:val="both"/>
              <w:rPr>
                <w:rFonts w:ascii="Arial" w:hAnsi="Arial" w:cs="Arial"/>
              </w:rPr>
            </w:pPr>
          </w:p>
          <w:p w:rsidR="00375882" w:rsidP="007F6692" w:rsidRDefault="00375882" w14:paraId="6DF51C3D" w14:textId="6F494BB7">
            <w:pPr>
              <w:spacing w:line="360" w:lineRule="auto"/>
              <w:jc w:val="both"/>
              <w:rPr>
                <w:rFonts w:ascii="Arial" w:hAnsi="Arial" w:cs="Arial"/>
              </w:rPr>
            </w:pPr>
          </w:p>
          <w:p w:rsidR="00375882" w:rsidP="007F6692" w:rsidRDefault="00375882" w14:paraId="69EA998C" w14:textId="6811899E">
            <w:pPr>
              <w:spacing w:line="360" w:lineRule="auto"/>
              <w:jc w:val="both"/>
              <w:rPr>
                <w:rFonts w:ascii="Arial" w:hAnsi="Arial" w:cs="Arial"/>
              </w:rPr>
            </w:pPr>
          </w:p>
          <w:p w:rsidR="00375882" w:rsidP="007F6692" w:rsidRDefault="00375882" w14:paraId="03D9529C" w14:textId="4342E6D7">
            <w:pPr>
              <w:spacing w:line="360" w:lineRule="auto"/>
              <w:jc w:val="both"/>
              <w:rPr>
                <w:rFonts w:ascii="Arial" w:hAnsi="Arial" w:cs="Arial"/>
              </w:rPr>
            </w:pPr>
          </w:p>
          <w:p w:rsidR="00375882" w:rsidP="007F6692" w:rsidRDefault="00375882" w14:paraId="789E9A79" w14:textId="77990206">
            <w:pPr>
              <w:spacing w:line="360" w:lineRule="auto"/>
              <w:jc w:val="both"/>
              <w:rPr>
                <w:rFonts w:ascii="Arial" w:hAnsi="Arial" w:cs="Arial"/>
              </w:rPr>
            </w:pPr>
          </w:p>
          <w:p w:rsidR="00375882" w:rsidP="007F6692" w:rsidRDefault="00375882" w14:paraId="43EF99F0" w14:textId="59F16C78">
            <w:pPr>
              <w:spacing w:line="360" w:lineRule="auto"/>
              <w:jc w:val="both"/>
              <w:rPr>
                <w:rFonts w:ascii="Arial" w:hAnsi="Arial" w:cs="Arial"/>
              </w:rPr>
            </w:pPr>
          </w:p>
          <w:p w:rsidR="00375882" w:rsidP="007F6692" w:rsidRDefault="00375882" w14:paraId="1DDB2118" w14:textId="7A9165F7">
            <w:pPr>
              <w:spacing w:line="360" w:lineRule="auto"/>
              <w:jc w:val="both"/>
              <w:rPr>
                <w:rFonts w:ascii="Arial" w:hAnsi="Arial" w:cs="Arial"/>
              </w:rPr>
            </w:pPr>
          </w:p>
          <w:p w:rsidR="00375882" w:rsidP="007F6692" w:rsidRDefault="00375882" w14:paraId="3701A32D" w14:textId="54DDC54C">
            <w:pPr>
              <w:spacing w:line="360" w:lineRule="auto"/>
              <w:jc w:val="both"/>
              <w:rPr>
                <w:rFonts w:ascii="Arial" w:hAnsi="Arial" w:cs="Arial"/>
              </w:rPr>
            </w:pPr>
          </w:p>
          <w:p w:rsidR="00375882" w:rsidP="007F6692" w:rsidRDefault="00375882" w14:paraId="5AE6C72E" w14:textId="62740FFE">
            <w:pPr>
              <w:spacing w:line="360" w:lineRule="auto"/>
              <w:jc w:val="both"/>
              <w:rPr>
                <w:rFonts w:ascii="Arial" w:hAnsi="Arial" w:cs="Arial"/>
              </w:rPr>
            </w:pPr>
          </w:p>
          <w:p w:rsidR="00375882" w:rsidP="007F6692" w:rsidRDefault="00375882" w14:paraId="19966CC6" w14:textId="3AD7B82E">
            <w:pPr>
              <w:spacing w:line="360" w:lineRule="auto"/>
              <w:jc w:val="both"/>
              <w:rPr>
                <w:rFonts w:ascii="Arial" w:hAnsi="Arial" w:cs="Arial"/>
              </w:rPr>
            </w:pPr>
          </w:p>
          <w:p w:rsidR="00375882" w:rsidP="007F6692" w:rsidRDefault="00375882" w14:paraId="00C184CC" w14:textId="1B102F8C">
            <w:pPr>
              <w:spacing w:line="360" w:lineRule="auto"/>
              <w:jc w:val="both"/>
              <w:rPr>
                <w:rFonts w:ascii="Arial" w:hAnsi="Arial" w:cs="Arial"/>
              </w:rPr>
            </w:pPr>
          </w:p>
          <w:p w:rsidR="00375882" w:rsidP="007F6692" w:rsidRDefault="00375882" w14:paraId="56FCD27E" w14:textId="3C241FCD">
            <w:pPr>
              <w:spacing w:line="360" w:lineRule="auto"/>
              <w:jc w:val="both"/>
              <w:rPr>
                <w:rFonts w:ascii="Arial" w:hAnsi="Arial" w:cs="Arial"/>
              </w:rPr>
            </w:pPr>
          </w:p>
          <w:p w:rsidR="00375882" w:rsidP="007F6692" w:rsidRDefault="00375882" w14:paraId="50E4CC8B" w14:textId="7487DEDD">
            <w:pPr>
              <w:spacing w:line="360" w:lineRule="auto"/>
              <w:jc w:val="both"/>
              <w:rPr>
                <w:rFonts w:ascii="Arial" w:hAnsi="Arial" w:cs="Arial"/>
              </w:rPr>
            </w:pPr>
          </w:p>
          <w:p w:rsidR="00375882" w:rsidP="007F6692" w:rsidRDefault="00375882" w14:paraId="2E020AEF" w14:textId="77777777">
            <w:pPr>
              <w:spacing w:line="360" w:lineRule="auto"/>
              <w:jc w:val="both"/>
              <w:rPr>
                <w:rFonts w:ascii="Arial" w:hAnsi="Arial" w:cs="Arial"/>
              </w:rPr>
            </w:pPr>
          </w:p>
          <w:p w:rsidRPr="003C3341" w:rsidR="00375882" w:rsidP="007F6692" w:rsidRDefault="00375882" w14:paraId="47FB6995" w14:textId="77777777">
            <w:pPr>
              <w:jc w:val="both"/>
              <w:rPr>
                <w:rFonts w:ascii="Tahoma" w:hAnsi="Tahoma" w:cs="Tahoma"/>
                <w:sz w:val="20"/>
                <w:szCs w:val="20"/>
              </w:rPr>
            </w:pPr>
          </w:p>
        </w:tc>
      </w:tr>
    </w:tbl>
    <w:p w:rsidR="00B00678" w:rsidP="00B945EA" w:rsidRDefault="00B00678" w14:paraId="3A480543" w14:textId="77777777">
      <w:pPr>
        <w:rPr>
          <w:rFonts w:ascii="Tahoma" w:hAnsi="Tahoma" w:cs="Tahoma"/>
          <w:b/>
        </w:rPr>
      </w:pPr>
    </w:p>
    <w:p w:rsidR="00B00678" w:rsidP="00B945EA" w:rsidRDefault="00B00678" w14:paraId="02BE48C6" w14:textId="77777777">
      <w:pPr>
        <w:rPr>
          <w:rFonts w:ascii="Tahoma" w:hAnsi="Tahoma" w:cs="Tahoma"/>
          <w:b/>
        </w:rPr>
      </w:pPr>
    </w:p>
    <w:p w:rsidR="00B00678" w:rsidP="00B945EA" w:rsidRDefault="00B00678" w14:paraId="1D4EFC49" w14:textId="77777777">
      <w:pPr>
        <w:rPr>
          <w:rFonts w:ascii="Tahoma" w:hAnsi="Tahoma" w:cs="Tahoma"/>
          <w:b/>
        </w:rPr>
      </w:pPr>
    </w:p>
    <w:p w:rsidR="00B00678" w:rsidP="00B945EA" w:rsidRDefault="00B00678" w14:paraId="505DC984" w14:textId="77777777">
      <w:pPr>
        <w:rPr>
          <w:rFonts w:ascii="Tahoma" w:hAnsi="Tahoma" w:cs="Tahoma"/>
          <w:b/>
        </w:rPr>
      </w:pPr>
    </w:p>
    <w:p w:rsidR="00B00678" w:rsidP="00B945EA" w:rsidRDefault="00B00678" w14:paraId="1F96E185" w14:textId="77777777">
      <w:pPr>
        <w:rPr>
          <w:rFonts w:ascii="Tahoma" w:hAnsi="Tahoma" w:cs="Tahoma"/>
          <w:b/>
        </w:rPr>
      </w:pPr>
    </w:p>
    <w:p w:rsidR="00B00678" w:rsidP="00B945EA" w:rsidRDefault="00B00678" w14:paraId="5F8D9742" w14:textId="77777777">
      <w:pPr>
        <w:rPr>
          <w:rFonts w:ascii="Tahoma" w:hAnsi="Tahoma" w:cs="Tahoma"/>
          <w:b/>
        </w:rPr>
      </w:pPr>
    </w:p>
    <w:p w:rsidR="00A45D42" w:rsidP="00B945EA" w:rsidRDefault="00A45D42" w14:paraId="25B9E4A6" w14:textId="77777777">
      <w:pPr>
        <w:rPr>
          <w:rFonts w:ascii="Tahoma" w:hAnsi="Tahoma" w:cs="Tahoma"/>
          <w:b/>
        </w:rPr>
      </w:pPr>
    </w:p>
    <w:sectPr w:rsidR="00A45D42" w:rsidSect="00C21568">
      <w:headerReference w:type="default" r:id="rId7"/>
      <w:footerReference w:type="default" r:id="rId8"/>
      <w:pgSz w:w="11906" w:h="16838" w:orient="portrait"/>
      <w:pgMar w:top="360" w:right="357" w:bottom="0" w:left="357"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3594" w:rsidRDefault="00E23594" w14:paraId="191D4DFB" w14:textId="77777777">
      <w:r>
        <w:separator/>
      </w:r>
    </w:p>
  </w:endnote>
  <w:endnote w:type="continuationSeparator" w:id="0">
    <w:p w:rsidR="00E23594" w:rsidRDefault="00E23594" w14:paraId="41C5C2F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016876"/>
      <w:docPartObj>
        <w:docPartGallery w:val="Page Numbers (Bottom of Page)"/>
        <w:docPartUnique/>
      </w:docPartObj>
    </w:sdtPr>
    <w:sdtEndPr>
      <w:rPr>
        <w:noProof/>
      </w:rPr>
    </w:sdtEndPr>
    <w:sdtContent>
      <w:p w:rsidR="00B44B68" w:rsidRDefault="00B44B68" w14:paraId="68738646" w14:textId="623ADE88">
        <w:pPr>
          <w:pStyle w:val="Footer"/>
          <w:jc w:val="right"/>
        </w:pPr>
        <w:r>
          <w:fldChar w:fldCharType="begin"/>
        </w:r>
        <w:r>
          <w:instrText xml:space="preserve"> PAGE   \* MERGEFORMAT </w:instrText>
        </w:r>
        <w:r>
          <w:fldChar w:fldCharType="separate"/>
        </w:r>
        <w:r w:rsidR="00034D91">
          <w:rPr>
            <w:noProof/>
          </w:rPr>
          <w:t>5</w:t>
        </w:r>
        <w:r>
          <w:rPr>
            <w:noProof/>
          </w:rPr>
          <w:fldChar w:fldCharType="end"/>
        </w:r>
      </w:p>
    </w:sdtContent>
  </w:sdt>
  <w:p w:rsidR="00112CE0" w:rsidRDefault="00112CE0" w14:paraId="32F3178D" w14:textId="0C9E4A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3594" w:rsidRDefault="00E23594" w14:paraId="348CE1A6" w14:textId="77777777">
      <w:r>
        <w:separator/>
      </w:r>
    </w:p>
  </w:footnote>
  <w:footnote w:type="continuationSeparator" w:id="0">
    <w:p w:rsidR="00E23594" w:rsidRDefault="00E23594" w14:paraId="33B54848" w14:textId="777777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p w:rsidRPr="001B69C8" w:rsidR="00F34E01" w:rsidP="00112CE0" w:rsidRDefault="00B21F2E" w14:paraId="4BCC4992" w14:textId="5F66779D">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sidR="001B69C8">
      <w:rPr>
        <w:rFonts w:asciiTheme="minorHAnsi" w:hAnsiTheme="minorHAnsi"/>
      </w:rPr>
      <w:t>International Hotel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hint="default" w:ascii="Symbol" w:hAnsi="Symbol"/>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7">
    <w:nsid w:val="26541595"/>
    <w:multiLevelType w:val="hybridMultilevel"/>
    <w:tmpl w:val="50C04A58"/>
    <w:lvl w:ilvl="0" w:tplc="0C090001">
      <w:start w:val="1"/>
      <w:numFmt w:val="bullet"/>
      <w:lvlText w:val=""/>
      <w:lvlJc w:val="left"/>
      <w:pPr>
        <w:ind w:left="720" w:hanging="360"/>
      </w:pPr>
      <w:rPr>
        <w:rFonts w:hint="default" w:ascii="Symbol" w:hAnsi="Symbol"/>
      </w:rPr>
    </w:lvl>
    <w:lvl w:ilvl="1" w:tplc="0C090003" w:tentative="1">
      <w:start w:val="1"/>
      <w:numFmt w:val="bullet"/>
      <w:lvlText w:val="o"/>
      <w:lvlJc w:val="left"/>
      <w:pPr>
        <w:ind w:left="1440" w:hanging="360"/>
      </w:pPr>
      <w:rPr>
        <w:rFonts w:hint="default" w:ascii="Courier New" w:hAnsi="Courier New" w:cs="Courier New"/>
      </w:rPr>
    </w:lvl>
    <w:lvl w:ilvl="2" w:tplc="0C090005" w:tentative="1">
      <w:start w:val="1"/>
      <w:numFmt w:val="bullet"/>
      <w:lvlText w:val=""/>
      <w:lvlJc w:val="left"/>
      <w:pPr>
        <w:ind w:left="2160" w:hanging="360"/>
      </w:pPr>
      <w:rPr>
        <w:rFonts w:hint="default" w:ascii="Wingdings" w:hAnsi="Wingdings"/>
      </w:rPr>
    </w:lvl>
    <w:lvl w:ilvl="3" w:tplc="0C090001" w:tentative="1">
      <w:start w:val="1"/>
      <w:numFmt w:val="bullet"/>
      <w:lvlText w:val=""/>
      <w:lvlJc w:val="left"/>
      <w:pPr>
        <w:ind w:left="2880" w:hanging="360"/>
      </w:pPr>
      <w:rPr>
        <w:rFonts w:hint="default" w:ascii="Symbol" w:hAnsi="Symbol"/>
      </w:rPr>
    </w:lvl>
    <w:lvl w:ilvl="4" w:tplc="0C090003" w:tentative="1">
      <w:start w:val="1"/>
      <w:numFmt w:val="bullet"/>
      <w:lvlText w:val="o"/>
      <w:lvlJc w:val="left"/>
      <w:pPr>
        <w:ind w:left="3600" w:hanging="360"/>
      </w:pPr>
      <w:rPr>
        <w:rFonts w:hint="default" w:ascii="Courier New" w:hAnsi="Courier New" w:cs="Courier New"/>
      </w:rPr>
    </w:lvl>
    <w:lvl w:ilvl="5" w:tplc="0C090005" w:tentative="1">
      <w:start w:val="1"/>
      <w:numFmt w:val="bullet"/>
      <w:lvlText w:val=""/>
      <w:lvlJc w:val="left"/>
      <w:pPr>
        <w:ind w:left="4320" w:hanging="360"/>
      </w:pPr>
      <w:rPr>
        <w:rFonts w:hint="default" w:ascii="Wingdings" w:hAnsi="Wingdings"/>
      </w:rPr>
    </w:lvl>
    <w:lvl w:ilvl="6" w:tplc="0C090001" w:tentative="1">
      <w:start w:val="1"/>
      <w:numFmt w:val="bullet"/>
      <w:lvlText w:val=""/>
      <w:lvlJc w:val="left"/>
      <w:pPr>
        <w:ind w:left="5040" w:hanging="360"/>
      </w:pPr>
      <w:rPr>
        <w:rFonts w:hint="default" w:ascii="Symbol" w:hAnsi="Symbol"/>
      </w:rPr>
    </w:lvl>
    <w:lvl w:ilvl="7" w:tplc="0C090003" w:tentative="1">
      <w:start w:val="1"/>
      <w:numFmt w:val="bullet"/>
      <w:lvlText w:val="o"/>
      <w:lvlJc w:val="left"/>
      <w:pPr>
        <w:ind w:left="5760" w:hanging="360"/>
      </w:pPr>
      <w:rPr>
        <w:rFonts w:hint="default" w:ascii="Courier New" w:hAnsi="Courier New" w:cs="Courier New"/>
      </w:rPr>
    </w:lvl>
    <w:lvl w:ilvl="8" w:tplc="0C090005" w:tentative="1">
      <w:start w:val="1"/>
      <w:numFmt w:val="bullet"/>
      <w:lvlText w:val=""/>
      <w:lvlJc w:val="left"/>
      <w:pPr>
        <w:ind w:left="6480" w:hanging="360"/>
      </w:pPr>
      <w:rPr>
        <w:rFonts w:hint="default" w:ascii="Wingdings" w:hAnsi="Wingdings"/>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nsid w:val="432C43D1"/>
    <w:multiLevelType w:val="hybridMultilevel"/>
    <w:tmpl w:val="BB0A11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nsid w:val="4BF840A0"/>
    <w:multiLevelType w:val="hybridMultilevel"/>
    <w:tmpl w:val="D8AE33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nsid w:val="57860309"/>
    <w:multiLevelType w:val="hybridMultilevel"/>
    <w:tmpl w:val="3EA83C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nsid w:val="5CF57BAD"/>
    <w:multiLevelType w:val="hybridMultilevel"/>
    <w:tmpl w:val="D6260A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nsid w:val="62B86C57"/>
    <w:multiLevelType w:val="hybridMultilevel"/>
    <w:tmpl w:val="072ED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44302F4"/>
    <w:multiLevelType w:val="hybridMultilevel"/>
    <w:tmpl w:val="D752ED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7">
    <w:nsid w:val="7B5C4D81"/>
    <w:multiLevelType w:val="hybridMultilevel"/>
    <w:tmpl w:val="0D3E6AB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304DF"/>
    <w:rsid w:val="00034D91"/>
    <w:rsid w:val="00040CE8"/>
    <w:rsid w:val="0004729E"/>
    <w:rsid w:val="00076F40"/>
    <w:rsid w:val="00077E55"/>
    <w:rsid w:val="00085CFD"/>
    <w:rsid w:val="000A0C53"/>
    <w:rsid w:val="000B2F4F"/>
    <w:rsid w:val="000F2E7C"/>
    <w:rsid w:val="00112CE0"/>
    <w:rsid w:val="00162FE2"/>
    <w:rsid w:val="001703BD"/>
    <w:rsid w:val="00170A87"/>
    <w:rsid w:val="0018449A"/>
    <w:rsid w:val="001A43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1577"/>
    <w:rsid w:val="00566333"/>
    <w:rsid w:val="005C6352"/>
    <w:rsid w:val="005D0DDE"/>
    <w:rsid w:val="005D5D0B"/>
    <w:rsid w:val="0062012D"/>
    <w:rsid w:val="00643CB9"/>
    <w:rsid w:val="006532D8"/>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B498A"/>
    <w:rsid w:val="00AC67EF"/>
    <w:rsid w:val="00AD310F"/>
    <w:rsid w:val="00AE467F"/>
    <w:rsid w:val="00AE799D"/>
    <w:rsid w:val="00B00678"/>
    <w:rsid w:val="00B03469"/>
    <w:rsid w:val="00B10EAB"/>
    <w:rsid w:val="00B11E4B"/>
    <w:rsid w:val="00B21F2E"/>
    <w:rsid w:val="00B44B68"/>
    <w:rsid w:val="00B60FDF"/>
    <w:rsid w:val="00B61256"/>
    <w:rsid w:val="00B73A1C"/>
    <w:rsid w:val="00B94261"/>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3594"/>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 w:val="11AF9BB5"/>
    <w:rsid w:val="795AB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478CE"/>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styleId="FooterChar" w:customStyle="1">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56082758">
      <w:bodyDiv w:val="1"/>
      <w:marLeft w:val="0"/>
      <w:marRight w:val="0"/>
      <w:marTop w:val="0"/>
      <w:marBottom w:val="0"/>
      <w:divBdr>
        <w:top w:val="none" w:sz="0" w:space="0" w:color="auto"/>
        <w:left w:val="none" w:sz="0" w:space="0" w:color="auto"/>
        <w:bottom w:val="none" w:sz="0" w:space="0" w:color="auto"/>
        <w:right w:val="none" w:sz="0" w:space="0" w:color="auto"/>
      </w:divBdr>
      <w:divsChild>
        <w:div w:id="1554603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523a7ff18c8a4170"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5e6352d-4840-4074-8135-a6d03a71f5f3}"/>
      </w:docPartPr>
      <w:docPartBody>
        <w:p w14:paraId="11AF9BB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Marriott International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West Cluster Probationary Period Development Plan</dc:title>
  <dc:creator>lrbal454</dc:creator>
  <lastModifiedBy>Aslam Kazi (2016967)</lastModifiedBy>
  <revision>6</revision>
  <lastPrinted>2020-09-28T20:53:00.0000000Z</lastPrinted>
  <dcterms:created xsi:type="dcterms:W3CDTF">2021-09-29T15:13:00.0000000Z</dcterms:created>
  <dcterms:modified xsi:type="dcterms:W3CDTF">2021-10-17T17:04:33.0282003Z</dcterms:modified>
</coreProperties>
</file>