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28DAE" w14:textId="77777777" w:rsidR="007C645F" w:rsidRDefault="007C645F">
      <w:pPr>
        <w:pStyle w:val="Body"/>
        <w:spacing w:before="120" w:after="120"/>
        <w:jc w:val="center"/>
        <w:rPr>
          <w:rFonts w:ascii="Cambria" w:eastAsia="Cambria" w:hAnsi="Cambria" w:cs="Cambria"/>
          <w:sz w:val="28"/>
          <w:szCs w:val="28"/>
          <w:u w:val="single" w:color="000000"/>
        </w:rPr>
      </w:pPr>
      <w:r>
        <w:rPr>
          <w:rFonts w:ascii="Cambria" w:eastAsia="Cambria" w:hAnsi="Cambria" w:cs="Cambria"/>
          <w:sz w:val="28"/>
          <w:szCs w:val="28"/>
          <w:u w:val="single" w:color="000000"/>
        </w:rPr>
        <w:t>Design, conduct and critically evaluate a close-to-practice research project (lesson study) focusing on the model of the transformative teacher in developing practice that has a positive impact on the learner.</w:t>
      </w:r>
    </w:p>
    <w:p w14:paraId="0950A2ED" w14:textId="7E79AEEE" w:rsidR="007C645F" w:rsidRDefault="007C645F">
      <w:pPr>
        <w:pStyle w:val="Body"/>
        <w:spacing w:before="120" w:after="120"/>
        <w:jc w:val="center"/>
        <w:rPr>
          <w:rFonts w:ascii="Cambria" w:eastAsia="Cambria" w:hAnsi="Cambria" w:cs="Cambria"/>
          <w:sz w:val="28"/>
          <w:szCs w:val="28"/>
          <w:u w:val="single" w:color="000000"/>
        </w:rPr>
      </w:pPr>
      <w:r>
        <w:rPr>
          <w:rFonts w:ascii="Cambria" w:eastAsia="Cambria" w:hAnsi="Cambria" w:cs="Cambria"/>
          <w:sz w:val="28"/>
          <w:szCs w:val="28"/>
          <w:u w:val="single" w:color="000000"/>
        </w:rPr>
        <w:t>Word Count:</w:t>
      </w:r>
      <w:r>
        <w:rPr>
          <w:rFonts w:ascii="Cambria" w:eastAsia="Cambria" w:hAnsi="Cambria" w:cs="Cambria"/>
          <w:b/>
          <w:bCs/>
          <w:sz w:val="28"/>
          <w:szCs w:val="28"/>
          <w:u w:val="single" w:color="000000"/>
        </w:rPr>
        <w:t xml:space="preserve"> </w:t>
      </w:r>
      <w:r w:rsidR="00A8221B" w:rsidRPr="00862EB4">
        <w:rPr>
          <w:rFonts w:ascii="Cambria" w:eastAsia="Cambria" w:hAnsi="Cambria" w:cs="Cambria"/>
          <w:b/>
          <w:bCs/>
          <w:sz w:val="28"/>
          <w:szCs w:val="28"/>
          <w:u w:val="single" w:color="000000"/>
        </w:rPr>
        <w:t>5</w:t>
      </w:r>
      <w:r w:rsidR="00F8124B">
        <w:rPr>
          <w:rFonts w:ascii="Cambria" w:eastAsia="Cambria" w:hAnsi="Cambria" w:cs="Cambria"/>
          <w:b/>
          <w:bCs/>
          <w:sz w:val="28"/>
          <w:szCs w:val="28"/>
          <w:u w:val="single" w:color="000000"/>
        </w:rPr>
        <w:t>227</w:t>
      </w:r>
      <w:bookmarkStart w:id="0" w:name="_GoBack"/>
      <w:bookmarkEnd w:id="0"/>
    </w:p>
    <w:p w14:paraId="672A6659" w14:textId="77777777" w:rsidR="007C645F" w:rsidRDefault="007C645F">
      <w:pPr>
        <w:pStyle w:val="Body"/>
        <w:spacing w:before="120" w:after="120"/>
        <w:jc w:val="center"/>
        <w:rPr>
          <w:rFonts w:ascii="Cambria" w:eastAsia="Cambria" w:hAnsi="Cambria" w:cs="Cambria"/>
          <w:sz w:val="28"/>
          <w:szCs w:val="28"/>
          <w:u w:val="single" w:color="000000"/>
        </w:rPr>
      </w:pPr>
    </w:p>
    <w:p w14:paraId="3E7A9F1C" w14:textId="77777777" w:rsidR="00DA20E0" w:rsidRPr="00A8221B" w:rsidRDefault="00DA20E0" w:rsidP="00DA20E0">
      <w:pPr>
        <w:pStyle w:val="Body"/>
        <w:spacing w:before="120" w:after="120"/>
        <w:rPr>
          <w:rFonts w:ascii="Cambria" w:eastAsia="Cambria" w:hAnsi="Cambria" w:cs="Cambria"/>
          <w:b/>
          <w:bCs/>
          <w:sz w:val="28"/>
          <w:szCs w:val="28"/>
          <w:u w:val="single" w:color="000000"/>
        </w:rPr>
      </w:pPr>
      <w:r w:rsidRPr="00A8221B">
        <w:rPr>
          <w:rFonts w:ascii="Cambria" w:eastAsia="Cambria" w:hAnsi="Cambria" w:cs="Cambria"/>
          <w:b/>
          <w:bCs/>
          <w:sz w:val="28"/>
          <w:szCs w:val="28"/>
          <w:u w:val="single" w:color="000000"/>
        </w:rPr>
        <w:t>Introduction</w:t>
      </w:r>
    </w:p>
    <w:p w14:paraId="5C22616D" w14:textId="556399C6"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I chose to conduct my research into the differences between structured and non-structured tasks, and what effect these differences may have on the level of pupils’ participation and engagement, with a specific focus on pupils of lower confidence during group tasks. This issue was of interest to me as I had been teaching a Year </w:t>
      </w:r>
      <w:r w:rsidR="003365D0">
        <w:rPr>
          <w:rFonts w:ascii="Cambria" w:eastAsia="Cambria" w:hAnsi="Cambria" w:cs="Cambria"/>
          <w:sz w:val="28"/>
          <w:szCs w:val="28"/>
        </w:rPr>
        <w:t>10</w:t>
      </w:r>
      <w:r w:rsidRPr="5F2C3330">
        <w:rPr>
          <w:rFonts w:ascii="Cambria" w:eastAsia="Cambria" w:hAnsi="Cambria" w:cs="Cambria"/>
          <w:sz w:val="28"/>
          <w:szCs w:val="28"/>
        </w:rPr>
        <w:t xml:space="preserve"> Drama class – a very collaborative subject in which pupils often work in groups or pairs. Throughout the course, it became evident to me that pupils of lower confidence would often avoid taking part and instead allow other pupils take the lead. This led me to question if this was something that could be researched in order to engage pupils of lower confidence and enable them to feel comfortable taking part in group or pair tasks. Despite this idea arising from my Year 10 Drama class, I carried out my research in a much smaller Year 11 Drama class due to circumstances beyond my control.</w:t>
      </w:r>
    </w:p>
    <w:p w14:paraId="6D4E2D38" w14:textId="7BBC0F6E" w:rsidR="007C645F" w:rsidRDefault="007C645F">
      <w:pPr>
        <w:pStyle w:val="Body"/>
        <w:spacing w:before="120" w:after="120"/>
        <w:rPr>
          <w:rFonts w:ascii="Cambria" w:eastAsia="Cambria" w:hAnsi="Cambria" w:cs="Cambria"/>
          <w:color w:val="FF2C21"/>
          <w:sz w:val="28"/>
          <w:szCs w:val="28"/>
          <w:u w:color="000000"/>
        </w:rPr>
      </w:pPr>
    </w:p>
    <w:p w14:paraId="5DECFE5C" w14:textId="77777777" w:rsidR="007C645F" w:rsidRPr="00862EB4" w:rsidRDefault="5F2C3330">
      <w:pPr>
        <w:pStyle w:val="Body"/>
        <w:spacing w:before="120" w:after="120"/>
        <w:rPr>
          <w:rFonts w:ascii="Cambria" w:eastAsia="Cambria" w:hAnsi="Cambria" w:cs="Cambria"/>
          <w:b/>
          <w:bCs/>
          <w:sz w:val="28"/>
          <w:szCs w:val="28"/>
          <w:u w:val="single"/>
        </w:rPr>
      </w:pPr>
      <w:r w:rsidRPr="5F2C3330">
        <w:rPr>
          <w:rFonts w:ascii="Cambria" w:eastAsia="Cambria" w:hAnsi="Cambria" w:cs="Cambria"/>
          <w:b/>
          <w:bCs/>
          <w:sz w:val="28"/>
          <w:szCs w:val="28"/>
          <w:u w:val="single"/>
        </w:rPr>
        <w:t>Context</w:t>
      </w:r>
    </w:p>
    <w:p w14:paraId="3AC64C19" w14:textId="0407039D"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The focus class for Lesson Study 1 would be taught by my partner and observed by myself; this was a Year 7 mixed ability French class. The focus class for the Lesson Study 2 would be taught by myself; this was a Year 11 GCSE Drama class consisting of eleven pupils of mixed ability. Immediately it was evident to us that our classes would be contrasting in many ways, with differences in age, skill level and subject familiarity. Despite these differences, we believed this would make an interesting research project as we could go forward and compare different variables. Our research question was as follows:</w:t>
      </w:r>
    </w:p>
    <w:p w14:paraId="51C62B07" w14:textId="3FD6A26A" w:rsidR="007C645F" w:rsidRDefault="5F2C3330" w:rsidP="5F2C3330">
      <w:pPr>
        <w:pStyle w:val="Body"/>
        <w:spacing w:before="120" w:after="120"/>
        <w:ind w:left="720"/>
        <w:rPr>
          <w:rFonts w:ascii="Cambria" w:eastAsia="Cambria" w:hAnsi="Cambria" w:cs="Cambria"/>
          <w:sz w:val="28"/>
          <w:szCs w:val="28"/>
        </w:rPr>
      </w:pPr>
      <w:r w:rsidRPr="5F2C3330">
        <w:rPr>
          <w:rFonts w:ascii="Cambria" w:eastAsia="Cambria" w:hAnsi="Cambria" w:cs="Cambria"/>
          <w:sz w:val="28"/>
          <w:szCs w:val="28"/>
        </w:rPr>
        <w:t>Does structured group/pair work encourage greater participation from less confident pupils?</w:t>
      </w:r>
    </w:p>
    <w:p w14:paraId="2BB1A025" w14:textId="51959183"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For each class this meant conducting a normal lesson with group or pair tasks that contrast in structure.</w:t>
      </w:r>
    </w:p>
    <w:p w14:paraId="08589859" w14:textId="794E7BE6" w:rsidR="007C645F" w:rsidRDefault="007C645F">
      <w:pPr>
        <w:pStyle w:val="Body"/>
        <w:spacing w:before="120" w:after="120"/>
        <w:rPr>
          <w:rFonts w:ascii="Cambria" w:eastAsia="Cambria" w:hAnsi="Cambria" w:cs="Cambria"/>
          <w:color w:val="FF2C21"/>
          <w:sz w:val="28"/>
          <w:szCs w:val="28"/>
          <w:u w:color="000000"/>
        </w:rPr>
      </w:pPr>
    </w:p>
    <w:p w14:paraId="6B94F133" w14:textId="77777777" w:rsidR="00DA20E0" w:rsidRPr="00862EB4" w:rsidRDefault="00DA20E0">
      <w:pPr>
        <w:pStyle w:val="Body"/>
        <w:spacing w:before="120" w:after="120"/>
        <w:rPr>
          <w:rFonts w:ascii="Cambria" w:eastAsia="Cambria" w:hAnsi="Cambria" w:cs="Cambria"/>
          <w:b/>
          <w:bCs/>
          <w:sz w:val="28"/>
          <w:szCs w:val="28"/>
          <w:u w:val="single" w:color="000000"/>
        </w:rPr>
      </w:pPr>
      <w:r w:rsidRPr="00862EB4">
        <w:rPr>
          <w:rFonts w:ascii="Cambria" w:eastAsia="Cambria" w:hAnsi="Cambria" w:cs="Cambria"/>
          <w:b/>
          <w:bCs/>
          <w:sz w:val="28"/>
          <w:szCs w:val="28"/>
          <w:u w:val="single" w:color="000000"/>
        </w:rPr>
        <w:t>Engaging in Literature</w:t>
      </w:r>
    </w:p>
    <w:p w14:paraId="07E8A079" w14:textId="77777777" w:rsidR="003365D0" w:rsidRDefault="5F2C3330" w:rsidP="003365D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 I looked further into this research question by identifying literature on group dynamics in learning environments. A key text in this subject is Tuckman (1965), which discusses group development; this was of interest to me as I wanted to know how group structure impacted learning – be that through a structured task or through pre-planned groups. The theory of group </w:t>
      </w:r>
      <w:r w:rsidRPr="5F2C3330">
        <w:rPr>
          <w:rFonts w:ascii="Cambria" w:eastAsia="Cambria" w:hAnsi="Cambria" w:cs="Cambria"/>
          <w:sz w:val="28"/>
          <w:szCs w:val="28"/>
        </w:rPr>
        <w:lastRenderedPageBreak/>
        <w:t>development was founded by Tuckman, and suggests that for groups to be successful in their tasks, they need to process through five stages of group development:</w:t>
      </w:r>
      <w:r w:rsidR="003365D0">
        <w:rPr>
          <w:rFonts w:ascii="Cambria" w:eastAsia="Cambria" w:hAnsi="Cambria" w:cs="Cambria"/>
          <w:sz w:val="28"/>
          <w:szCs w:val="28"/>
        </w:rPr>
        <w:t xml:space="preserve"> </w:t>
      </w:r>
    </w:p>
    <w:p w14:paraId="4ACCF1D1" w14:textId="728F8B87" w:rsidR="003365D0" w:rsidRPr="003365D0" w:rsidRDefault="003365D0" w:rsidP="003365D0">
      <w:pPr>
        <w:pStyle w:val="Body"/>
        <w:numPr>
          <w:ilvl w:val="0"/>
          <w:numId w:val="1"/>
        </w:numPr>
        <w:spacing w:before="120" w:after="120"/>
        <w:rPr>
          <w:rFonts w:ascii="Cambria" w:eastAsia="Cambria" w:hAnsi="Cambria" w:cs="Cambria"/>
          <w:sz w:val="28"/>
          <w:szCs w:val="28"/>
        </w:rPr>
      </w:pPr>
      <w:r w:rsidRPr="003365D0">
        <w:rPr>
          <w:rFonts w:ascii="Cambria" w:eastAsia="Cambria" w:hAnsi="Cambria" w:cs="Cambria"/>
          <w:sz w:val="28"/>
          <w:szCs w:val="28"/>
        </w:rPr>
        <w:t>Forming Stage</w:t>
      </w:r>
    </w:p>
    <w:p w14:paraId="3365BCAA" w14:textId="2290729B" w:rsidR="003365D0" w:rsidRPr="003365D0" w:rsidRDefault="003365D0" w:rsidP="003365D0">
      <w:pPr>
        <w:pStyle w:val="Body"/>
        <w:numPr>
          <w:ilvl w:val="0"/>
          <w:numId w:val="1"/>
        </w:numPr>
        <w:spacing w:before="120" w:after="120"/>
        <w:rPr>
          <w:rFonts w:ascii="Cambria" w:eastAsia="Cambria" w:hAnsi="Cambria" w:cs="Cambria"/>
          <w:sz w:val="28"/>
          <w:szCs w:val="28"/>
        </w:rPr>
      </w:pPr>
      <w:r w:rsidRPr="003365D0">
        <w:rPr>
          <w:rFonts w:ascii="Cambria" w:eastAsia="Cambria" w:hAnsi="Cambria" w:cs="Cambria"/>
          <w:sz w:val="28"/>
          <w:szCs w:val="28"/>
        </w:rPr>
        <w:t>Storming Stage</w:t>
      </w:r>
    </w:p>
    <w:p w14:paraId="61038226" w14:textId="6F120D2D" w:rsidR="003365D0" w:rsidRPr="003365D0" w:rsidRDefault="003365D0" w:rsidP="003365D0">
      <w:pPr>
        <w:pStyle w:val="Body"/>
        <w:numPr>
          <w:ilvl w:val="0"/>
          <w:numId w:val="1"/>
        </w:numPr>
        <w:spacing w:before="120" w:after="120"/>
        <w:rPr>
          <w:rFonts w:ascii="Cambria" w:eastAsia="Cambria" w:hAnsi="Cambria" w:cs="Cambria"/>
          <w:color w:val="auto"/>
          <w:sz w:val="28"/>
          <w:szCs w:val="28"/>
        </w:rPr>
      </w:pPr>
      <w:r w:rsidRPr="003365D0">
        <w:rPr>
          <w:rFonts w:ascii="Cambria" w:eastAsia="Cambria" w:hAnsi="Cambria" w:cs="Cambria"/>
          <w:color w:val="auto"/>
          <w:sz w:val="28"/>
          <w:szCs w:val="28"/>
        </w:rPr>
        <w:t xml:space="preserve">Norming Stage </w:t>
      </w:r>
    </w:p>
    <w:p w14:paraId="5EA4D514" w14:textId="22CEB568" w:rsidR="003365D0" w:rsidRPr="003365D0" w:rsidRDefault="003365D0" w:rsidP="003365D0">
      <w:pPr>
        <w:pStyle w:val="Body"/>
        <w:numPr>
          <w:ilvl w:val="0"/>
          <w:numId w:val="1"/>
        </w:numPr>
        <w:spacing w:before="120" w:after="120"/>
        <w:rPr>
          <w:rFonts w:ascii="Cambria" w:eastAsia="Cambria" w:hAnsi="Cambria" w:cs="Cambria"/>
          <w:color w:val="auto"/>
          <w:sz w:val="28"/>
          <w:szCs w:val="28"/>
        </w:rPr>
      </w:pPr>
      <w:r w:rsidRPr="003365D0">
        <w:rPr>
          <w:rFonts w:ascii="Cambria" w:eastAsia="Cambria" w:hAnsi="Cambria" w:cs="Cambria"/>
          <w:color w:val="auto"/>
          <w:sz w:val="28"/>
          <w:szCs w:val="28"/>
        </w:rPr>
        <w:t>Performing Stage</w:t>
      </w:r>
    </w:p>
    <w:p w14:paraId="09FF1C18" w14:textId="5E74E0D2" w:rsidR="003365D0" w:rsidRPr="003365D0" w:rsidRDefault="003365D0" w:rsidP="003365D0">
      <w:pPr>
        <w:pStyle w:val="Body"/>
        <w:numPr>
          <w:ilvl w:val="0"/>
          <w:numId w:val="1"/>
        </w:numPr>
        <w:spacing w:before="120" w:after="120"/>
        <w:rPr>
          <w:rFonts w:ascii="Cambria" w:eastAsia="Cambria" w:hAnsi="Cambria" w:cs="Cambria"/>
          <w:color w:val="auto"/>
          <w:sz w:val="28"/>
          <w:szCs w:val="28"/>
        </w:rPr>
      </w:pPr>
      <w:r w:rsidRPr="003365D0">
        <w:rPr>
          <w:rFonts w:ascii="Cambria" w:eastAsia="Cambria" w:hAnsi="Cambria" w:cs="Cambria"/>
          <w:color w:val="auto"/>
          <w:sz w:val="28"/>
          <w:szCs w:val="28"/>
        </w:rPr>
        <w:t>Adjourning Stage</w:t>
      </w:r>
    </w:p>
    <w:p w14:paraId="33EA19FE" w14:textId="12850B49" w:rsidR="007C645F" w:rsidRDefault="5F2C3330" w:rsidP="5F2C3330">
      <w:pPr>
        <w:pStyle w:val="Body"/>
        <w:spacing w:before="120" w:after="120"/>
        <w:rPr>
          <w:rFonts w:ascii="Cambria" w:eastAsia="Cambria" w:hAnsi="Cambria" w:cs="Cambria"/>
          <w:color w:val="FF0000"/>
          <w:sz w:val="28"/>
          <w:szCs w:val="28"/>
        </w:rPr>
      </w:pPr>
      <w:r w:rsidRPr="5F2C3330">
        <w:rPr>
          <w:rFonts w:ascii="Cambria" w:eastAsia="Cambria" w:hAnsi="Cambria" w:cs="Cambria"/>
          <w:sz w:val="28"/>
          <w:szCs w:val="28"/>
        </w:rPr>
        <w:t xml:space="preserve"> After reading this article I questioned whether a group could go through all five stages in a single lesson; if so, this could suggest that groups should be formed and kept in place for more than one lesson, and perhaps even further for the duration of a project. However, this theory could be unreliable as the context of the study was largely based on a group therapy session</w:t>
      </w:r>
      <w:r w:rsidR="003365D0">
        <w:rPr>
          <w:rFonts w:ascii="Cambria" w:eastAsia="Cambria" w:hAnsi="Cambria" w:cs="Cambria"/>
          <w:sz w:val="28"/>
          <w:szCs w:val="28"/>
        </w:rPr>
        <w:t xml:space="preserve">, making it a different context </w:t>
      </w:r>
      <w:r w:rsidR="00C570BE">
        <w:rPr>
          <w:rFonts w:ascii="Cambria" w:eastAsia="Cambria" w:hAnsi="Cambria" w:cs="Cambria"/>
          <w:sz w:val="28"/>
          <w:szCs w:val="28"/>
        </w:rPr>
        <w:t>to a Lesson Study based in a learning environment.</w:t>
      </w:r>
    </w:p>
    <w:p w14:paraId="41F2E590" w14:textId="681B054F"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While Tuckman (1965) focuses on the dynamic of the group, </w:t>
      </w:r>
      <w:proofErr w:type="spellStart"/>
      <w:r w:rsidRPr="5F2C3330">
        <w:rPr>
          <w:rFonts w:ascii="Cambria" w:eastAsia="Cambria" w:hAnsi="Cambria" w:cs="Cambria"/>
          <w:sz w:val="28"/>
          <w:szCs w:val="28"/>
        </w:rPr>
        <w:t>Westergaard</w:t>
      </w:r>
      <w:proofErr w:type="spellEnd"/>
      <w:r w:rsidRPr="5F2C3330">
        <w:rPr>
          <w:rFonts w:ascii="Cambria" w:eastAsia="Cambria" w:hAnsi="Cambria" w:cs="Cambria"/>
          <w:sz w:val="28"/>
          <w:szCs w:val="28"/>
        </w:rPr>
        <w:t xml:space="preserve"> (2009) puts more focus on how the facilitator or teacher of a group influences how the group works. She implies that more effective group work happens when those within the group are given expectations and know what is required of them within their group setting (2009), thus putting more emphasis on the role that the teacher plays in successful group work. Burton (2006) seems to agree with </w:t>
      </w:r>
      <w:proofErr w:type="spellStart"/>
      <w:r w:rsidRPr="5F2C3330">
        <w:rPr>
          <w:rFonts w:ascii="Cambria" w:eastAsia="Cambria" w:hAnsi="Cambria" w:cs="Cambria"/>
          <w:sz w:val="28"/>
          <w:szCs w:val="28"/>
        </w:rPr>
        <w:t>Westergaard</w:t>
      </w:r>
      <w:proofErr w:type="spellEnd"/>
      <w:r w:rsidRPr="5F2C3330">
        <w:rPr>
          <w:rFonts w:ascii="Cambria" w:eastAsia="Cambria" w:hAnsi="Cambria" w:cs="Cambria"/>
          <w:sz w:val="28"/>
          <w:szCs w:val="28"/>
        </w:rPr>
        <w:t xml:space="preserve"> (2009), as she implies that the success of group work is down to the skill set of the facilitator and the content of the group task. Both sources put more emphasis on the teacher and suggest that if the teacher gives groups unstructured work, the real outcomes may be less successful for the desired outcomes. Another work that Burton (2006) seems to share views with is that of Healy (2018), which also suggests that pupils will respond better to a task if expectations and roles within a group are outlined to them before part taking in group work.</w:t>
      </w:r>
    </w:p>
    <w:p w14:paraId="2157579F" w14:textId="1F1B5229"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Healy (2018) implies that students who seem less confident when working with peers could be disadvantaged from being made to participate in group work, stating that they should not be forced to trust their peers. Despite this, Healy (2018) does reiterate the importance of team-work skills within the working world – a sentiment </w:t>
      </w:r>
      <w:proofErr w:type="gramStart"/>
      <w:r w:rsidRPr="5F2C3330">
        <w:rPr>
          <w:rFonts w:ascii="Cambria" w:eastAsia="Cambria" w:hAnsi="Cambria" w:cs="Cambria"/>
          <w:sz w:val="28"/>
          <w:szCs w:val="28"/>
        </w:rPr>
        <w:t>that</w:t>
      </w:r>
      <w:r w:rsidR="00F8124B">
        <w:rPr>
          <w:rFonts w:ascii="Cambria" w:eastAsia="Cambria" w:hAnsi="Cambria" w:cs="Cambria"/>
          <w:sz w:val="28"/>
          <w:szCs w:val="28"/>
        </w:rPr>
        <w:t xml:space="preserve"> </w:t>
      </w:r>
      <w:r w:rsidRPr="5F2C3330">
        <w:rPr>
          <w:rFonts w:ascii="Cambria" w:eastAsia="Cambria" w:hAnsi="Cambria" w:cs="Cambria"/>
          <w:sz w:val="28"/>
          <w:szCs w:val="28"/>
        </w:rPr>
        <w:t xml:space="preserve"> </w:t>
      </w:r>
      <w:r w:rsidR="00F8124B">
        <w:rPr>
          <w:rFonts w:ascii="Cambria" w:eastAsia="Cambria" w:hAnsi="Cambria" w:cs="Cambria"/>
          <w:sz w:val="28"/>
          <w:szCs w:val="28"/>
        </w:rPr>
        <w:t>(</w:t>
      </w:r>
      <w:proofErr w:type="gramEnd"/>
      <w:r w:rsidRPr="5F2C3330">
        <w:rPr>
          <w:rFonts w:ascii="Cambria" w:eastAsia="Cambria" w:hAnsi="Cambria" w:cs="Cambria"/>
          <w:sz w:val="28"/>
          <w:szCs w:val="28"/>
        </w:rPr>
        <w:t xml:space="preserve">Donaldson </w:t>
      </w:r>
      <w:r w:rsidR="00F8124B" w:rsidRPr="00F8124B">
        <w:rPr>
          <w:rFonts w:ascii="Cambria" w:eastAsia="Cambria" w:hAnsi="Cambria" w:cs="Cambria"/>
          <w:color w:val="000000" w:themeColor="text1"/>
          <w:sz w:val="28"/>
          <w:szCs w:val="28"/>
        </w:rPr>
        <w:t xml:space="preserve">2015) </w:t>
      </w:r>
      <w:r w:rsidRPr="00F8124B">
        <w:rPr>
          <w:rFonts w:ascii="Cambria" w:eastAsia="Cambria" w:hAnsi="Cambria" w:cs="Cambria"/>
          <w:color w:val="000000" w:themeColor="text1"/>
          <w:sz w:val="28"/>
          <w:szCs w:val="28"/>
        </w:rPr>
        <w:t xml:space="preserve">agrees </w:t>
      </w:r>
      <w:r w:rsidRPr="5F2C3330">
        <w:rPr>
          <w:rFonts w:ascii="Cambria" w:eastAsia="Cambria" w:hAnsi="Cambria" w:cs="Cambria"/>
          <w:sz w:val="28"/>
          <w:szCs w:val="28"/>
        </w:rPr>
        <w:t>with. Therefore, Healy (2018) suggests, we should teach pupils teamwork skills before expecting them to work within groups; I found this interesting as I previously assumed group work came naturally to pupils. Developing these essential teamwork skills with less confident pupils could henceforth prove to be beneficial not only for themselves, but also for their peers.</w:t>
      </w:r>
    </w:p>
    <w:p w14:paraId="357D0BDB" w14:textId="3D18A678"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While researchers such as Burton (2006) and </w:t>
      </w:r>
      <w:proofErr w:type="spellStart"/>
      <w:r w:rsidRPr="5F2C3330">
        <w:rPr>
          <w:rFonts w:ascii="Cambria" w:eastAsia="Cambria" w:hAnsi="Cambria" w:cs="Cambria"/>
          <w:sz w:val="28"/>
          <w:szCs w:val="28"/>
        </w:rPr>
        <w:t>Westergaard</w:t>
      </w:r>
      <w:proofErr w:type="spellEnd"/>
      <w:r w:rsidRPr="5F2C3330">
        <w:rPr>
          <w:rFonts w:ascii="Cambria" w:eastAsia="Cambria" w:hAnsi="Cambria" w:cs="Cambria"/>
          <w:sz w:val="28"/>
          <w:szCs w:val="28"/>
        </w:rPr>
        <w:t xml:space="preserve"> (2009) suggest that it is not the structure of the task that leads to the success (or lack of) of the task, Jimmy Richards (2016) implies that the correlation between task success and </w:t>
      </w:r>
      <w:r w:rsidRPr="5F2C3330">
        <w:rPr>
          <w:rFonts w:ascii="Cambria" w:eastAsia="Cambria" w:hAnsi="Cambria" w:cs="Cambria"/>
          <w:sz w:val="28"/>
          <w:szCs w:val="28"/>
        </w:rPr>
        <w:lastRenderedPageBreak/>
        <w:t>structure will change in every instance depending on a variety of factors, including group size and age. This would suggest that our research results may be unreliable as we will be observing two different classes in different contexts.</w:t>
      </w:r>
    </w:p>
    <w:p w14:paraId="0B49D5EB" w14:textId="6E5BF920"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Lyons (2012) states that less confident pupils would benefit from being introduced to more group work during their transition</w:t>
      </w:r>
      <w:r w:rsidRPr="00C570BE">
        <w:rPr>
          <w:rFonts w:ascii="Cambria" w:eastAsia="Cambria" w:hAnsi="Cambria" w:cs="Cambria"/>
          <w:color w:val="000000" w:themeColor="text1"/>
          <w:sz w:val="28"/>
          <w:szCs w:val="28"/>
        </w:rPr>
        <w:t xml:space="preserve"> from </w:t>
      </w:r>
      <w:r w:rsidRPr="5F2C3330">
        <w:rPr>
          <w:rFonts w:ascii="Cambria" w:eastAsia="Cambria" w:hAnsi="Cambria" w:cs="Cambria"/>
          <w:sz w:val="28"/>
          <w:szCs w:val="28"/>
        </w:rPr>
        <w:t>primary school. This suggests that pupils who are less confident participating in group work have not been sufficiently exposed to it throughout their education experience. In this case, the structure of the group task would be less relevant, whilst consistently being involved in group tasks would be more relevant for less confident pupils.</w:t>
      </w:r>
    </w:p>
    <w:p w14:paraId="4782556A" w14:textId="1C464B0C"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Despite these limitations, it could be argued that giving pupils structure within their group tasks could stretch them further individually; Liu (2018) highlights the importance of learners being more independent and being able to successfully apply the relevant skills needed for a task. This could mean assigning different roles to pupils within a group that fits their personality and individual needs in order to progress their teamwork skills and further their confidence. Liu (2018) also suggests that unstructured tasks are more challenging for pupils as they must use their existing knowledge to assign roles and work out the most efficient way to complete a task, however this may also be a way to stretch more able and talented pupils. Supporting the ideas put forward by Lyons (2012), Liu (2018) also believes that teachers need to create more opportunities for pupils to work independently and take control of their own learning – but something that could work well in Wales’ new curriculum reform. </w:t>
      </w:r>
    </w:p>
    <w:p w14:paraId="3472C40C" w14:textId="0AA9510F"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Despite many previous readings suggesting the importance of making pupils familiar with group or pair work, during research carried out by Kubota (2019), it was found that on average, pupils who took part in group work throughout school were those more likely to attain lower grades. These findings contrast the ideas previously discussed and suggest that group work has a negative effect on pupils’ academic studies. Kubota (2019) also implies that the effectiveness of group work in classrooms cannot be accurately measured as there are so many different factors that can make this test unfair, many of which cannot always be measured, such as the extent and content of teachers’ input, the subject itself or even the time of day. These are just some of the things that may make it hard to measure an outcome.</w:t>
      </w:r>
    </w:p>
    <w:p w14:paraId="0A37501D" w14:textId="77777777" w:rsidR="007C645F" w:rsidRDefault="007C645F">
      <w:pPr>
        <w:pStyle w:val="Body"/>
        <w:spacing w:before="120" w:after="120"/>
        <w:rPr>
          <w:rFonts w:ascii="Cambria" w:eastAsia="Cambria" w:hAnsi="Cambria" w:cs="Cambria"/>
          <w:color w:val="165778"/>
          <w:sz w:val="28"/>
          <w:szCs w:val="28"/>
          <w:u w:color="000000"/>
        </w:rPr>
      </w:pPr>
    </w:p>
    <w:p w14:paraId="52CDFA90" w14:textId="77777777" w:rsidR="00DA20E0" w:rsidRDefault="00DA20E0">
      <w:pPr>
        <w:pStyle w:val="Body"/>
        <w:spacing w:before="120" w:after="120"/>
        <w:rPr>
          <w:rFonts w:ascii="Cambria" w:eastAsia="Cambria" w:hAnsi="Cambria" w:cs="Cambria"/>
          <w:b/>
          <w:bCs/>
          <w:sz w:val="28"/>
          <w:szCs w:val="28"/>
          <w:u w:val="single" w:color="000000"/>
        </w:rPr>
      </w:pPr>
      <w:r>
        <w:rPr>
          <w:rFonts w:ascii="Cambria" w:eastAsia="Cambria" w:hAnsi="Cambria" w:cs="Cambria"/>
          <w:b/>
          <w:bCs/>
          <w:sz w:val="28"/>
          <w:szCs w:val="28"/>
          <w:u w:val="single" w:color="000000"/>
        </w:rPr>
        <w:t>Methodology</w:t>
      </w:r>
    </w:p>
    <w:p w14:paraId="0BDB7F57" w14:textId="17204401"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Although there are many approaches to developing research, the methodology we used on this occasion was Lesson Study research. Lesson Study research is a collaborative approach where two or more teachers work together, developing practice within the classroom. This focuses on the holistic needs of real pupils and tries to solve a teaching or learning based problem that is affecting pupils’ </w:t>
      </w:r>
      <w:r w:rsidRPr="5F2C3330">
        <w:rPr>
          <w:rFonts w:ascii="Cambria" w:eastAsia="Cambria" w:hAnsi="Cambria" w:cs="Cambria"/>
          <w:sz w:val="28"/>
          <w:szCs w:val="28"/>
        </w:rPr>
        <w:lastRenderedPageBreak/>
        <w:t>progress. Teachers play a part in developing educational techniques which are designed to improve a specific aspect of learning for identified pupils, whilst researchers keep a record of what pupils learn and pass on the practice knowledge to others. Lesson Study is also a form of action research, as it links physical action with conducting research, later bringing them together through critical reflection.</w:t>
      </w:r>
    </w:p>
    <w:p w14:paraId="1CFB3012" w14:textId="0F8DBA28"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Benefits of Lesson Study include the encouragement of collaboration and reflection with other colleagues, something teachers sometimes lack as it may be time consuming. Despite this, the learning outcomes can be hugely beneficial for other teachers when research conclusions are shared. Lesson Study is based on evidence within the classroom, and so although the contexts between schools varies – making evidence not applicable to all – it means learning techniques can be shared in schools that share the same or similar contexts, helping teachers to solve problems collaboratively. It also uses pupils’ voices to develop teaching quality: an incredibly invaluable tool, as pupil feedback is not something that happens frequently.</w:t>
      </w:r>
    </w:p>
    <w:p w14:paraId="08B97E9E" w14:textId="203608F2"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I will now discuss the data collection methods that were used. Data collected was primarily </w:t>
      </w:r>
      <w:r w:rsidRPr="00C570BE">
        <w:rPr>
          <w:rFonts w:ascii="Cambria" w:eastAsia="Cambria" w:hAnsi="Cambria" w:cs="Cambria"/>
          <w:color w:val="000000" w:themeColor="text1"/>
          <w:sz w:val="28"/>
          <w:szCs w:val="28"/>
        </w:rPr>
        <w:t xml:space="preserve">qualitative as </w:t>
      </w:r>
      <w:r w:rsidRPr="5F2C3330">
        <w:rPr>
          <w:rFonts w:ascii="Cambria" w:eastAsia="Cambria" w:hAnsi="Cambria" w:cs="Cambria"/>
          <w:sz w:val="28"/>
          <w:szCs w:val="28"/>
        </w:rPr>
        <w:t>the research being carried out involved observing behaviors and would thus be open to one’s interpretation. Firstly, reflections were captured using a reflection pro-forma which has been adapted from the original reflective cycle by Gibbs (1988); this can be found under ‘Appendix B3’ and ‘Appendix C3’. We believed this adaptation was best suited as it focuses more on thoughts, feeling and immediate responses of the researcher, whilst other reflective models such as that of Brookfield (1995) reflect not only on one’s personal thoughts, but also those of others such as pupils, all whilst relating this to relevant literature, something we wished to do before and after the process rather than during. Another reason we chose this model to base our reflection pro-forma on is that we saw it to be one of the simpler models and this is something we thought beneficial for our research.</w:t>
      </w:r>
    </w:p>
    <w:p w14:paraId="64DED31E" w14:textId="1C1831FF"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The second data-collection method we choose to use was observation. We decided that one researcher would conduct a lesson while the other took observation notes. It was important learn of and adopt good observation practices as without this, the validity of data collected may be questionable. We choose to only use written notes rather than recording data as we thought this would be more time efficient and would ensure all data was secure and in one place. It also enabled us to see physical actions clearly and take notes based on present experiences, thus eliminating the risk of replaying situations and interpreting them in many ways. We choose to use a semi-structured non-participant method of observation. Semi-structured observation would allow us to focus on the specific things we were looking for whilst still allowing the researcher to collect observation notes about other things that may add value and context or perhaps supporting evidence when reflecting on the data. Non-participant observation was used as we did not want to influence any of the </w:t>
      </w:r>
      <w:r w:rsidRPr="5F2C3330">
        <w:rPr>
          <w:rFonts w:ascii="Cambria" w:eastAsia="Cambria" w:hAnsi="Cambria" w:cs="Cambria"/>
          <w:sz w:val="28"/>
          <w:szCs w:val="28"/>
        </w:rPr>
        <w:lastRenderedPageBreak/>
        <w:t xml:space="preserve">natural behaviors of pupils during the Lesson Studies. Being a participant in the Lesson Study may also make it harder to record accurate observation </w:t>
      </w:r>
      <w:proofErr w:type="gramStart"/>
      <w:r w:rsidRPr="5F2C3330">
        <w:rPr>
          <w:rFonts w:ascii="Cambria" w:eastAsia="Cambria" w:hAnsi="Cambria" w:cs="Cambria"/>
          <w:sz w:val="28"/>
          <w:szCs w:val="28"/>
        </w:rPr>
        <w:t>notes, and</w:t>
      </w:r>
      <w:proofErr w:type="gramEnd"/>
      <w:r w:rsidRPr="5F2C3330">
        <w:rPr>
          <w:rFonts w:ascii="Cambria" w:eastAsia="Cambria" w:hAnsi="Cambria" w:cs="Cambria"/>
          <w:sz w:val="28"/>
          <w:szCs w:val="28"/>
        </w:rPr>
        <w:t xml:space="preserve"> speaking with pupils may give the researcher a different outlook when observing pupils doing tasks. We made the decision to identify the researcher to the pupils before the lesson as we did not want the researcher to be a distraction for pupils throughout the lesson, in turn affecting the research.</w:t>
      </w:r>
    </w:p>
    <w:p w14:paraId="03DBF86C" w14:textId="07A8A4E5" w:rsidR="007C645F" w:rsidRDefault="5F2C3330" w:rsidP="5F2C3330">
      <w:pPr>
        <w:pStyle w:val="Body"/>
        <w:spacing w:before="120" w:after="120"/>
        <w:rPr>
          <w:rFonts w:ascii="Cambria" w:eastAsia="Cambria" w:hAnsi="Cambria" w:cs="Cambria"/>
          <w:color w:val="AD1915"/>
          <w:sz w:val="28"/>
          <w:szCs w:val="28"/>
        </w:rPr>
      </w:pPr>
      <w:r w:rsidRPr="5F2C3330">
        <w:rPr>
          <w:rFonts w:ascii="Cambria" w:eastAsia="Cambria" w:hAnsi="Cambria" w:cs="Cambria"/>
          <w:sz w:val="28"/>
          <w:szCs w:val="28"/>
        </w:rPr>
        <w:t>As we choose to use a non-participant method of observation it was important that we took into consideration the Hawthorne Effect – Adair JG (1984) discusses this effect, whereby the presence of the researcher or the explaining of the research project could have a direct effect on how pupils behave. This could then have an adverse effect on research, rendering it invalid. To ensure this risk was minimized we planned to limit the explanation of the research project, giving information that was only relevant to what pupils needed to be told, and to make this a relaxed and less formal event.</w:t>
      </w:r>
    </w:p>
    <w:p w14:paraId="75BECFC9" w14:textId="45BDDEA1" w:rsidR="007C645F" w:rsidRDefault="5F2C3330">
      <w:pPr>
        <w:pStyle w:val="Body"/>
        <w:spacing w:before="120" w:after="120"/>
        <w:rPr>
          <w:rFonts w:ascii="Cambria" w:eastAsia="Cambria" w:hAnsi="Cambria" w:cs="Cambria"/>
          <w:color w:val="AD1915"/>
          <w:sz w:val="28"/>
          <w:szCs w:val="28"/>
        </w:rPr>
      </w:pPr>
      <w:r w:rsidRPr="5F2C3330">
        <w:rPr>
          <w:rFonts w:ascii="Cambria" w:eastAsia="Cambria" w:hAnsi="Cambria" w:cs="Cambria"/>
          <w:sz w:val="28"/>
          <w:szCs w:val="28"/>
        </w:rPr>
        <w:t>To record our observation, we designed an observation pro-forma which can be found in the appendices. After looking at different models of observation pro-forma we decided to make ours simple and clear in order to efficiently record findings during lessons. We made one column for each child and a box for each task we would be observing. To make our observation notes coherent, my research partner and I used the Leuven Scale to measure levels of involvement – as explained by Katherine Lewis (2019)</w:t>
      </w:r>
      <w:r w:rsidR="00F8124B">
        <w:rPr>
          <w:rFonts w:ascii="Cambria" w:eastAsia="Cambria" w:hAnsi="Cambria" w:cs="Cambria"/>
          <w:sz w:val="28"/>
          <w:szCs w:val="28"/>
        </w:rPr>
        <w:t xml:space="preserve">, this scale focuses on the level of involvement and engagement of a child during an activity. </w:t>
      </w:r>
      <w:r w:rsidRPr="5F2C3330">
        <w:rPr>
          <w:rFonts w:ascii="Cambria" w:eastAsia="Cambria" w:hAnsi="Cambria" w:cs="Cambria"/>
          <w:sz w:val="28"/>
          <w:szCs w:val="28"/>
        </w:rPr>
        <w:t>As we were measuring engagement rather than involvement, we tweaked this slightly to suit our research project.</w:t>
      </w:r>
    </w:p>
    <w:p w14:paraId="7C8C8C8F" w14:textId="20704A64"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Other factors we considered whilst using an observation method included where to place the observer in the classroom, and whether they are static or mobile. We decided that the researcher would not move around the classroom as this may cause distraction and/or change pupils’ natural behaviors.</w:t>
      </w:r>
    </w:p>
    <w:p w14:paraId="35E15FEE" w14:textId="76F12B0B"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The focus group for our Lesson Study were chosen based on the confidence level of pupils. We ideally wanted a less confident student, a moderately confident student and a very confident student within the focus group. To do this it was crucial that we knew our pupils well and spoke to our mentors who had taught the classes longer than us as they knew pupils well.</w:t>
      </w:r>
    </w:p>
    <w:p w14:paraId="7A0D707D"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 xml:space="preserve"> </w:t>
      </w:r>
    </w:p>
    <w:p w14:paraId="77E75ED2" w14:textId="77777777" w:rsidR="007C645F" w:rsidRPr="00862EB4" w:rsidRDefault="007C645F">
      <w:pPr>
        <w:pStyle w:val="Body"/>
        <w:spacing w:before="120" w:after="120"/>
        <w:rPr>
          <w:rFonts w:ascii="Cambria" w:eastAsia="Cambria" w:hAnsi="Cambria" w:cs="Cambria"/>
          <w:b/>
          <w:bCs/>
          <w:sz w:val="28"/>
          <w:szCs w:val="28"/>
          <w:u w:val="single" w:color="000000"/>
        </w:rPr>
      </w:pPr>
      <w:r w:rsidRPr="00862EB4">
        <w:rPr>
          <w:rFonts w:ascii="Cambria" w:eastAsia="Cambria" w:hAnsi="Cambria" w:cs="Cambria"/>
          <w:b/>
          <w:bCs/>
          <w:sz w:val="28"/>
          <w:szCs w:val="28"/>
          <w:u w:val="single" w:color="000000"/>
        </w:rPr>
        <w:t>Ethical</w:t>
      </w:r>
      <w:r w:rsidR="00DA20E0" w:rsidRPr="00862EB4">
        <w:rPr>
          <w:rFonts w:ascii="Cambria" w:eastAsia="Cambria" w:hAnsi="Cambria" w:cs="Cambria"/>
          <w:b/>
          <w:bCs/>
          <w:sz w:val="28"/>
          <w:szCs w:val="28"/>
          <w:u w:val="single" w:color="000000"/>
        </w:rPr>
        <w:t xml:space="preserve"> Considerations</w:t>
      </w:r>
    </w:p>
    <w:p w14:paraId="5DAB6C7B" w14:textId="2E408F47"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There were </w:t>
      </w:r>
      <w:proofErr w:type="gramStart"/>
      <w:r w:rsidRPr="5F2C3330">
        <w:rPr>
          <w:rFonts w:ascii="Cambria" w:eastAsia="Cambria" w:hAnsi="Cambria" w:cs="Cambria"/>
          <w:sz w:val="28"/>
          <w:szCs w:val="28"/>
        </w:rPr>
        <w:t>a number of</w:t>
      </w:r>
      <w:proofErr w:type="gramEnd"/>
      <w:r w:rsidRPr="5F2C3330">
        <w:rPr>
          <w:rFonts w:ascii="Cambria" w:eastAsia="Cambria" w:hAnsi="Cambria" w:cs="Cambria"/>
          <w:sz w:val="28"/>
          <w:szCs w:val="28"/>
        </w:rPr>
        <w:t xml:space="preserve"> ethical issues that needed to be taken into consideration whilst doing research in a classroom environment. These included: obtaining consent from parents and assent from pupils to take part in the lesson study; transparency with any stakeholders in the research (including the university); ensuring all participants are informed that they may withdraw from the research at any point with no reason, and making sure that there are no </w:t>
      </w:r>
      <w:r w:rsidRPr="5F2C3330">
        <w:rPr>
          <w:rFonts w:ascii="Cambria" w:eastAsia="Cambria" w:hAnsi="Cambria" w:cs="Cambria"/>
          <w:sz w:val="28"/>
          <w:szCs w:val="28"/>
        </w:rPr>
        <w:lastRenderedPageBreak/>
        <w:t xml:space="preserve">incentives for pupils to take part i.e. not offering achievement points. In advance of data </w:t>
      </w:r>
      <w:proofErr w:type="gramStart"/>
      <w:r w:rsidRPr="5F2C3330">
        <w:rPr>
          <w:rFonts w:ascii="Cambria" w:eastAsia="Cambria" w:hAnsi="Cambria" w:cs="Cambria"/>
          <w:sz w:val="28"/>
          <w:szCs w:val="28"/>
        </w:rPr>
        <w:t>collection</w:t>
      </w:r>
      <w:proofErr w:type="gramEnd"/>
      <w:r w:rsidRPr="5F2C3330">
        <w:rPr>
          <w:rFonts w:ascii="Cambria" w:eastAsia="Cambria" w:hAnsi="Cambria" w:cs="Cambria"/>
          <w:sz w:val="28"/>
          <w:szCs w:val="28"/>
        </w:rPr>
        <w:t xml:space="preserve"> we thoroughly discussed duty of care to ensure all potential risks were recognized in order to minimize any distress for stakeholders, ensuring all data is securely stored and protected. If behavior reported by participants is likely to put others at risk, disclosure will be considered. Finally, I will follow BERA (2019)</w:t>
      </w:r>
      <w:r w:rsidRPr="5F2C3330">
        <w:rPr>
          <w:rFonts w:ascii="Cambria" w:eastAsia="Cambria" w:hAnsi="Cambria" w:cs="Cambria"/>
          <w:color w:val="AD1915"/>
          <w:sz w:val="28"/>
          <w:szCs w:val="28"/>
        </w:rPr>
        <w:t xml:space="preserve"> </w:t>
      </w:r>
      <w:r w:rsidRPr="5F2C3330">
        <w:rPr>
          <w:rFonts w:ascii="Cambria" w:eastAsia="Cambria" w:hAnsi="Cambria" w:cs="Cambria"/>
          <w:sz w:val="28"/>
          <w:szCs w:val="28"/>
        </w:rPr>
        <w:t>and University of Trinity St David (2017) guidelines to ensure all ethical considerations are taken.</w:t>
      </w:r>
    </w:p>
    <w:p w14:paraId="02EB378F" w14:textId="77777777" w:rsidR="007C645F" w:rsidRDefault="007C645F">
      <w:pPr>
        <w:pStyle w:val="Body"/>
        <w:spacing w:before="120" w:after="120"/>
        <w:rPr>
          <w:rFonts w:ascii="Cambria" w:eastAsia="Cambria" w:hAnsi="Cambria" w:cs="Cambria"/>
          <w:sz w:val="28"/>
          <w:szCs w:val="28"/>
          <w:u w:color="000000"/>
        </w:rPr>
      </w:pPr>
    </w:p>
    <w:p w14:paraId="57F74512" w14:textId="77777777" w:rsidR="00DA20E0" w:rsidRDefault="00DA20E0">
      <w:pPr>
        <w:pStyle w:val="Body"/>
        <w:spacing w:before="120" w:after="120"/>
        <w:rPr>
          <w:rFonts w:ascii="Cambria" w:eastAsia="Cambria" w:hAnsi="Cambria" w:cs="Cambria"/>
          <w:b/>
          <w:bCs/>
          <w:sz w:val="28"/>
          <w:szCs w:val="28"/>
          <w:u w:val="single" w:color="000000"/>
        </w:rPr>
      </w:pPr>
      <w:r>
        <w:rPr>
          <w:rFonts w:ascii="Cambria" w:eastAsia="Cambria" w:hAnsi="Cambria" w:cs="Cambria"/>
          <w:b/>
          <w:bCs/>
          <w:sz w:val="28"/>
          <w:szCs w:val="28"/>
          <w:u w:val="single" w:color="000000"/>
        </w:rPr>
        <w:t>Lesson Study Results and Analysis</w:t>
      </w:r>
    </w:p>
    <w:p w14:paraId="3A7986F5" w14:textId="7A093B9E"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The first Lesson Study carried out by my partner and I was one in which my partner taught, and I observed. This will be referred to as “Lesson Study 1”. The lesson topic was “Journey of Languages” and the lesson objective was to understand more about where languages originated from. As part of the lesson, pupils were to take part in four group activities – this structure was agreed upon by my partner and I to ensure consistencies in both our lessons, enabling our end comparisons to be clearer. The tasks ranged from totally unstructured to structured.</w:t>
      </w:r>
    </w:p>
    <w:p w14:paraId="0999A72A" w14:textId="58F0316F"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Throughout the lesson and during tasks, I was focused on three students, who will be referred to as Pupil A, Pupil B and Pupil C.</w:t>
      </w:r>
      <w:r w:rsidRPr="5F2C3330">
        <w:rPr>
          <w:rFonts w:ascii="Cambria" w:eastAsia="Cambria" w:hAnsi="Cambria" w:cs="Cambria"/>
          <w:color w:val="FF2C21"/>
          <w:sz w:val="28"/>
          <w:szCs w:val="28"/>
        </w:rPr>
        <w:t xml:space="preserve"> </w:t>
      </w:r>
      <w:r w:rsidRPr="5F2C3330">
        <w:rPr>
          <w:rFonts w:ascii="Cambria" w:eastAsia="Cambria" w:hAnsi="Cambria" w:cs="Cambria"/>
          <w:sz w:val="28"/>
          <w:szCs w:val="28"/>
        </w:rPr>
        <w:t>These three pupils were of a different confidence levels ranging from high confidence to low confidence; these students were highlighted in advance by the class teacher and student teacher following a discussion on the pupils’ prior confidence levels during lessons and tasks. The observation pro-forma for Lesson Study 1 can be found under ‘Appendix B1’.</w:t>
      </w:r>
    </w:p>
    <w:p w14:paraId="59B13F28" w14:textId="36671386"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During Task 1, a non-structured task, pupils were asked to have a discussion with their partner about their thoughts on the journey of language. On average for this task, Pupil A ranked 1 on our modified scale of engagement, Pupil B ranked 5 and Pupil C ranked 1. This tells us that both Pupil A and Pupil C lacked engagement while Pupil B was totally engaged in the task in hand.</w:t>
      </w:r>
    </w:p>
    <w:p w14:paraId="57E7916D" w14:textId="7A7E2052"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It should be noted here that through the natural process of the lesson, Task 2 became a group discussion rather than a pair or group task and therefore will not be analyzed as a task.</w:t>
      </w:r>
    </w:p>
    <w:p w14:paraId="0F4C1208" w14:textId="13E5B97D"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Task 3 was a semi-structured task which involved pupils working in pairs or groups to translate different languages into English. This activity saw Pupil A ranked 4, Pupil B ranked 5 and Pupil C ranked 3.</w:t>
      </w:r>
    </w:p>
    <w:p w14:paraId="7A986CDD" w14:textId="557426AF"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The final task for the lesson, Task 4, was a structured pair or group task which asked pupils to match up days of the week in different languages. Expectations and clear interactions were given for this task. This task saw all three pupils receive a score of 5.</w:t>
      </w:r>
    </w:p>
    <w:p w14:paraId="2DA52852" w14:textId="6C6D9587"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After the lesson, my partner and I interviewed the three pupils to gain a perspective on lesson results and gather more data to support out research. </w:t>
      </w:r>
      <w:r w:rsidRPr="5F2C3330">
        <w:rPr>
          <w:rFonts w:ascii="Cambria" w:eastAsia="Cambria" w:hAnsi="Cambria" w:cs="Cambria"/>
          <w:sz w:val="28"/>
          <w:szCs w:val="28"/>
        </w:rPr>
        <w:lastRenderedPageBreak/>
        <w:t xml:space="preserve">When pupils were asked what they liked about the lesson, both Pupils A and C said they enjoyed learning about languages while Pupil B specifically referred to Task 4 (the structured task) as something they liked about the lesson. In the next interview question pupils were asked about their feelings towards working in pairs or groups; Pupil A said they preferred working as a group as pair work was hard if a partner didn’t want to work, and Pupil B also preferred group work as this involved sharing ideas. Pupil C was the only student who preferred working in a pair, a reason for this was not given. We then asked pupils about each task they took part in, reminding them of the task during each question. Through feedback of each task, we found that the most popular task among the pupils was Task 4, the most structured task. It seems that the least popular task was Task 1, the least structured task. This is because pupils referred to Task 1 as “okay”, whereas Task 4 was referred to as “fun” and “really cool”. </w:t>
      </w:r>
    </w:p>
    <w:p w14:paraId="1B766AF6" w14:textId="636979DE"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Through analyzing the observation data, interview pro-forma and initial reflections of Lesson Study 1, I believe that overall, more structured tasks are more enjoyable for pupils, along with pupil engagement being higher during the task. Alongside this, I would like to highlight the fact that pupils enjoy working as a group more than working in pairs, as this gives them more chance of working with pupils who are willing to work and thus gives them more ideas to work with. It seems that the observation data which recorded pupils’ engagement and the interview pro-forma which gathered pupils’ feedback both gave the same results; this tells us there is a correlation between task structure and pupils of lower confidence engaging in tasks. Despite this correlation, it should be noted that the structure of the task was beneficial to all confidence levels, not just those of lower confidence. </w:t>
      </w:r>
    </w:p>
    <w:p w14:paraId="5DBD1F97" w14:textId="1925D67F"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Through pupil feedback recorded on the interview pro-forma, and initial reflection individually and with my research partner, I think the lesson could be improved for pupils by making tasks more competitive as this is something that was found to be engaging and enjoyable for them as all three pupils agreed on this as a point of improvement.</w:t>
      </w:r>
    </w:p>
    <w:p w14:paraId="30FD75B8" w14:textId="5CC9E38A" w:rsidR="007C645F" w:rsidRPr="00DA20E0"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As my partner had missed out a task during Lesson Study 1, we agreed that Lesson Study 2 would also only have three tasks. This was to ensure continuity for research purposes and would be beneficial when comparing data from both lessons. This also meant readjusting our observation pro-forma and taking a box out.</w:t>
      </w:r>
    </w:p>
    <w:p w14:paraId="1ECD0CAD" w14:textId="06BC75DC" w:rsidR="007C645F" w:rsidRPr="00DA20E0"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Another issue that became apparent when observing Lesson Study 1 was my location within the classroom. Prior to the lesson, we decided to </w:t>
      </w:r>
      <w:proofErr w:type="spellStart"/>
      <w:r w:rsidRPr="5F2C3330">
        <w:rPr>
          <w:rFonts w:ascii="Cambria" w:eastAsia="Cambria" w:hAnsi="Cambria" w:cs="Cambria"/>
          <w:sz w:val="28"/>
          <w:szCs w:val="28"/>
        </w:rPr>
        <w:t>postion</w:t>
      </w:r>
      <w:proofErr w:type="spellEnd"/>
      <w:r w:rsidRPr="5F2C3330">
        <w:rPr>
          <w:rFonts w:ascii="Cambria" w:eastAsia="Cambria" w:hAnsi="Cambria" w:cs="Cambria"/>
          <w:sz w:val="28"/>
          <w:szCs w:val="28"/>
        </w:rPr>
        <w:t xml:space="preserve"> my chair in the center of the classroom so that the three pupils I was to observe were dotted around me. This initially seemed like a good idea, however throughout the lesson it made observation harder, as pupils were more aware of where I was always looking. This position also meant that I </w:t>
      </w:r>
      <w:proofErr w:type="gramStart"/>
      <w:r w:rsidRPr="5F2C3330">
        <w:rPr>
          <w:rFonts w:ascii="Cambria" w:eastAsia="Cambria" w:hAnsi="Cambria" w:cs="Cambria"/>
          <w:sz w:val="28"/>
          <w:szCs w:val="28"/>
        </w:rPr>
        <w:t>sitting</w:t>
      </w:r>
      <w:proofErr w:type="gramEnd"/>
      <w:r w:rsidRPr="5F2C3330">
        <w:rPr>
          <w:rFonts w:ascii="Cambria" w:eastAsia="Cambria" w:hAnsi="Cambria" w:cs="Cambria"/>
          <w:sz w:val="28"/>
          <w:szCs w:val="28"/>
        </w:rPr>
        <w:t xml:space="preserve"> directly behind Pupil C and so I could only observe body language and no facial </w:t>
      </w:r>
      <w:r w:rsidRPr="5F2C3330">
        <w:rPr>
          <w:rFonts w:ascii="Cambria" w:eastAsia="Cambria" w:hAnsi="Cambria" w:cs="Cambria"/>
          <w:sz w:val="28"/>
          <w:szCs w:val="28"/>
        </w:rPr>
        <w:lastRenderedPageBreak/>
        <w:t>expression. This may have given me a false reading in my observations, in turn affecting our research. As a result of this, we decided that my partner would observe Lesson Study 2 from the front of the classroom, where every pupil could be seen clearly and ensure the observer didn’t distract from the lesson.</w:t>
      </w:r>
    </w:p>
    <w:p w14:paraId="603E83E4" w14:textId="385CE088" w:rsidR="007C645F" w:rsidRPr="00DA20E0"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Another modification that we noted as being something to change for our next lesson was the observation pro-forma, as I felt there was a need for a notes section in case of any side notes; the original observation sheet did not supply this. The observation pro-forma for Lesson Study 2 can be found under ‘Appendix C1’.</w:t>
      </w:r>
      <w:r w:rsidRPr="5F2C3330">
        <w:rPr>
          <w:rFonts w:ascii="Cambria" w:eastAsia="Cambria" w:hAnsi="Cambria" w:cs="Cambria"/>
          <w:b/>
          <w:bCs/>
          <w:sz w:val="28"/>
          <w:szCs w:val="28"/>
        </w:rPr>
        <w:t xml:space="preserve">                                                             </w:t>
      </w:r>
    </w:p>
    <w:p w14:paraId="7ACA15A9" w14:textId="0F063431"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Moving on to Lesson Study 2, this was a lesson taught by myself and observed by my research partner. Pupils observed in Lesson Study 2 will be referred to as Pupil D, Pupil E and Pupil F. As in Lesson Study 1, Task 1 was unstructured, Task 2 was semi-</w:t>
      </w:r>
      <w:proofErr w:type="gramStart"/>
      <w:r w:rsidRPr="5F2C3330">
        <w:rPr>
          <w:rFonts w:ascii="Cambria" w:eastAsia="Cambria" w:hAnsi="Cambria" w:cs="Cambria"/>
          <w:sz w:val="28"/>
          <w:szCs w:val="28"/>
        </w:rPr>
        <w:t>structured</w:t>
      </w:r>
      <w:proofErr w:type="gramEnd"/>
      <w:r w:rsidRPr="5F2C3330">
        <w:rPr>
          <w:rFonts w:ascii="Cambria" w:eastAsia="Cambria" w:hAnsi="Cambria" w:cs="Cambria"/>
          <w:sz w:val="28"/>
          <w:szCs w:val="28"/>
        </w:rPr>
        <w:t xml:space="preserve"> and Task 3 was fully structured. </w:t>
      </w:r>
    </w:p>
    <w:p w14:paraId="0AC97CED" w14:textId="0422CAEA"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The lesson objective for this lesson was to gain further understanding of character motivations in the play “Romeo and Juliet”. During this lesson, all pupils achieved their lesson objective by engaging in all task</w:t>
      </w:r>
      <w:r w:rsidRPr="00F8124B">
        <w:rPr>
          <w:rFonts w:ascii="Cambria" w:eastAsia="Cambria" w:hAnsi="Cambria" w:cs="Cambria"/>
          <w:color w:val="000000" w:themeColor="text1"/>
          <w:sz w:val="28"/>
          <w:szCs w:val="28"/>
        </w:rPr>
        <w:t>s.</w:t>
      </w:r>
      <w:r w:rsidR="00F8124B" w:rsidRPr="00F8124B">
        <w:rPr>
          <w:rFonts w:ascii="Cambria" w:eastAsia="Cambria" w:hAnsi="Cambria" w:cs="Cambria"/>
          <w:color w:val="000000" w:themeColor="text1"/>
          <w:sz w:val="28"/>
          <w:szCs w:val="28"/>
        </w:rPr>
        <w:t xml:space="preserve"> </w:t>
      </w:r>
      <w:r w:rsidR="00F8124B">
        <w:rPr>
          <w:rFonts w:ascii="Cambria" w:eastAsia="Cambria" w:hAnsi="Cambria" w:cs="Cambria"/>
          <w:color w:val="000000" w:themeColor="text1"/>
          <w:sz w:val="28"/>
          <w:szCs w:val="28"/>
        </w:rPr>
        <w:t xml:space="preserve">Prior to the lesson study </w:t>
      </w:r>
      <w:r w:rsidR="00F8124B" w:rsidRPr="00F8124B">
        <w:rPr>
          <w:rFonts w:ascii="Cambria" w:eastAsia="Cambria" w:hAnsi="Cambria" w:cs="Cambria"/>
          <w:color w:val="000000" w:themeColor="text1"/>
          <w:sz w:val="28"/>
          <w:szCs w:val="28"/>
        </w:rPr>
        <w:t>Pupil D was</w:t>
      </w:r>
      <w:r w:rsidR="00F8124B">
        <w:rPr>
          <w:rFonts w:ascii="Cambria" w:eastAsia="Cambria" w:hAnsi="Cambria" w:cs="Cambria"/>
          <w:color w:val="000000" w:themeColor="text1"/>
          <w:sz w:val="28"/>
          <w:szCs w:val="28"/>
        </w:rPr>
        <w:t xml:space="preserve"> picked as</w:t>
      </w:r>
      <w:r w:rsidR="00F8124B" w:rsidRPr="00F8124B">
        <w:rPr>
          <w:rFonts w:ascii="Cambria" w:eastAsia="Cambria" w:hAnsi="Cambria" w:cs="Cambria"/>
          <w:color w:val="000000" w:themeColor="text1"/>
          <w:sz w:val="28"/>
          <w:szCs w:val="28"/>
        </w:rPr>
        <w:t xml:space="preserve"> the most confident Pupil F was the least confident</w:t>
      </w:r>
      <w:r w:rsidR="00F8124B">
        <w:rPr>
          <w:rFonts w:ascii="Cambria" w:eastAsia="Cambria" w:hAnsi="Cambria" w:cs="Cambria"/>
          <w:color w:val="000000" w:themeColor="text1"/>
          <w:sz w:val="28"/>
          <w:szCs w:val="28"/>
        </w:rPr>
        <w:t>, putting pupil E in the middle of this scale.</w:t>
      </w:r>
    </w:p>
    <w:p w14:paraId="28E00862" w14:textId="21AD1B2D"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During Task 1, Pupils D and F were ranked 4, while pupil E scored 5; these scores are considerably higher than the starting scores of pupils during Lesson Study 1.</w:t>
      </w:r>
    </w:p>
    <w:p w14:paraId="7AA1BB2C" w14:textId="31F2A44A"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Task 2 saw Pupil D ranked 5, and Pupils E and F ranked 4.</w:t>
      </w:r>
    </w:p>
    <w:p w14:paraId="10D7B113" w14:textId="00AAB170"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Finally, Task 3 saw all pupils with a rank of 5, matching the pupils’ scores from Lesson Study 1. </w:t>
      </w:r>
    </w:p>
    <w:p w14:paraId="7EC7DE2E" w14:textId="7BE0FEEC"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These results initially suggest to us that pupils were engaged well in all tasks but were most engaged in Task 3, further suggesting a correlation between the structure of the task and the pupils’ engagement.</w:t>
      </w:r>
    </w:p>
    <w:p w14:paraId="40CEEA00" w14:textId="74B55F11" w:rsidR="007C645F" w:rsidRDefault="5F2C3330" w:rsidP="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As in Lesson Study 1, pupils were then interviewed after the lesson. All pupils said that they didn’t mind working in pairs or groups. Two pupils</w:t>
      </w:r>
      <w:r w:rsidR="00F8124B">
        <w:rPr>
          <w:rFonts w:ascii="Cambria" w:eastAsia="Cambria" w:hAnsi="Cambria" w:cs="Cambria"/>
          <w:sz w:val="28"/>
          <w:szCs w:val="28"/>
        </w:rPr>
        <w:t xml:space="preserve"> (D and F)</w:t>
      </w:r>
      <w:r w:rsidRPr="5F2C3330">
        <w:rPr>
          <w:rFonts w:ascii="Cambria" w:eastAsia="Cambria" w:hAnsi="Cambria" w:cs="Cambria"/>
          <w:sz w:val="28"/>
          <w:szCs w:val="28"/>
        </w:rPr>
        <w:t xml:space="preserve"> said that their favorite task was Task 2, and one pupil </w:t>
      </w:r>
      <w:r w:rsidR="00F8124B">
        <w:rPr>
          <w:rFonts w:ascii="Cambria" w:eastAsia="Cambria" w:hAnsi="Cambria" w:cs="Cambria"/>
          <w:sz w:val="28"/>
          <w:szCs w:val="28"/>
        </w:rPr>
        <w:t xml:space="preserve">(Pupil E) </w:t>
      </w:r>
      <w:r w:rsidRPr="5F2C3330">
        <w:rPr>
          <w:rFonts w:ascii="Cambria" w:eastAsia="Cambria" w:hAnsi="Cambria" w:cs="Cambria"/>
          <w:sz w:val="28"/>
          <w:szCs w:val="28"/>
        </w:rPr>
        <w:t>said their favorite task was Task 1. This shows that on average, pupils enjoyed the semi-structured task the most; one explanation for this may be that Year 11 pupils are more independent and enjoy more freedom.</w:t>
      </w:r>
    </w:p>
    <w:p w14:paraId="0582BAFA" w14:textId="5E318299"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On reflection of the interviews, we </w:t>
      </w:r>
      <w:proofErr w:type="spellStart"/>
      <w:r w:rsidRPr="5F2C3330">
        <w:rPr>
          <w:rFonts w:ascii="Cambria" w:eastAsia="Cambria" w:hAnsi="Cambria" w:cs="Cambria"/>
          <w:sz w:val="28"/>
          <w:szCs w:val="28"/>
        </w:rPr>
        <w:t>realised</w:t>
      </w:r>
      <w:proofErr w:type="spellEnd"/>
      <w:r w:rsidRPr="5F2C3330">
        <w:rPr>
          <w:rFonts w:ascii="Cambria" w:eastAsia="Cambria" w:hAnsi="Cambria" w:cs="Cambria"/>
          <w:sz w:val="28"/>
          <w:szCs w:val="28"/>
        </w:rPr>
        <w:t xml:space="preserve"> that we asked each question in order from most confident pupil to least confident. This may have had a negative effect as less confident pupils may have had different answers if they had been asked for their opinion </w:t>
      </w:r>
      <w:proofErr w:type="gramStart"/>
      <w:r w:rsidRPr="5F2C3330">
        <w:rPr>
          <w:rFonts w:ascii="Cambria" w:eastAsia="Cambria" w:hAnsi="Cambria" w:cs="Cambria"/>
          <w:sz w:val="28"/>
          <w:szCs w:val="28"/>
        </w:rPr>
        <w:t>first, and</w:t>
      </w:r>
      <w:proofErr w:type="gramEnd"/>
      <w:r w:rsidRPr="5F2C3330">
        <w:rPr>
          <w:rFonts w:ascii="Cambria" w:eastAsia="Cambria" w:hAnsi="Cambria" w:cs="Cambria"/>
          <w:sz w:val="28"/>
          <w:szCs w:val="28"/>
        </w:rPr>
        <w:t xml:space="preserve"> may even have taken cues from the most confident pupils’ answers. This would be something to consider if doing a research lesson again, and something to consider when using direct questioning in the classroom. </w:t>
      </w:r>
    </w:p>
    <w:p w14:paraId="4FD2BC06" w14:textId="1DE8045A"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lastRenderedPageBreak/>
        <w:t>Other general conclusions that were discussed with my research partner after this lesson was the comparison of her Year 7 class to my Year 11 class. It was evident that my class was much smaller and much more independent – this may have been due to their nature as older pupils, or perhaps may have been the fact that the group was smaller and had much more experience of working together closely.</w:t>
      </w:r>
    </w:p>
    <w:p w14:paraId="6A05A809" w14:textId="77777777" w:rsidR="00DA20E0" w:rsidRPr="00862EB4" w:rsidRDefault="00DA20E0">
      <w:pPr>
        <w:pStyle w:val="Body"/>
        <w:spacing w:before="120" w:after="120"/>
        <w:rPr>
          <w:rFonts w:ascii="Cambria" w:eastAsia="Cambria" w:hAnsi="Cambria" w:cs="Cambria"/>
          <w:b/>
          <w:bCs/>
          <w:sz w:val="28"/>
          <w:szCs w:val="28"/>
          <w:u w:val="single" w:color="000000"/>
        </w:rPr>
      </w:pPr>
    </w:p>
    <w:p w14:paraId="7827A2D6" w14:textId="77777777" w:rsidR="007C645F" w:rsidRPr="00862EB4" w:rsidRDefault="007C645F">
      <w:pPr>
        <w:pStyle w:val="Body"/>
        <w:spacing w:before="120" w:after="120"/>
        <w:rPr>
          <w:rFonts w:ascii="Cambria" w:eastAsia="Cambria" w:hAnsi="Cambria" w:cs="Cambria"/>
          <w:b/>
          <w:bCs/>
          <w:sz w:val="28"/>
          <w:szCs w:val="28"/>
          <w:u w:val="single" w:color="000000"/>
        </w:rPr>
      </w:pPr>
      <w:r w:rsidRPr="00862EB4">
        <w:rPr>
          <w:rFonts w:ascii="Cambria" w:eastAsia="Cambria" w:hAnsi="Cambria" w:cs="Cambria"/>
          <w:b/>
          <w:bCs/>
          <w:sz w:val="28"/>
          <w:szCs w:val="28"/>
          <w:u w:val="single" w:color="000000"/>
        </w:rPr>
        <w:t xml:space="preserve">Discussion </w:t>
      </w:r>
    </w:p>
    <w:p w14:paraId="01F50EDD" w14:textId="2E2691A3"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 After reflecting on both Lesson Studies, it became apparent to me that on average the Year 11 class was more engaged in tasks overall than the Year 7 class. Reflecting on literature previously discussed, it is apparent to me that there may be a link between the five stages of group development by Tuckman (1965) and my research. Using Tuckman’s 1965 research, it is reasonable to believe that our Year 11 class (Lesson Study 2) may have been more successful at group tasks regardless of their structure because they had worked together more often as a smaller group, thus giving them time to go through the five stages of group development. In contrast, the Year 7 class (Lesson Study 1) was much bigger and had rarely worked in groups previously. As well as this, they had known each other for a much shorter amount of time. If this were to be true it would be a positive attainment for my year eleven class. </w:t>
      </w:r>
      <w:proofErr w:type="gramStart"/>
      <w:r w:rsidRPr="5F2C3330">
        <w:rPr>
          <w:rFonts w:ascii="Cambria" w:eastAsia="Cambria" w:hAnsi="Cambria" w:cs="Cambria"/>
          <w:sz w:val="28"/>
          <w:szCs w:val="28"/>
        </w:rPr>
        <w:t>However</w:t>
      </w:r>
      <w:proofErr w:type="gramEnd"/>
      <w:r w:rsidRPr="5F2C3330">
        <w:rPr>
          <w:rFonts w:ascii="Cambria" w:eastAsia="Cambria" w:hAnsi="Cambria" w:cs="Cambria"/>
          <w:sz w:val="28"/>
          <w:szCs w:val="28"/>
        </w:rPr>
        <w:t xml:space="preserve"> it must be noted that it is not attainable for classes to always be small, and neither is it attainable to always do group work. </w:t>
      </w:r>
    </w:p>
    <w:p w14:paraId="2ED00E05" w14:textId="06DC06DA"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As touched upon earlier, Burton (2006) states that the success of a group task is down to the facilitator, not the structure of the task. Our research data found that during both Lesson Studies there was a positive correlation between more structured tasks and more engagement with learning despite different teachers; therefore, this leads me to believe that Burton’s theory may not always be the case.</w:t>
      </w:r>
    </w:p>
    <w:p w14:paraId="38729162" w14:textId="02DBAA37"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Data collected as part of our research project told us that Key Stage 4 enjoyed group work more than Key Stage 3. Howe (2009) implies that younger students may not be as enthusiastic about group work because they may be inexperienced at it; this would be one explanation of why Lesson Study 2 students enjoyed group work more on average than Lesson Study 1 students. In response to Howe’s research I wondered, if this was the case, how we could introduce Key Stage 3 learners to group work in a smoother manner. This led me to Baines’ 1969 research, which discusses implementation of group work in a primary setting. Baines (1969) suggests that social </w:t>
      </w:r>
      <w:proofErr w:type="spellStart"/>
      <w:r w:rsidRPr="5F2C3330">
        <w:rPr>
          <w:rFonts w:ascii="Cambria" w:eastAsia="Cambria" w:hAnsi="Cambria" w:cs="Cambria"/>
          <w:sz w:val="28"/>
          <w:szCs w:val="28"/>
        </w:rPr>
        <w:t>organisation</w:t>
      </w:r>
      <w:proofErr w:type="spellEnd"/>
      <w:r w:rsidRPr="5F2C3330">
        <w:rPr>
          <w:rFonts w:ascii="Cambria" w:eastAsia="Cambria" w:hAnsi="Cambria" w:cs="Cambria"/>
          <w:sz w:val="28"/>
          <w:szCs w:val="28"/>
        </w:rPr>
        <w:t xml:space="preserve"> of groups is highly important for group work to be an effective tool for learning, which in turn may suggest that pupils from Lesson Study 1 would have worked with more engagement in group activities if they had been placed with peers, rather than pupils who happened to be sitting close by. On reflection, I </w:t>
      </w:r>
      <w:proofErr w:type="spellStart"/>
      <w:r w:rsidRPr="5F2C3330">
        <w:rPr>
          <w:rFonts w:ascii="Cambria" w:eastAsia="Cambria" w:hAnsi="Cambria" w:cs="Cambria"/>
          <w:sz w:val="28"/>
          <w:szCs w:val="28"/>
        </w:rPr>
        <w:t>realised</w:t>
      </w:r>
      <w:proofErr w:type="spellEnd"/>
      <w:r w:rsidRPr="5F2C3330">
        <w:rPr>
          <w:rFonts w:ascii="Cambria" w:eastAsia="Cambria" w:hAnsi="Cambria" w:cs="Cambria"/>
          <w:sz w:val="28"/>
          <w:szCs w:val="28"/>
        </w:rPr>
        <w:t xml:space="preserve"> that I had already used this method naturally during Lesson Study 2; as the class was small </w:t>
      </w:r>
      <w:r w:rsidRPr="5F2C3330">
        <w:rPr>
          <w:rFonts w:ascii="Cambria" w:eastAsia="Cambria" w:hAnsi="Cambria" w:cs="Cambria"/>
          <w:sz w:val="28"/>
          <w:szCs w:val="28"/>
        </w:rPr>
        <w:lastRenderedPageBreak/>
        <w:t xml:space="preserve">I would pre-plan groups for previous non-research classes, and so the group dynamic worked well. This could be another reason why pupils from Lesson Study 2 scored a higher average in each of their tasks than pupils from Lesson Study 1. Despite this method being seemingly successful in this instance, limitations of this could be that pupils end up working with the same peers who are said to be the right dynamic socially for them, thus limiting their exposure to what they may learn from new or unfamiliar peers. Furthermore, it is at the discretion of the facilitator, in this case </w:t>
      </w:r>
      <w:proofErr w:type="gramStart"/>
      <w:r w:rsidRPr="5F2C3330">
        <w:rPr>
          <w:rFonts w:ascii="Cambria" w:eastAsia="Cambria" w:hAnsi="Cambria" w:cs="Cambria"/>
          <w:sz w:val="28"/>
          <w:szCs w:val="28"/>
        </w:rPr>
        <w:t>myself</w:t>
      </w:r>
      <w:proofErr w:type="gramEnd"/>
      <w:r w:rsidRPr="5F2C3330">
        <w:rPr>
          <w:rFonts w:ascii="Cambria" w:eastAsia="Cambria" w:hAnsi="Cambria" w:cs="Cambria"/>
          <w:sz w:val="28"/>
          <w:szCs w:val="28"/>
        </w:rPr>
        <w:t xml:space="preserve"> as the teacher, to pick those groups and this is often down to personal judgement and can be influenced by existing knowledge of peer groups.</w:t>
      </w:r>
    </w:p>
    <w:p w14:paraId="5A39BBE3" w14:textId="77777777" w:rsidR="007C645F" w:rsidRDefault="007C645F">
      <w:pPr>
        <w:pStyle w:val="Body"/>
        <w:spacing w:before="120" w:after="120"/>
        <w:rPr>
          <w:rFonts w:ascii="Cambria" w:eastAsia="Cambria" w:hAnsi="Cambria" w:cs="Cambria"/>
          <w:sz w:val="28"/>
          <w:szCs w:val="28"/>
          <w:u w:color="000000"/>
        </w:rPr>
      </w:pPr>
    </w:p>
    <w:p w14:paraId="2B2A7A39" w14:textId="77777777" w:rsidR="007C645F" w:rsidRPr="00DA20E0" w:rsidRDefault="007C645F">
      <w:pPr>
        <w:pStyle w:val="Body"/>
        <w:spacing w:before="120" w:after="120"/>
        <w:rPr>
          <w:rFonts w:ascii="Cambria" w:eastAsia="Cambria" w:hAnsi="Cambria" w:cs="Cambria"/>
          <w:sz w:val="28"/>
          <w:szCs w:val="28"/>
          <w:u w:color="000000"/>
        </w:rPr>
      </w:pPr>
      <w:r>
        <w:rPr>
          <w:rFonts w:ascii="Cambria" w:eastAsia="Cambria" w:hAnsi="Cambria" w:cs="Cambria"/>
          <w:b/>
          <w:bCs/>
          <w:sz w:val="28"/>
          <w:szCs w:val="28"/>
          <w:u w:val="single" w:color="000000"/>
        </w:rPr>
        <w:t>Conclusion</w:t>
      </w:r>
    </w:p>
    <w:p w14:paraId="0E4BC9B5" w14:textId="0EE62589"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To sum up, there are </w:t>
      </w:r>
      <w:proofErr w:type="gramStart"/>
      <w:r w:rsidRPr="5F2C3330">
        <w:rPr>
          <w:rFonts w:ascii="Cambria" w:eastAsia="Cambria" w:hAnsi="Cambria" w:cs="Cambria"/>
          <w:sz w:val="28"/>
          <w:szCs w:val="28"/>
        </w:rPr>
        <w:t>a number of</w:t>
      </w:r>
      <w:proofErr w:type="gramEnd"/>
      <w:r w:rsidRPr="5F2C3330">
        <w:rPr>
          <w:rFonts w:ascii="Cambria" w:eastAsia="Cambria" w:hAnsi="Cambria" w:cs="Cambria"/>
          <w:sz w:val="28"/>
          <w:szCs w:val="28"/>
        </w:rPr>
        <w:t xml:space="preserve"> conclusions that can be drawn and factors that affected our research. Firstly, while collecting data through observation we used a scale based on the Leuven Scale for Involvement. This meant giving each pupil a number from one to five for each task they did. On reflection, this method may be more valid if observation is only being carried out by one person, as I found that the scale of numbers is open to interpretation and relies on one’s opinion. This meant that pupils’ numbers may have been different if the same researcher had observed both lessons, making this method possibly invalid when comparing data. This may have been found before the Lesson Studies if we had done a pilot of the observation pro-forma, something I aim to do in preparation of future Studies. </w:t>
      </w:r>
    </w:p>
    <w:p w14:paraId="466004BF" w14:textId="2AAC0C0A"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Another factor I would aim to change going forward would be my research question complexity as I found the focus of the research ended up being a simpler version of the original question. The title question included the less confident pupil being more engaged in group work; through research we found that the structure of the group work was beneficial for all pupils’ engagement, not just those of seemingly lower confidence. As a result of this, focus turned towards structure of group work as opposed to the confidence levels of pupils who took part. This tells me that my research question focused on too many things, and in future research I will make it simple and to the point. </w:t>
      </w:r>
    </w:p>
    <w:p w14:paraId="1246121A" w14:textId="7A5E3FAB"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Something we changed from the first Lesson Study to the second was the observation pro-forma sheet. This was because I felt that there should be a section for taking notes or to put any additional thoughts or feelings on pupils being observed. Despite this, I think it was not beneficial to the research study as it supplied me with data that was a subjective opinion rather than objective data, and so had no way of comparing to any other data and did not benefit the study as the validity could be questioned.</w:t>
      </w:r>
    </w:p>
    <w:p w14:paraId="21B63CF2" w14:textId="36AE1E25"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Another conscious decision that could be made moving forward would be to use the same age group for Lesson Study as well as the same ability. I think this would make the study more reliable and valid as a more direct comparison </w:t>
      </w:r>
      <w:r w:rsidRPr="5F2C3330">
        <w:rPr>
          <w:rFonts w:ascii="Cambria" w:eastAsia="Cambria" w:hAnsi="Cambria" w:cs="Cambria"/>
          <w:sz w:val="28"/>
          <w:szCs w:val="28"/>
        </w:rPr>
        <w:lastRenderedPageBreak/>
        <w:t xml:space="preserve">could be made between the two. Another factor to consider would be conducting the lesson study in the same subject; Drama is a subject that lends itself to group work because of the nature of the skillset required and because the classroom is a clear space. This may have given the pupils an advantage in comparison to pupils in Lesson Study </w:t>
      </w:r>
      <w:proofErr w:type="gramStart"/>
      <w:r w:rsidRPr="5F2C3330">
        <w:rPr>
          <w:rFonts w:ascii="Cambria" w:eastAsia="Cambria" w:hAnsi="Cambria" w:cs="Cambria"/>
          <w:sz w:val="28"/>
          <w:szCs w:val="28"/>
        </w:rPr>
        <w:t>1, and</w:t>
      </w:r>
      <w:proofErr w:type="gramEnd"/>
      <w:r w:rsidRPr="5F2C3330">
        <w:rPr>
          <w:rFonts w:ascii="Cambria" w:eastAsia="Cambria" w:hAnsi="Cambria" w:cs="Cambria"/>
          <w:sz w:val="28"/>
          <w:szCs w:val="28"/>
        </w:rPr>
        <w:t xml:space="preserve"> may have been another reason why the average scores for Lesson Study 2 were higher for more tasks.</w:t>
      </w:r>
    </w:p>
    <w:p w14:paraId="0EFB0578" w14:textId="3C7C990D"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Taking into consideration the representative sample of pupils picked from each class, my partner and I discussed the differences between sets of pupils as we had picked pupils based on their confidence. We became aware that the scale of confidence from Pupil A to Pupil C compared to Pupil D to Pupil F was a very different scale; Pupil A and Pupil C were highly contrasting in levels of confidence, whereas Pupil D and Pupil F were not as noticeably of different confidence levels. This is also another question of validity as it may not have been a coherent set of representative samples throughout both Lesson Studies.</w:t>
      </w:r>
    </w:p>
    <w:p w14:paraId="34FF55DE" w14:textId="3557FE13"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 xml:space="preserve">In conclusion, despite my research outcome being in line with existing literature, I </w:t>
      </w:r>
      <w:r w:rsidR="00F8124B" w:rsidRPr="5F2C3330">
        <w:rPr>
          <w:rFonts w:ascii="Cambria" w:eastAsia="Cambria" w:hAnsi="Cambria" w:cs="Cambria"/>
          <w:sz w:val="28"/>
          <w:szCs w:val="28"/>
        </w:rPr>
        <w:t>must</w:t>
      </w:r>
      <w:r w:rsidRPr="5F2C3330">
        <w:rPr>
          <w:rFonts w:ascii="Cambria" w:eastAsia="Cambria" w:hAnsi="Cambria" w:cs="Cambria"/>
          <w:sz w:val="28"/>
          <w:szCs w:val="28"/>
        </w:rPr>
        <w:t xml:space="preserve"> question the validity of the research as there were a great number of variables which differed from each Lesson Study, including observer, position of observer and Year group to name a few. This leads me to believe the outcome of the research could be different if carried out with other classes. </w:t>
      </w:r>
    </w:p>
    <w:p w14:paraId="0BBB01A9" w14:textId="3E411BB0" w:rsidR="00F8124B" w:rsidRDefault="00F8124B">
      <w:pPr>
        <w:pStyle w:val="Body"/>
        <w:spacing w:before="120" w:after="120"/>
        <w:rPr>
          <w:rFonts w:ascii="Cambria" w:eastAsia="Cambria" w:hAnsi="Cambria" w:cs="Cambria"/>
          <w:sz w:val="28"/>
          <w:szCs w:val="28"/>
        </w:rPr>
      </w:pPr>
      <w:r>
        <w:rPr>
          <w:rFonts w:ascii="Cambria" w:eastAsia="Cambria" w:hAnsi="Cambria" w:cs="Cambria"/>
          <w:sz w:val="28"/>
          <w:szCs w:val="28"/>
        </w:rPr>
        <w:t>Despite this, it is also important to highlight the importance of this kind of research not only for improving teacher pedagogy but also to help learners feel that they are a part of this process too and in turn can help their own learning process.</w:t>
      </w:r>
    </w:p>
    <w:p w14:paraId="41C8F396" w14:textId="77777777" w:rsidR="007C645F" w:rsidRDefault="007C645F">
      <w:pPr>
        <w:pStyle w:val="Body"/>
        <w:spacing w:before="120" w:after="120"/>
        <w:rPr>
          <w:rFonts w:ascii="Cambria" w:eastAsia="Cambria" w:hAnsi="Cambria" w:cs="Cambria"/>
          <w:b/>
          <w:bCs/>
          <w:sz w:val="28"/>
          <w:szCs w:val="28"/>
          <w:u w:val="single" w:color="000000"/>
        </w:rPr>
      </w:pPr>
    </w:p>
    <w:p w14:paraId="6F18CB14" w14:textId="77777777" w:rsidR="007C645F" w:rsidRDefault="007C645F">
      <w:pPr>
        <w:pStyle w:val="Body"/>
        <w:spacing w:before="120" w:after="120"/>
        <w:rPr>
          <w:rFonts w:ascii="Cambria" w:eastAsia="Cambria" w:hAnsi="Cambria" w:cs="Cambria"/>
          <w:b/>
          <w:bCs/>
          <w:sz w:val="28"/>
          <w:szCs w:val="28"/>
          <w:u w:val="single" w:color="000000"/>
        </w:rPr>
      </w:pPr>
      <w:r>
        <w:rPr>
          <w:rFonts w:ascii="Cambria" w:eastAsia="Cambria" w:hAnsi="Cambria" w:cs="Cambria"/>
          <w:b/>
          <w:bCs/>
          <w:sz w:val="28"/>
          <w:szCs w:val="28"/>
          <w:u w:val="single" w:color="000000"/>
        </w:rPr>
        <w:t>Recommendations</w:t>
      </w:r>
    </w:p>
    <w:p w14:paraId="09A5E633" w14:textId="2F4B56DA" w:rsidR="007C645F" w:rsidRDefault="5F2C3330">
      <w:pPr>
        <w:pStyle w:val="Body"/>
        <w:spacing w:before="120" w:after="120"/>
        <w:rPr>
          <w:rFonts w:ascii="Cambria" w:eastAsia="Cambria" w:hAnsi="Cambria" w:cs="Cambria"/>
          <w:sz w:val="28"/>
          <w:szCs w:val="28"/>
        </w:rPr>
      </w:pPr>
      <w:r w:rsidRPr="5F2C3330">
        <w:rPr>
          <w:rFonts w:ascii="Cambria" w:eastAsia="Cambria" w:hAnsi="Cambria" w:cs="Cambria"/>
          <w:sz w:val="28"/>
          <w:szCs w:val="28"/>
        </w:rPr>
        <w:t>Considering my research, moving forward I would recommend more in-depth planning before taking part in Lesson Study to ensure all steps have been taken to make research data reliable and relevant. Findings from literature like that of Lyons (2012) referred to earlier can be taken forward to ensure pupils get more experience of group work; this would be interesting to see if it affects their attitudes towards group work in general. This will help me by improving my pedagogy in the classroom and continuing to learn.</w:t>
      </w:r>
    </w:p>
    <w:p w14:paraId="217116E0" w14:textId="77777777" w:rsidR="007C645F" w:rsidRDefault="007C645F">
      <w:pPr>
        <w:pStyle w:val="Body"/>
        <w:spacing w:before="120" w:after="120"/>
        <w:rPr>
          <w:rFonts w:ascii="Cambria" w:eastAsia="Cambria" w:hAnsi="Cambria" w:cs="Cambria"/>
          <w:color w:val="9D44B8"/>
          <w:sz w:val="28"/>
          <w:szCs w:val="28"/>
          <w:u w:color="000000"/>
        </w:rPr>
      </w:pPr>
      <w:r>
        <w:rPr>
          <w:rFonts w:ascii="Cambria" w:eastAsia="Cambria" w:hAnsi="Cambria" w:cs="Cambria"/>
          <w:sz w:val="28"/>
          <w:szCs w:val="28"/>
          <w:u w:color="000000"/>
        </w:rPr>
        <w:t xml:space="preserve">If I did lesson study research </w:t>
      </w:r>
      <w:r w:rsidR="004C1F07">
        <w:rPr>
          <w:rFonts w:ascii="Cambria" w:eastAsia="Cambria" w:hAnsi="Cambria" w:cs="Cambria"/>
          <w:sz w:val="28"/>
          <w:szCs w:val="28"/>
          <w:u w:color="000000"/>
        </w:rPr>
        <w:t>again,</w:t>
      </w:r>
      <w:r>
        <w:rPr>
          <w:rFonts w:ascii="Cambria" w:eastAsia="Cambria" w:hAnsi="Cambria" w:cs="Cambria"/>
          <w:sz w:val="28"/>
          <w:szCs w:val="28"/>
          <w:u w:color="000000"/>
        </w:rPr>
        <w:t xml:space="preserve"> I would pilot my observation method to ensure it was the most efficient way of recording data. I would also ensure both classes were of the same subject and key stage to ensure more continuity.</w:t>
      </w:r>
    </w:p>
    <w:p w14:paraId="64224E2B" w14:textId="77777777" w:rsidR="007C645F" w:rsidRDefault="007C645F">
      <w:pPr>
        <w:pStyle w:val="Body"/>
        <w:spacing w:before="120" w:after="120"/>
        <w:rPr>
          <w:rFonts w:ascii="Cambria" w:eastAsia="Cambria" w:hAnsi="Cambria" w:cs="Cambria"/>
          <w:color w:val="9D44B8"/>
          <w:sz w:val="28"/>
          <w:szCs w:val="28"/>
          <w:u w:color="000000"/>
        </w:rPr>
      </w:pPr>
      <w:r>
        <w:rPr>
          <w:rFonts w:ascii="Cambria" w:eastAsia="Cambria" w:hAnsi="Cambria" w:cs="Cambria"/>
          <w:color w:val="9D44B8"/>
          <w:sz w:val="28"/>
          <w:szCs w:val="28"/>
          <w:u w:color="000000"/>
        </w:rPr>
        <w:t></w:t>
      </w:r>
    </w:p>
    <w:p w14:paraId="72A3D3EC" w14:textId="77777777" w:rsidR="007C645F" w:rsidRDefault="007C645F">
      <w:pPr>
        <w:pStyle w:val="Body"/>
        <w:spacing w:before="120" w:after="120"/>
        <w:rPr>
          <w:rFonts w:ascii="Cambria" w:eastAsia="Cambria" w:hAnsi="Cambria" w:cs="Cambria"/>
          <w:sz w:val="28"/>
          <w:szCs w:val="28"/>
          <w:u w:color="000000"/>
        </w:rPr>
      </w:pPr>
    </w:p>
    <w:p w14:paraId="0D0B940D" w14:textId="77777777" w:rsidR="007C645F" w:rsidRDefault="007C645F">
      <w:pPr>
        <w:pStyle w:val="Body"/>
        <w:jc w:val="center"/>
        <w:rPr>
          <w:rFonts w:ascii="Cambria" w:eastAsia="Cambria" w:hAnsi="Cambria" w:cs="Cambria"/>
          <w:color w:val="3C0A49"/>
          <w:u w:val="single"/>
        </w:rPr>
      </w:pPr>
    </w:p>
    <w:p w14:paraId="0E27B00A" w14:textId="77777777" w:rsidR="007C645F" w:rsidRDefault="007C645F">
      <w:pPr>
        <w:pStyle w:val="Body"/>
        <w:jc w:val="center"/>
        <w:rPr>
          <w:rFonts w:ascii="Cambria" w:eastAsia="Cambria" w:hAnsi="Cambria" w:cs="Cambria"/>
          <w:color w:val="3C0A49"/>
          <w:u w:val="single"/>
        </w:rPr>
      </w:pPr>
    </w:p>
    <w:p w14:paraId="60061E4C" w14:textId="77777777" w:rsidR="007C645F" w:rsidRDefault="007C645F">
      <w:pPr>
        <w:pStyle w:val="Body"/>
        <w:jc w:val="center"/>
        <w:rPr>
          <w:rFonts w:ascii="Cambria" w:eastAsia="Cambria" w:hAnsi="Cambria" w:cs="Cambria"/>
          <w:color w:val="3C0A49"/>
          <w:u w:val="single"/>
        </w:rPr>
      </w:pPr>
    </w:p>
    <w:p w14:paraId="5F3BAB00" w14:textId="77777777" w:rsidR="00F8124B" w:rsidRDefault="00F8124B" w:rsidP="00F8124B">
      <w:pPr>
        <w:pStyle w:val="Body"/>
        <w:spacing w:before="120" w:after="120"/>
        <w:rPr>
          <w:rFonts w:ascii="Cambria" w:eastAsia="Cambria" w:hAnsi="Cambria" w:cs="Cambria"/>
          <w:color w:val="3C0A49"/>
          <w:u w:val="single"/>
        </w:rPr>
      </w:pPr>
    </w:p>
    <w:p w14:paraId="6403A368" w14:textId="0F1C165D" w:rsidR="007C645F" w:rsidRDefault="007C645F" w:rsidP="00F8124B">
      <w:pPr>
        <w:pStyle w:val="Body"/>
        <w:spacing w:before="120" w:after="120"/>
        <w:jc w:val="center"/>
        <w:rPr>
          <w:rFonts w:ascii="Cambria" w:eastAsia="Cambria" w:hAnsi="Cambria" w:cs="Cambria"/>
          <w:b/>
          <w:bCs/>
          <w:sz w:val="28"/>
          <w:szCs w:val="28"/>
          <w:u w:val="single" w:color="000000"/>
        </w:rPr>
      </w:pPr>
      <w:r>
        <w:rPr>
          <w:rFonts w:ascii="Cambria" w:eastAsia="Cambria" w:hAnsi="Cambria" w:cs="Cambria"/>
          <w:b/>
          <w:bCs/>
          <w:sz w:val="28"/>
          <w:szCs w:val="28"/>
          <w:u w:val="single" w:color="000000"/>
        </w:rPr>
        <w:lastRenderedPageBreak/>
        <w:t>Reference List</w:t>
      </w:r>
    </w:p>
    <w:p w14:paraId="6BB9E253" w14:textId="77777777" w:rsidR="007C645F" w:rsidRDefault="007C645F">
      <w:pPr>
        <w:pStyle w:val="Body"/>
        <w:spacing w:before="120" w:after="120"/>
        <w:jc w:val="center"/>
        <w:rPr>
          <w:rFonts w:ascii="Cambria" w:eastAsia="Cambria" w:hAnsi="Cambria" w:cs="Cambria"/>
          <w:b/>
          <w:bCs/>
          <w:sz w:val="28"/>
          <w:szCs w:val="28"/>
          <w:u w:val="single" w:color="000000"/>
        </w:rPr>
      </w:pPr>
    </w:p>
    <w:p w14:paraId="6BA5EFBA"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Adair JG (1984) The Hawthorne effect: A reconsideration of the methodological</w:t>
      </w:r>
    </w:p>
    <w:p w14:paraId="6FD3F348"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artifact. Journal of Applied Psychology 69(2): 334-345.</w:t>
      </w:r>
    </w:p>
    <w:p w14:paraId="23DE523C" w14:textId="77777777" w:rsidR="007C645F" w:rsidRDefault="007C645F">
      <w:pPr>
        <w:pStyle w:val="Body"/>
        <w:spacing w:before="120" w:after="120"/>
        <w:rPr>
          <w:rFonts w:ascii="Cambria" w:eastAsia="Cambria" w:hAnsi="Cambria" w:cs="Cambria"/>
          <w:sz w:val="28"/>
          <w:szCs w:val="28"/>
          <w:u w:color="000000"/>
        </w:rPr>
      </w:pPr>
    </w:p>
    <w:p w14:paraId="459EFF15"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 xml:space="preserve">British Educational Research Association (BERA) (2018) Ethical guidelines for educational research. 4th </w:t>
      </w:r>
      <w:proofErr w:type="spellStart"/>
      <w:r>
        <w:rPr>
          <w:rFonts w:ascii="Cambria" w:eastAsia="Cambria" w:hAnsi="Cambria" w:cs="Cambria"/>
          <w:sz w:val="28"/>
          <w:szCs w:val="28"/>
          <w:u w:color="000000"/>
        </w:rPr>
        <w:t>edn</w:t>
      </w:r>
      <w:proofErr w:type="spellEnd"/>
      <w:r>
        <w:rPr>
          <w:rFonts w:ascii="Cambria" w:eastAsia="Cambria" w:hAnsi="Cambria" w:cs="Cambria"/>
          <w:sz w:val="28"/>
          <w:szCs w:val="28"/>
          <w:u w:color="000000"/>
        </w:rPr>
        <w:t>. Available at: https://www.bera.ac.uk/researchers-resources/publications/ethical-guidelines-for-educational-research-2018 (Accessed: 10 Feb 2019).</w:t>
      </w:r>
    </w:p>
    <w:p w14:paraId="52E56223" w14:textId="77777777" w:rsidR="007C645F" w:rsidRDefault="007C645F">
      <w:pPr>
        <w:pStyle w:val="Body"/>
        <w:spacing w:before="120" w:after="120"/>
        <w:rPr>
          <w:rFonts w:ascii="Cambria" w:eastAsia="Cambria" w:hAnsi="Cambria" w:cs="Cambria"/>
          <w:sz w:val="28"/>
          <w:szCs w:val="28"/>
          <w:u w:color="000000"/>
        </w:rPr>
      </w:pPr>
    </w:p>
    <w:p w14:paraId="3D9F87E7"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Brookfield, S., 1995. Becoming a critically reflective teacher, San Francisco: Jossey-Bass.</w:t>
      </w:r>
    </w:p>
    <w:p w14:paraId="07547A01" w14:textId="77777777" w:rsidR="007C645F" w:rsidRDefault="007C645F">
      <w:pPr>
        <w:pStyle w:val="Body"/>
        <w:spacing w:before="120" w:after="120"/>
        <w:jc w:val="center"/>
        <w:rPr>
          <w:rFonts w:ascii="Cambria" w:eastAsia="Cambria" w:hAnsi="Cambria" w:cs="Cambria"/>
          <w:b/>
          <w:bCs/>
          <w:sz w:val="28"/>
          <w:szCs w:val="28"/>
          <w:u w:val="single" w:color="000000"/>
        </w:rPr>
      </w:pPr>
    </w:p>
    <w:p w14:paraId="675E544C" w14:textId="762BA13E"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 xml:space="preserve">Burton, Sheila, 2006. ‘Over </w:t>
      </w:r>
      <w:proofErr w:type="gramStart"/>
      <w:r>
        <w:rPr>
          <w:rFonts w:ascii="Cambria" w:eastAsia="Cambria" w:hAnsi="Cambria" w:cs="Cambria"/>
          <w:sz w:val="28"/>
          <w:szCs w:val="28"/>
          <w:u w:color="000000"/>
        </w:rPr>
        <w:t>To</w:t>
      </w:r>
      <w:proofErr w:type="gramEnd"/>
      <w:r>
        <w:rPr>
          <w:rFonts w:ascii="Cambria" w:eastAsia="Cambria" w:hAnsi="Cambria" w:cs="Cambria"/>
          <w:sz w:val="28"/>
          <w:szCs w:val="28"/>
          <w:u w:color="000000"/>
        </w:rPr>
        <w:t xml:space="preserve"> You’: Group work to help pupils avoid school exclusion. Educational Psychology in Practice, 22(3), pp.215–236</w:t>
      </w:r>
    </w:p>
    <w:p w14:paraId="02D5CA21" w14:textId="5EB7F82D" w:rsidR="00F8124B" w:rsidRDefault="00F8124B">
      <w:pPr>
        <w:pStyle w:val="Body"/>
        <w:spacing w:before="120" w:after="120"/>
        <w:rPr>
          <w:rFonts w:ascii="Cambria" w:eastAsia="Cambria" w:hAnsi="Cambria" w:cs="Cambria"/>
          <w:sz w:val="28"/>
          <w:szCs w:val="28"/>
          <w:u w:color="000000"/>
        </w:rPr>
      </w:pPr>
    </w:p>
    <w:p w14:paraId="52B8CC49" w14:textId="4BEC501C" w:rsidR="00F8124B" w:rsidRDefault="00F8124B">
      <w:pPr>
        <w:pStyle w:val="Body"/>
        <w:spacing w:before="120" w:after="120"/>
        <w:rPr>
          <w:rFonts w:ascii="Cambria" w:eastAsia="Cambria" w:hAnsi="Cambria" w:cs="Cambria"/>
          <w:sz w:val="28"/>
          <w:szCs w:val="28"/>
          <w:u w:color="000000"/>
        </w:rPr>
      </w:pPr>
      <w:r w:rsidRPr="00F8124B">
        <w:rPr>
          <w:rFonts w:ascii="Cambria" w:eastAsia="Cambria" w:hAnsi="Cambria" w:cs="Cambria"/>
          <w:sz w:val="28"/>
          <w:szCs w:val="28"/>
          <w:u w:color="000000"/>
        </w:rPr>
        <w:t xml:space="preserve">Professor Graham Donaldson. (2015). </w:t>
      </w:r>
      <w:r w:rsidRPr="00F8124B">
        <w:rPr>
          <w:rFonts w:ascii="Cambria" w:eastAsia="Cambria" w:hAnsi="Cambria" w:cs="Cambria"/>
          <w:sz w:val="28"/>
          <w:szCs w:val="28"/>
          <w:u w:color="000000"/>
        </w:rPr>
        <w:t>Successful</w:t>
      </w:r>
      <w:r w:rsidRPr="00F8124B">
        <w:rPr>
          <w:rFonts w:ascii="Cambria" w:eastAsia="Cambria" w:hAnsi="Cambria" w:cs="Cambria"/>
          <w:sz w:val="28"/>
          <w:szCs w:val="28"/>
          <w:u w:color="000000"/>
        </w:rPr>
        <w:t xml:space="preserve"> Futures. Available: https://gov.wales/sites/default/files/publications/2018-03/succesful-futures-a-summary-of-professor-graham-donaldsons-report.pdf. Last accessed 20th Feb 202</w:t>
      </w:r>
      <w:r>
        <w:rPr>
          <w:rFonts w:ascii="Cambria" w:eastAsia="Cambria" w:hAnsi="Cambria" w:cs="Cambria"/>
          <w:sz w:val="28"/>
          <w:szCs w:val="28"/>
          <w:u w:color="000000"/>
        </w:rPr>
        <w:t>0</w:t>
      </w:r>
    </w:p>
    <w:p w14:paraId="5043CB0F" w14:textId="77777777" w:rsidR="007C645F" w:rsidRDefault="007C645F">
      <w:pPr>
        <w:pStyle w:val="Body"/>
        <w:spacing w:before="120" w:after="120"/>
        <w:rPr>
          <w:rFonts w:ascii="Cambria" w:eastAsia="Cambria" w:hAnsi="Cambria" w:cs="Cambria"/>
          <w:sz w:val="28"/>
          <w:szCs w:val="28"/>
          <w:u w:color="000000"/>
        </w:rPr>
      </w:pPr>
    </w:p>
    <w:p w14:paraId="32C43EBA" w14:textId="77777777" w:rsidR="007C645F" w:rsidRDefault="00DA20E0">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 xml:space="preserve">Ed </w:t>
      </w:r>
      <w:r w:rsidR="007C645F">
        <w:rPr>
          <w:rFonts w:ascii="Cambria" w:eastAsia="Cambria" w:hAnsi="Cambria" w:cs="Cambria"/>
          <w:sz w:val="28"/>
          <w:szCs w:val="28"/>
          <w:u w:color="000000"/>
        </w:rPr>
        <w:t>B</w:t>
      </w:r>
      <w:r>
        <w:rPr>
          <w:rFonts w:ascii="Cambria" w:eastAsia="Cambria" w:hAnsi="Cambria" w:cs="Cambria"/>
          <w:sz w:val="28"/>
          <w:szCs w:val="28"/>
          <w:u w:color="000000"/>
        </w:rPr>
        <w:t>aines</w:t>
      </w:r>
      <w:r w:rsidR="007C645F">
        <w:rPr>
          <w:rFonts w:ascii="Cambria" w:eastAsia="Cambria" w:hAnsi="Cambria" w:cs="Cambria"/>
          <w:sz w:val="28"/>
          <w:szCs w:val="28"/>
          <w:u w:color="000000"/>
        </w:rPr>
        <w:t>, P</w:t>
      </w:r>
      <w:r>
        <w:rPr>
          <w:rFonts w:ascii="Cambria" w:eastAsia="Cambria" w:hAnsi="Cambria" w:cs="Cambria"/>
          <w:sz w:val="28"/>
          <w:szCs w:val="28"/>
          <w:u w:color="000000"/>
        </w:rPr>
        <w:t>eter</w:t>
      </w:r>
      <w:r w:rsidR="007C645F">
        <w:rPr>
          <w:rFonts w:ascii="Cambria" w:eastAsia="Cambria" w:hAnsi="Cambria" w:cs="Cambria"/>
          <w:sz w:val="28"/>
          <w:szCs w:val="28"/>
          <w:u w:color="000000"/>
        </w:rPr>
        <w:t xml:space="preserve"> B</w:t>
      </w:r>
      <w:r>
        <w:rPr>
          <w:rFonts w:ascii="Cambria" w:eastAsia="Cambria" w:hAnsi="Cambria" w:cs="Cambria"/>
          <w:sz w:val="28"/>
          <w:szCs w:val="28"/>
          <w:u w:color="000000"/>
        </w:rPr>
        <w:t>latchford</w:t>
      </w:r>
      <w:r w:rsidR="007C645F">
        <w:rPr>
          <w:rFonts w:ascii="Cambria" w:eastAsia="Cambria" w:hAnsi="Cambria" w:cs="Cambria"/>
          <w:sz w:val="28"/>
          <w:szCs w:val="28"/>
          <w:u w:color="000000"/>
        </w:rPr>
        <w:t xml:space="preserve"> </w:t>
      </w:r>
      <w:r>
        <w:rPr>
          <w:rFonts w:ascii="Cambria" w:eastAsia="Cambria" w:hAnsi="Cambria" w:cs="Cambria"/>
          <w:sz w:val="28"/>
          <w:szCs w:val="28"/>
          <w:u w:color="000000"/>
        </w:rPr>
        <w:t>and</w:t>
      </w:r>
      <w:r w:rsidR="007C645F">
        <w:rPr>
          <w:rFonts w:ascii="Cambria" w:eastAsia="Cambria" w:hAnsi="Cambria" w:cs="Cambria"/>
          <w:sz w:val="28"/>
          <w:szCs w:val="28"/>
          <w:u w:color="000000"/>
        </w:rPr>
        <w:t xml:space="preserve"> P</w:t>
      </w:r>
      <w:r>
        <w:rPr>
          <w:rFonts w:ascii="Cambria" w:eastAsia="Cambria" w:hAnsi="Cambria" w:cs="Cambria"/>
          <w:sz w:val="28"/>
          <w:szCs w:val="28"/>
          <w:u w:color="000000"/>
        </w:rPr>
        <w:t>eter</w:t>
      </w:r>
      <w:r w:rsidR="007C645F">
        <w:rPr>
          <w:rFonts w:ascii="Cambria" w:eastAsia="Cambria" w:hAnsi="Cambria" w:cs="Cambria"/>
          <w:sz w:val="28"/>
          <w:szCs w:val="28"/>
          <w:u w:color="000000"/>
        </w:rPr>
        <w:t xml:space="preserve"> </w:t>
      </w:r>
      <w:proofErr w:type="spellStart"/>
      <w:r w:rsidR="007C645F">
        <w:rPr>
          <w:rFonts w:ascii="Cambria" w:eastAsia="Cambria" w:hAnsi="Cambria" w:cs="Cambria"/>
          <w:sz w:val="28"/>
          <w:szCs w:val="28"/>
          <w:u w:color="000000"/>
        </w:rPr>
        <w:t>K</w:t>
      </w:r>
      <w:r>
        <w:rPr>
          <w:rFonts w:ascii="Cambria" w:eastAsia="Cambria" w:hAnsi="Cambria" w:cs="Cambria"/>
          <w:sz w:val="28"/>
          <w:szCs w:val="28"/>
          <w:u w:color="000000"/>
        </w:rPr>
        <w:t>utnick</w:t>
      </w:r>
      <w:proofErr w:type="spellEnd"/>
      <w:r w:rsidR="007C645F">
        <w:rPr>
          <w:rFonts w:ascii="Cambria" w:eastAsia="Cambria" w:hAnsi="Cambria" w:cs="Cambria"/>
          <w:sz w:val="28"/>
          <w:szCs w:val="28"/>
          <w:u w:color="000000"/>
        </w:rPr>
        <w:t xml:space="preserve"> </w:t>
      </w:r>
      <w:r>
        <w:rPr>
          <w:rFonts w:ascii="Cambria" w:eastAsia="Cambria" w:hAnsi="Cambria" w:cs="Cambria"/>
          <w:sz w:val="28"/>
          <w:szCs w:val="28"/>
          <w:u w:color="000000"/>
        </w:rPr>
        <w:t xml:space="preserve">with </w:t>
      </w:r>
      <w:r w:rsidR="007C645F">
        <w:rPr>
          <w:rFonts w:ascii="Cambria" w:eastAsia="Cambria" w:hAnsi="Cambria" w:cs="Cambria"/>
          <w:sz w:val="28"/>
          <w:szCs w:val="28"/>
          <w:u w:color="000000"/>
        </w:rPr>
        <w:t>A</w:t>
      </w:r>
      <w:r>
        <w:rPr>
          <w:rFonts w:ascii="Cambria" w:eastAsia="Cambria" w:hAnsi="Cambria" w:cs="Cambria"/>
          <w:sz w:val="28"/>
          <w:szCs w:val="28"/>
          <w:u w:color="000000"/>
        </w:rPr>
        <w:t>nne</w:t>
      </w:r>
      <w:r w:rsidR="007C645F">
        <w:rPr>
          <w:rFonts w:ascii="Cambria" w:eastAsia="Cambria" w:hAnsi="Cambria" w:cs="Cambria"/>
          <w:sz w:val="28"/>
          <w:szCs w:val="28"/>
          <w:u w:color="000000"/>
        </w:rPr>
        <w:t xml:space="preserve"> </w:t>
      </w:r>
      <w:proofErr w:type="spellStart"/>
      <w:proofErr w:type="gramStart"/>
      <w:r w:rsidR="007C645F">
        <w:rPr>
          <w:rFonts w:ascii="Cambria" w:eastAsia="Cambria" w:hAnsi="Cambria" w:cs="Cambria"/>
          <w:sz w:val="28"/>
          <w:szCs w:val="28"/>
          <w:u w:color="000000"/>
        </w:rPr>
        <w:t>C</w:t>
      </w:r>
      <w:r>
        <w:rPr>
          <w:rFonts w:ascii="Cambria" w:eastAsia="Cambria" w:hAnsi="Cambria" w:cs="Cambria"/>
          <w:sz w:val="28"/>
          <w:szCs w:val="28"/>
          <w:u w:color="000000"/>
        </w:rPr>
        <w:t>howne</w:t>
      </w:r>
      <w:r w:rsidR="007C645F">
        <w:rPr>
          <w:rFonts w:ascii="Cambria" w:eastAsia="Cambria" w:hAnsi="Cambria" w:cs="Cambria"/>
          <w:sz w:val="28"/>
          <w:szCs w:val="28"/>
          <w:u w:color="000000"/>
        </w:rPr>
        <w:t>,C</w:t>
      </w:r>
      <w:r>
        <w:rPr>
          <w:rFonts w:ascii="Cambria" w:eastAsia="Cambria" w:hAnsi="Cambria" w:cs="Cambria"/>
          <w:sz w:val="28"/>
          <w:szCs w:val="28"/>
          <w:u w:color="000000"/>
        </w:rPr>
        <w:t>athy</w:t>
      </w:r>
      <w:proofErr w:type="spellEnd"/>
      <w:proofErr w:type="gramEnd"/>
      <w:r w:rsidR="007C645F">
        <w:rPr>
          <w:rFonts w:ascii="Cambria" w:eastAsia="Cambria" w:hAnsi="Cambria" w:cs="Cambria"/>
          <w:sz w:val="28"/>
          <w:szCs w:val="28"/>
          <w:u w:color="000000"/>
        </w:rPr>
        <w:t xml:space="preserve"> O</w:t>
      </w:r>
      <w:r>
        <w:rPr>
          <w:rFonts w:ascii="Cambria" w:eastAsia="Cambria" w:hAnsi="Cambria" w:cs="Cambria"/>
          <w:sz w:val="28"/>
          <w:szCs w:val="28"/>
          <w:u w:color="000000"/>
        </w:rPr>
        <w:t>ta</w:t>
      </w:r>
      <w:r w:rsidR="007C645F">
        <w:rPr>
          <w:rFonts w:ascii="Cambria" w:eastAsia="Cambria" w:hAnsi="Cambria" w:cs="Cambria"/>
          <w:sz w:val="28"/>
          <w:szCs w:val="28"/>
          <w:u w:color="000000"/>
        </w:rPr>
        <w:t xml:space="preserve"> </w:t>
      </w:r>
      <w:r>
        <w:rPr>
          <w:rFonts w:ascii="Cambria" w:eastAsia="Cambria" w:hAnsi="Cambria" w:cs="Cambria"/>
          <w:sz w:val="28"/>
          <w:szCs w:val="28"/>
          <w:u w:color="000000"/>
        </w:rPr>
        <w:t>and</w:t>
      </w:r>
      <w:r w:rsidR="007C645F">
        <w:rPr>
          <w:rFonts w:ascii="Cambria" w:eastAsia="Cambria" w:hAnsi="Cambria" w:cs="Cambria"/>
          <w:sz w:val="28"/>
          <w:szCs w:val="28"/>
          <w:u w:color="000000"/>
        </w:rPr>
        <w:t xml:space="preserve"> L</w:t>
      </w:r>
      <w:r>
        <w:rPr>
          <w:rFonts w:ascii="Cambria" w:eastAsia="Cambria" w:hAnsi="Cambria" w:cs="Cambria"/>
          <w:sz w:val="28"/>
          <w:szCs w:val="28"/>
          <w:u w:color="000000"/>
        </w:rPr>
        <w:t>ucia</w:t>
      </w:r>
      <w:r w:rsidR="007C645F">
        <w:rPr>
          <w:rFonts w:ascii="Cambria" w:eastAsia="Cambria" w:hAnsi="Cambria" w:cs="Cambria"/>
          <w:sz w:val="28"/>
          <w:szCs w:val="28"/>
          <w:u w:color="000000"/>
        </w:rPr>
        <w:t xml:space="preserve"> </w:t>
      </w:r>
      <w:proofErr w:type="spellStart"/>
      <w:r w:rsidR="007C645F">
        <w:rPr>
          <w:rFonts w:ascii="Cambria" w:eastAsia="Cambria" w:hAnsi="Cambria" w:cs="Cambria"/>
          <w:sz w:val="28"/>
          <w:szCs w:val="28"/>
          <w:u w:color="000000"/>
        </w:rPr>
        <w:t>B</w:t>
      </w:r>
      <w:r>
        <w:rPr>
          <w:rFonts w:ascii="Cambria" w:eastAsia="Cambria" w:hAnsi="Cambria" w:cs="Cambria"/>
          <w:sz w:val="28"/>
          <w:szCs w:val="28"/>
          <w:u w:color="000000"/>
        </w:rPr>
        <w:t>erdondini</w:t>
      </w:r>
      <w:proofErr w:type="spellEnd"/>
      <w:r w:rsidR="007C645F">
        <w:rPr>
          <w:rFonts w:ascii="Cambria" w:eastAsia="Cambria" w:hAnsi="Cambria" w:cs="Cambria"/>
          <w:sz w:val="28"/>
          <w:szCs w:val="28"/>
          <w:u w:color="000000"/>
        </w:rPr>
        <w:t>., 2008. Promoting Effective Group Work in the Primary Classroom. Routledge Ltd</w:t>
      </w:r>
    </w:p>
    <w:p w14:paraId="07459315" w14:textId="77777777" w:rsidR="007C645F" w:rsidRDefault="007C645F">
      <w:pPr>
        <w:pStyle w:val="Body"/>
        <w:spacing w:before="120" w:after="120"/>
        <w:rPr>
          <w:rFonts w:ascii="Cambria" w:eastAsia="Cambria" w:hAnsi="Cambria" w:cs="Cambria"/>
          <w:sz w:val="28"/>
          <w:szCs w:val="28"/>
          <w:u w:color="000000"/>
        </w:rPr>
      </w:pPr>
    </w:p>
    <w:p w14:paraId="460FDACD"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 xml:space="preserve">Gibbs, G. &amp; Great Britain. Further Education Unit, 1988. Learning by </w:t>
      </w:r>
      <w:r w:rsidR="004C1F07">
        <w:rPr>
          <w:rFonts w:ascii="Cambria" w:eastAsia="Cambria" w:hAnsi="Cambria" w:cs="Cambria"/>
          <w:sz w:val="28"/>
          <w:szCs w:val="28"/>
          <w:u w:color="000000"/>
        </w:rPr>
        <w:t>doing:</w:t>
      </w:r>
      <w:r>
        <w:rPr>
          <w:rFonts w:ascii="Cambria" w:eastAsia="Cambria" w:hAnsi="Cambria" w:cs="Cambria"/>
          <w:sz w:val="28"/>
          <w:szCs w:val="28"/>
          <w:u w:color="000000"/>
        </w:rPr>
        <w:t xml:space="preserve"> a guide to teaching and learning methods, London: FEU.</w:t>
      </w:r>
    </w:p>
    <w:p w14:paraId="6537F28F" w14:textId="77777777" w:rsidR="007C645F" w:rsidRDefault="007C645F">
      <w:pPr>
        <w:pStyle w:val="Body"/>
        <w:spacing w:before="120" w:after="120"/>
        <w:jc w:val="center"/>
        <w:rPr>
          <w:rFonts w:ascii="Cambria" w:eastAsia="Cambria" w:hAnsi="Cambria" w:cs="Cambria"/>
          <w:b/>
          <w:bCs/>
          <w:sz w:val="28"/>
          <w:szCs w:val="28"/>
          <w:u w:val="single" w:color="000000"/>
        </w:rPr>
      </w:pPr>
    </w:p>
    <w:p w14:paraId="040538F4"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Healy, Margaret, 2018. Cooperative learning outcomes from cumulative experiences of group work: differences in student perceptions. Accounting Education, 27(3), pp.286–309.</w:t>
      </w:r>
    </w:p>
    <w:p w14:paraId="6DFB9E20" w14:textId="77777777" w:rsidR="007C645F" w:rsidRDefault="007C645F">
      <w:pPr>
        <w:pStyle w:val="Body"/>
        <w:spacing w:before="120" w:after="120"/>
        <w:rPr>
          <w:rFonts w:ascii="Cambria" w:eastAsia="Cambria" w:hAnsi="Cambria" w:cs="Cambria"/>
          <w:sz w:val="28"/>
          <w:szCs w:val="28"/>
          <w:u w:color="000000"/>
        </w:rPr>
      </w:pPr>
    </w:p>
    <w:p w14:paraId="22597575"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Howe, C., 2009. Collaborative Group Work in Middle Childhood. Human Development, 52(4), pp.215–239.</w:t>
      </w:r>
    </w:p>
    <w:p w14:paraId="70DF9E56" w14:textId="77777777" w:rsidR="007C645F" w:rsidRDefault="007C645F">
      <w:pPr>
        <w:pStyle w:val="Body"/>
        <w:spacing w:before="120" w:after="120"/>
        <w:rPr>
          <w:rFonts w:ascii="Cambria" w:eastAsia="Cambria" w:hAnsi="Cambria" w:cs="Cambria"/>
          <w:sz w:val="28"/>
          <w:szCs w:val="28"/>
          <w:u w:color="000000"/>
        </w:rPr>
      </w:pPr>
    </w:p>
    <w:p w14:paraId="575B963A"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lastRenderedPageBreak/>
        <w:t>Jimmy Richards. (2016). Structured V Unstructured, Cooperation V Collaboration. Available: http://thinkspace.csu.edu.au/thoughtsandtheories/2016/01/30/structured-v-unstructured-cooperation-v-collaboration/. Last accessed 12th Feb 2020.</w:t>
      </w:r>
    </w:p>
    <w:p w14:paraId="44E871BC" w14:textId="77777777" w:rsidR="007C645F" w:rsidRDefault="007C645F">
      <w:pPr>
        <w:pStyle w:val="Body"/>
        <w:spacing w:before="120" w:after="120"/>
        <w:rPr>
          <w:rFonts w:ascii="Cambria" w:eastAsia="Cambria" w:hAnsi="Cambria" w:cs="Cambria"/>
          <w:sz w:val="28"/>
          <w:szCs w:val="28"/>
          <w:u w:color="000000"/>
        </w:rPr>
      </w:pPr>
    </w:p>
    <w:p w14:paraId="5B3B60AB"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 xml:space="preserve">Katherine Lewis. (2019). </w:t>
      </w:r>
      <w:proofErr w:type="spellStart"/>
      <w:r>
        <w:rPr>
          <w:rFonts w:ascii="Cambria" w:eastAsia="Cambria" w:hAnsi="Cambria" w:cs="Cambria"/>
          <w:sz w:val="28"/>
          <w:szCs w:val="28"/>
          <w:u w:color="000000"/>
        </w:rPr>
        <w:t>Ferre</w:t>
      </w:r>
      <w:proofErr w:type="spellEnd"/>
      <w:r>
        <w:rPr>
          <w:rFonts w:ascii="Cambria" w:eastAsia="Cambria" w:hAnsi="Cambria" w:cs="Cambria"/>
          <w:sz w:val="28"/>
          <w:szCs w:val="28"/>
          <w:u w:color="000000"/>
        </w:rPr>
        <w:t xml:space="preserve"> </w:t>
      </w:r>
      <w:proofErr w:type="spellStart"/>
      <w:r>
        <w:rPr>
          <w:rFonts w:ascii="Cambria" w:eastAsia="Cambria" w:hAnsi="Cambria" w:cs="Cambria"/>
          <w:sz w:val="28"/>
          <w:szCs w:val="28"/>
          <w:u w:color="000000"/>
        </w:rPr>
        <w:t>Laevers</w:t>
      </w:r>
      <w:proofErr w:type="spellEnd"/>
      <w:r>
        <w:rPr>
          <w:rFonts w:ascii="Cambria" w:eastAsia="Cambria" w:hAnsi="Cambria" w:cs="Cambria"/>
          <w:sz w:val="28"/>
          <w:szCs w:val="28"/>
          <w:u w:color="000000"/>
        </w:rPr>
        <w:t xml:space="preserve"> emotional </w:t>
      </w:r>
      <w:r w:rsidR="00DA20E0">
        <w:rPr>
          <w:rFonts w:ascii="Cambria" w:eastAsia="Cambria" w:hAnsi="Cambria" w:cs="Cambria"/>
          <w:sz w:val="28"/>
          <w:szCs w:val="28"/>
          <w:u w:color="000000"/>
        </w:rPr>
        <w:t>wellbeing</w:t>
      </w:r>
      <w:r>
        <w:rPr>
          <w:rFonts w:ascii="Cambria" w:eastAsia="Cambria" w:hAnsi="Cambria" w:cs="Cambria"/>
          <w:sz w:val="28"/>
          <w:szCs w:val="28"/>
          <w:u w:color="000000"/>
        </w:rPr>
        <w:t xml:space="preserve"> and involvement scales. Available: https://www.earlylearninghq.org.uk/earlylearninghq-blog/the-leuven-well-being-and-involvement-scales/. Last accessed 12th Feb 2020.</w:t>
      </w:r>
    </w:p>
    <w:p w14:paraId="144A5D23" w14:textId="77777777" w:rsidR="007C645F" w:rsidRDefault="007C645F">
      <w:pPr>
        <w:pStyle w:val="Body"/>
        <w:spacing w:before="120" w:after="120"/>
        <w:rPr>
          <w:rFonts w:ascii="Cambria" w:eastAsia="Cambria" w:hAnsi="Cambria" w:cs="Cambria"/>
          <w:sz w:val="28"/>
          <w:szCs w:val="28"/>
          <w:u w:color="000000"/>
        </w:rPr>
      </w:pPr>
    </w:p>
    <w:p w14:paraId="27BFEAED"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 xml:space="preserve">Kubota, Kohei, 2019. Long-term consequences of group work in Japanese public elementary schools. Japan &amp; the World Economy, 52, </w:t>
      </w:r>
      <w:proofErr w:type="spellStart"/>
      <w:r>
        <w:rPr>
          <w:rFonts w:ascii="Cambria" w:eastAsia="Cambria" w:hAnsi="Cambria" w:cs="Cambria"/>
          <w:sz w:val="28"/>
          <w:szCs w:val="28"/>
          <w:u w:color="000000"/>
        </w:rPr>
        <w:t>p.N.PAG</w:t>
      </w:r>
      <w:proofErr w:type="spellEnd"/>
      <w:r>
        <w:rPr>
          <w:rFonts w:ascii="Cambria" w:eastAsia="Cambria" w:hAnsi="Cambria" w:cs="Cambria"/>
          <w:sz w:val="28"/>
          <w:szCs w:val="28"/>
          <w:u w:color="000000"/>
        </w:rPr>
        <w:t>.</w:t>
      </w:r>
    </w:p>
    <w:p w14:paraId="738610EB" w14:textId="77777777" w:rsidR="007C645F" w:rsidRDefault="007C645F">
      <w:pPr>
        <w:pStyle w:val="Body"/>
        <w:spacing w:before="120" w:after="120"/>
        <w:rPr>
          <w:rFonts w:ascii="Cambria" w:eastAsia="Cambria" w:hAnsi="Cambria" w:cs="Cambria"/>
          <w:sz w:val="28"/>
          <w:szCs w:val="28"/>
          <w:u w:color="000000"/>
        </w:rPr>
      </w:pPr>
    </w:p>
    <w:p w14:paraId="7DD91621"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Liu, Ming-Chi, 2018. Effects of individual versus group work on learner autonomy and emotion in digital storytelling. Educational Technology Research &amp; Development, 66(4), pp.1009–1029.</w:t>
      </w:r>
    </w:p>
    <w:p w14:paraId="637805D2" w14:textId="77777777" w:rsidR="007C645F" w:rsidRDefault="007C645F">
      <w:pPr>
        <w:pStyle w:val="Body"/>
        <w:spacing w:before="120" w:after="120"/>
        <w:rPr>
          <w:rFonts w:ascii="Cambria" w:eastAsia="Cambria" w:hAnsi="Cambria" w:cs="Cambria"/>
          <w:sz w:val="28"/>
          <w:szCs w:val="28"/>
          <w:u w:color="000000"/>
        </w:rPr>
      </w:pPr>
    </w:p>
    <w:p w14:paraId="7E00C2E3"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Lyons, Rachel, 2012. Effective transition to secondary school for shy, less confident children: A case study using 'Pyramid' group work.,</w:t>
      </w:r>
    </w:p>
    <w:p w14:paraId="463F29E8" w14:textId="77777777" w:rsidR="007C645F" w:rsidRDefault="007C645F">
      <w:pPr>
        <w:pStyle w:val="Body"/>
        <w:spacing w:before="120" w:after="120"/>
        <w:jc w:val="center"/>
        <w:rPr>
          <w:rFonts w:ascii="Cambria" w:eastAsia="Cambria" w:hAnsi="Cambria" w:cs="Cambria"/>
          <w:b/>
          <w:bCs/>
          <w:sz w:val="28"/>
          <w:szCs w:val="28"/>
          <w:u w:val="single" w:color="000000"/>
        </w:rPr>
      </w:pPr>
    </w:p>
    <w:p w14:paraId="696C3461"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Tuckman, Bruce W., 1965. Developmental sequence in small groups. Psychological Bulletin, 63(6), pp.384–400.</w:t>
      </w:r>
    </w:p>
    <w:p w14:paraId="3B7B4B86" w14:textId="77777777" w:rsidR="007C645F" w:rsidRDefault="007C645F">
      <w:pPr>
        <w:pStyle w:val="Body"/>
        <w:spacing w:before="120" w:after="120"/>
        <w:rPr>
          <w:rFonts w:ascii="Cambria" w:eastAsia="Cambria" w:hAnsi="Cambria" w:cs="Cambria"/>
          <w:sz w:val="28"/>
          <w:szCs w:val="28"/>
          <w:u w:color="000000"/>
        </w:rPr>
      </w:pPr>
    </w:p>
    <w:p w14:paraId="7667E0C6" w14:textId="77777777" w:rsidR="007C645F" w:rsidRDefault="007C645F">
      <w:pPr>
        <w:pStyle w:val="Body"/>
        <w:spacing w:before="120" w:after="120"/>
        <w:rPr>
          <w:rFonts w:ascii="Cambria" w:eastAsia="Cambria" w:hAnsi="Cambria" w:cs="Cambria"/>
          <w:sz w:val="28"/>
          <w:szCs w:val="28"/>
          <w:u w:color="000000"/>
        </w:rPr>
      </w:pPr>
      <w:r>
        <w:rPr>
          <w:rFonts w:ascii="Cambria" w:eastAsia="Cambria" w:hAnsi="Cambria" w:cs="Cambria"/>
          <w:sz w:val="28"/>
          <w:szCs w:val="28"/>
          <w:u w:color="000000"/>
        </w:rPr>
        <w:t>University of Wales Trinity St David. (2017). Research Ethics &amp; Integrity Code of Practice. Available: https://www.uwtsd.ac.uk/research/research-ethics/. Last accessed 12th Feb 2020.</w:t>
      </w:r>
    </w:p>
    <w:p w14:paraId="3A0FF5F2" w14:textId="77777777" w:rsidR="007C645F" w:rsidRDefault="007C645F">
      <w:pPr>
        <w:pStyle w:val="Body"/>
        <w:spacing w:before="120" w:after="120"/>
        <w:rPr>
          <w:rFonts w:ascii="Cambria" w:eastAsia="Cambria" w:hAnsi="Cambria" w:cs="Cambria"/>
          <w:sz w:val="28"/>
          <w:szCs w:val="28"/>
          <w:u w:color="000000"/>
        </w:rPr>
      </w:pPr>
    </w:p>
    <w:p w14:paraId="2CE36AB0" w14:textId="77777777" w:rsidR="007C645F" w:rsidRDefault="007C645F">
      <w:pPr>
        <w:pStyle w:val="Body"/>
        <w:spacing w:before="120" w:after="120"/>
        <w:rPr>
          <w:rFonts w:ascii="Cambria" w:eastAsia="Cambria" w:hAnsi="Cambria" w:cs="Cambria"/>
          <w:sz w:val="28"/>
          <w:szCs w:val="28"/>
          <w:u w:color="000000"/>
        </w:rPr>
      </w:pPr>
      <w:proofErr w:type="spellStart"/>
      <w:r>
        <w:rPr>
          <w:rFonts w:ascii="Cambria" w:eastAsia="Cambria" w:hAnsi="Cambria" w:cs="Cambria"/>
          <w:sz w:val="28"/>
          <w:szCs w:val="28"/>
          <w:u w:color="000000"/>
        </w:rPr>
        <w:t>Westergaard</w:t>
      </w:r>
      <w:proofErr w:type="spellEnd"/>
      <w:r>
        <w:rPr>
          <w:rFonts w:ascii="Cambria" w:eastAsia="Cambria" w:hAnsi="Cambria" w:cs="Cambria"/>
          <w:sz w:val="28"/>
          <w:szCs w:val="28"/>
          <w:u w:color="000000"/>
        </w:rPr>
        <w:t>, J., 2009. Effective group work with young people, Maidenhead, England: Open University Press.</w:t>
      </w:r>
    </w:p>
    <w:p w14:paraId="5630AD66" w14:textId="77777777" w:rsidR="007C645F" w:rsidRDefault="007C645F">
      <w:pPr>
        <w:pStyle w:val="Body"/>
        <w:spacing w:before="120" w:after="120"/>
        <w:rPr>
          <w:rFonts w:ascii="Cambria" w:eastAsia="Cambria" w:hAnsi="Cambria" w:cs="Cambria"/>
          <w:sz w:val="28"/>
          <w:szCs w:val="28"/>
          <w:u w:color="000000"/>
        </w:rPr>
      </w:pPr>
    </w:p>
    <w:p w14:paraId="61829076" w14:textId="77777777" w:rsidR="007C645F" w:rsidRDefault="007C645F">
      <w:pPr>
        <w:pStyle w:val="Body"/>
        <w:spacing w:before="120" w:after="120"/>
        <w:rPr>
          <w:rFonts w:ascii="Cambria" w:eastAsia="Cambria" w:hAnsi="Cambria" w:cs="Cambria"/>
          <w:sz w:val="28"/>
          <w:szCs w:val="28"/>
          <w:u w:color="000000"/>
        </w:rPr>
      </w:pPr>
    </w:p>
    <w:p w14:paraId="2BA226A1" w14:textId="77777777" w:rsidR="007C645F" w:rsidRDefault="007C645F">
      <w:pPr>
        <w:pStyle w:val="Body"/>
        <w:spacing w:before="120" w:after="120"/>
        <w:rPr>
          <w:rFonts w:ascii="Cambria" w:eastAsia="Cambria" w:hAnsi="Cambria" w:cs="Cambria"/>
          <w:sz w:val="28"/>
          <w:szCs w:val="28"/>
          <w:u w:color="000000"/>
        </w:rPr>
      </w:pPr>
    </w:p>
    <w:p w14:paraId="17AD93B2" w14:textId="77777777" w:rsidR="007C645F" w:rsidRDefault="007C645F">
      <w:pPr>
        <w:pStyle w:val="Body"/>
        <w:spacing w:before="120" w:after="120"/>
        <w:jc w:val="center"/>
        <w:rPr>
          <w:rFonts w:ascii="Cambria" w:eastAsia="Cambria" w:hAnsi="Cambria" w:cs="Cambria"/>
          <w:sz w:val="28"/>
          <w:szCs w:val="28"/>
          <w:u w:val="single" w:color="000000"/>
        </w:rPr>
      </w:pPr>
    </w:p>
    <w:p w14:paraId="0DE4B5B7" w14:textId="77777777" w:rsidR="007C645F" w:rsidRDefault="007C645F">
      <w:pPr>
        <w:pStyle w:val="Body"/>
        <w:spacing w:before="120" w:after="120"/>
        <w:jc w:val="center"/>
      </w:pPr>
    </w:p>
    <w:sectPr w:rsidR="007C645F">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4F102" w14:textId="77777777" w:rsidR="00ED45C3" w:rsidRDefault="00ED45C3">
      <w:r>
        <w:separator/>
      </w:r>
    </w:p>
  </w:endnote>
  <w:endnote w:type="continuationSeparator" w:id="0">
    <w:p w14:paraId="5725361E" w14:textId="77777777" w:rsidR="00ED45C3" w:rsidRDefault="00ED4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04FF1" w14:textId="77777777" w:rsidR="00C570BE" w:rsidRDefault="00C570BE">
    <w:pPr>
      <w:rPr>
        <w:rFonts w:eastAsia="Arial Unicode M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98CD1" w14:textId="77777777" w:rsidR="00ED45C3" w:rsidRDefault="00ED45C3">
      <w:r>
        <w:separator/>
      </w:r>
    </w:p>
  </w:footnote>
  <w:footnote w:type="continuationSeparator" w:id="0">
    <w:p w14:paraId="680C3509" w14:textId="77777777" w:rsidR="00ED45C3" w:rsidRDefault="00ED4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F0D7D" w14:textId="77777777" w:rsidR="00C570BE" w:rsidRDefault="00C570BE">
    <w:pPr>
      <w:rPr>
        <w:rFonts w:eastAsia="Arial Unicode M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2768FB"/>
    <w:multiLevelType w:val="hybridMultilevel"/>
    <w:tmpl w:val="6E58A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49" style="v-text-anchor:middle">
      <v:fill type="tile"/>
      <v:stroke weight=".5pt" miterlimit="0"/>
      <v:shadow on="t" color="black" opacity=".5" offset="0"/>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C59"/>
    <w:rsid w:val="002D16D6"/>
    <w:rsid w:val="003365D0"/>
    <w:rsid w:val="004C1F07"/>
    <w:rsid w:val="007C645F"/>
    <w:rsid w:val="008305B0"/>
    <w:rsid w:val="00862EB4"/>
    <w:rsid w:val="00A8221B"/>
    <w:rsid w:val="00AF7C59"/>
    <w:rsid w:val="00C570BE"/>
    <w:rsid w:val="00DA20E0"/>
    <w:rsid w:val="00ED45C3"/>
    <w:rsid w:val="00F8124B"/>
    <w:rsid w:val="5F2C33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v-text-anchor:middle">
      <v:fill type="tile"/>
      <v:stroke weight=".5pt" miterlimit="0"/>
      <v:shadow on="t" color="black" opacity=".5" offset="0"/>
      <v:textbox style="mso-column-margin:3pt;mso-fit-shape-to-text:t" inset="4pt,4pt,4pt,4pt"/>
    </o:shapedefaults>
    <o:shapelayout v:ext="edit">
      <o:idmap v:ext="edit" data="1"/>
    </o:shapelayout>
  </w:shapeDefaults>
  <w:doNotEmbedSmartTags/>
  <w:decimalSymbol w:val="."/>
  <w:listSeparator w:val=","/>
  <w14:docId w14:val="75820594"/>
  <w15:chartTrackingRefBased/>
  <w15:docId w15:val="{7DF0776F-A95E-4BBB-8FA4-DE8467079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semiHidden="1" w:unhideWhenUsed="1"/>
    <w:lsdException w:name="Normal Table" w:locked="1"/>
    <w:lsdException w:name="annotation subject" w:locked="1"/>
    <w:lsdException w:name="No List" w:locked="1"/>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eastAsia="Arial Unicode MS" w:hAnsi="Arial Unicode MS" w:cs="Arial Unicode MS"/>
      <w:color w:val="000000"/>
      <w:sz w:val="22"/>
      <w:szCs w:val="22"/>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5074</Words>
  <Characters>28928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leach</dc:creator>
  <cp:keywords/>
  <cp:lastModifiedBy>sean leach</cp:lastModifiedBy>
  <cp:revision>2</cp:revision>
  <dcterms:created xsi:type="dcterms:W3CDTF">2020-02-23T20:34:00Z</dcterms:created>
  <dcterms:modified xsi:type="dcterms:W3CDTF">2020-02-23T20:34:00Z</dcterms:modified>
</cp:coreProperties>
</file>