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4821" w:rsidRPr="005C78AA" w:rsidRDefault="006F4821" w:rsidP="002F4285">
      <w:pPr>
        <w:rPr>
          <w:sz w:val="28"/>
        </w:rPr>
      </w:pPr>
      <w:r w:rsidRPr="005C78AA">
        <w:rPr>
          <w:sz w:val="28"/>
        </w:rPr>
        <w:t>Analysis of select primary sources—including, but not limited to material culture—will evaluate the relationship between religious identity and gender distinctions in</w:t>
      </w:r>
      <w:r w:rsidR="005C78AA">
        <w:rPr>
          <w:sz w:val="28"/>
        </w:rPr>
        <w:t xml:space="preserve"> </w:t>
      </w:r>
      <w:r w:rsidR="00C6246E">
        <w:rPr>
          <w:sz w:val="28"/>
        </w:rPr>
        <w:t>fune</w:t>
      </w:r>
      <w:r w:rsidR="00C6246E" w:rsidRPr="005C78AA">
        <w:rPr>
          <w:sz w:val="28"/>
        </w:rPr>
        <w:t>rary</w:t>
      </w:r>
      <w:r w:rsidR="00CE60E0" w:rsidRPr="005C78AA">
        <w:rPr>
          <w:sz w:val="28"/>
        </w:rPr>
        <w:t xml:space="preserve"> depictions</w:t>
      </w:r>
      <w:r w:rsidRPr="005C78AA">
        <w:rPr>
          <w:sz w:val="28"/>
        </w:rPr>
        <w:t xml:space="preserve"> </w:t>
      </w:r>
      <w:r w:rsidR="00CE60E0" w:rsidRPr="005C78AA">
        <w:rPr>
          <w:sz w:val="28"/>
        </w:rPr>
        <w:t>in</w:t>
      </w:r>
      <w:r w:rsidRPr="005C78AA">
        <w:rPr>
          <w:sz w:val="28"/>
        </w:rPr>
        <w:t xml:space="preserve"> ancient Egypt. </w:t>
      </w:r>
    </w:p>
    <w:p w:rsidR="006078D2" w:rsidRDefault="006078D2" w:rsidP="002F4285">
      <w:r>
        <w:tab/>
      </w:r>
    </w:p>
    <w:p w:rsidR="006F4821" w:rsidRDefault="006F4821" w:rsidP="006078D2">
      <w:pPr>
        <w:ind w:firstLine="720"/>
      </w:pPr>
      <w:r>
        <w:t xml:space="preserve">For this thesis I have decided to explore relationship between religious identity and gender equality in Ancient Egypt. I find it interesting how a person’s individual moral concepts can be influenced by their perceived view of religion and whether or not they believe in an afterlife.  The discussion that I am most interested in exploring further is researching the actions that a person in the Egyptian society makes based on their religious views, including exploring the concept of gender equality by discussing the differences between men and women; the ‘social’ aspects of organised religion. I will be using a variety of sources for this, both archaeological evidence and textual. For this I will be looking at who these depictions are dedicated to as well as who they are depicting, where they are geographically as well as within the tomb, what they depict and why they are being depicted. I will be using a range of textual sources </w:t>
      </w:r>
      <w:r w:rsidR="00596C29">
        <w:t>as well</w:t>
      </w:r>
      <w:r>
        <w:t xml:space="preserve"> stories, myths and documented history.</w:t>
      </w:r>
      <w:r w:rsidR="00596C29">
        <w:t xml:space="preserve"> Religion in Egypt has varied over the expanse of time, </w:t>
      </w:r>
    </w:p>
    <w:p w:rsidR="004D2228" w:rsidRDefault="002708EB" w:rsidP="004D2228">
      <w:r>
        <w:t xml:space="preserve">Religion to the Ancient Egyptians played an important role in everyday life. Their polytheistic religion, based on worshipping Different </w:t>
      </w:r>
      <w:r w:rsidR="007D02DD">
        <w:t>deity’s</w:t>
      </w:r>
      <w:r>
        <w:t xml:space="preserve">, a little like the ancient Greeks, was built on the principle of </w:t>
      </w:r>
      <w:r w:rsidR="007D02DD">
        <w:t>ma ’at</w:t>
      </w:r>
      <w:r>
        <w:t xml:space="preserve"> </w:t>
      </w:r>
      <w:r w:rsidR="007D02DD">
        <w:t>which roughly</w:t>
      </w:r>
      <w:r>
        <w:t xml:space="preserve"> translates to harmony.</w:t>
      </w:r>
      <w:r w:rsidR="009863A7">
        <w:rPr>
          <w:rStyle w:val="FootnoteReference"/>
        </w:rPr>
        <w:footnoteReference w:id="1"/>
      </w:r>
      <w:r w:rsidR="00690EC3">
        <w:t xml:space="preserve">This belief </w:t>
      </w:r>
      <w:r w:rsidR="009863A7">
        <w:t>was founded on the fact that Ancient Egyptians believed that once you had passed on, your journey did not end and that living on earth was only the first part of the journey, and his meant that they would live their lives accordingly.</w:t>
      </w:r>
      <w:r w:rsidR="00CD368B">
        <w:rPr>
          <w:rStyle w:val="FootnoteReference"/>
        </w:rPr>
        <w:footnoteReference w:id="2"/>
      </w:r>
      <w:r w:rsidR="009863A7">
        <w:t xml:space="preserve"> For example a life of sin meant that your heart would be eaten and the weighing ceremony and you </w:t>
      </w:r>
      <w:r w:rsidR="0027342A">
        <w:t>would</w:t>
      </w:r>
      <w:r w:rsidR="009863A7">
        <w:t xml:space="preserve"> not continue your journey into the field of rushes.</w:t>
      </w:r>
      <w:r w:rsidR="0027342A">
        <w:t xml:space="preserve">  </w:t>
      </w:r>
      <w:r w:rsidR="00690EC3">
        <w:t>Funerary</w:t>
      </w:r>
      <w:r w:rsidR="0027342A">
        <w:t xml:space="preserve"> religion was therefore culturally important as how one is buried also affects how well equipped they are for the afterlife.</w:t>
      </w:r>
      <w:r w:rsidR="00BA7C6F">
        <w:t xml:space="preserve"> As </w:t>
      </w:r>
      <w:r w:rsidR="00405B26">
        <w:t>Riggs</w:t>
      </w:r>
      <w:r w:rsidR="00BA7C6F">
        <w:t xml:space="preserve"> states in her book ‘</w:t>
      </w:r>
      <w:r w:rsidR="00053B61">
        <w:t>Funerary</w:t>
      </w:r>
      <w:r w:rsidR="00BA7C6F">
        <w:t xml:space="preserve"> religion was a bridge to the native past and </w:t>
      </w:r>
      <w:r w:rsidR="00053B61">
        <w:t>impetuous</w:t>
      </w:r>
      <w:r w:rsidR="00BA7C6F">
        <w:t xml:space="preserve"> for creating a unique body of art’</w:t>
      </w:r>
      <w:r w:rsidR="00DE49FD">
        <w:rPr>
          <w:rStyle w:val="FootnoteReference"/>
        </w:rPr>
        <w:footnoteReference w:id="3"/>
      </w:r>
      <w:r w:rsidR="00BA7C6F">
        <w:t>.</w:t>
      </w:r>
      <w:r w:rsidR="002B4CE7">
        <w:t xml:space="preserve"> I agree with this statement as it is clear that the </w:t>
      </w:r>
      <w:r w:rsidR="00DE17D2">
        <w:t>ancient</w:t>
      </w:r>
      <w:r w:rsidR="002B4CE7">
        <w:t xml:space="preserve"> Egyptians were still very much connected to their deceased.</w:t>
      </w:r>
      <w:r w:rsidR="00DE3362">
        <w:t xml:space="preserve"> They had a belief that the deceased soul still resided somewhere </w:t>
      </w:r>
      <w:r w:rsidR="00F73B0A">
        <w:t>within</w:t>
      </w:r>
      <w:r w:rsidR="00DE3362">
        <w:t xml:space="preserve"> the body, and this is why the </w:t>
      </w:r>
      <w:r w:rsidR="007425F5">
        <w:t>bodies</w:t>
      </w:r>
      <w:r w:rsidR="00DE3362">
        <w:t xml:space="preserve"> are prepped for the afterlife</w:t>
      </w:r>
      <w:r w:rsidR="00A912E5">
        <w:t>, and there tombs are furnished with items they might need</w:t>
      </w:r>
      <w:r w:rsidR="004D2228">
        <w:t xml:space="preserve"> as</w:t>
      </w:r>
      <w:r w:rsidR="00A97F7E">
        <w:t xml:space="preserve"> </w:t>
      </w:r>
      <w:r w:rsidR="004D2228">
        <w:t>well as depictions of the next step in their journey.</w:t>
      </w:r>
      <w:r w:rsidR="004D2228" w:rsidRPr="004D2228">
        <w:t xml:space="preserve"> </w:t>
      </w:r>
      <w:r w:rsidR="004D2228">
        <w:t>As you can see In figure one, this depicts Anubis standing over the deceased performing the ritual of mummification. In many tombs especially that of Pharos, there were a lot of wall painting depicting the gods, or depicting the next steps in their journey, eg the heart weighing ceremony. Riggs mentions how ‘Egyptian art is concerned about depicting what he knew not what he saw’</w:t>
      </w:r>
      <w:r w:rsidR="004D2228">
        <w:rPr>
          <w:rStyle w:val="FootnoteReference"/>
        </w:rPr>
        <w:footnoteReference w:id="4"/>
      </w:r>
      <w:r w:rsidR="004D2228">
        <w:t xml:space="preserve"> these pictures are painted in the Egyptian style that is very two </w:t>
      </w:r>
      <w:r w:rsidR="004D2228">
        <w:t>dimensional</w:t>
      </w:r>
      <w:r w:rsidR="00A912E5">
        <w:t xml:space="preserve">. </w:t>
      </w:r>
      <w:r w:rsidR="00A912E5">
        <w:rPr>
          <w:rStyle w:val="FootnoteReference"/>
        </w:rPr>
        <w:footnoteReference w:id="5"/>
      </w:r>
      <w:r w:rsidR="00E0026F">
        <w:t xml:space="preserve"> </w:t>
      </w:r>
    </w:p>
    <w:p w:rsidR="004D2228" w:rsidRDefault="004D2228" w:rsidP="003C0A1C">
      <w:pPr>
        <w:ind w:firstLine="720"/>
      </w:pPr>
    </w:p>
    <w:p w:rsidR="004D2228" w:rsidRDefault="004D2228" w:rsidP="003C0A1C">
      <w:pPr>
        <w:ind w:firstLine="720"/>
      </w:pPr>
      <w:r>
        <w:rPr>
          <w:noProof/>
          <w:lang w:eastAsia="en-GB"/>
        </w:rPr>
        <w:lastRenderedPageBreak/>
        <w:drawing>
          <wp:anchor distT="0" distB="0" distL="0" distR="0" simplePos="0" relativeHeight="251659264" behindDoc="1" locked="0" layoutInCell="1" allowOverlap="0" wp14:anchorId="3631181C" wp14:editId="1476A9A4">
            <wp:simplePos x="0" y="0"/>
            <wp:positionH relativeFrom="margin">
              <wp:posOffset>1684655</wp:posOffset>
            </wp:positionH>
            <wp:positionV relativeFrom="paragraph">
              <wp:posOffset>12700</wp:posOffset>
            </wp:positionV>
            <wp:extent cx="1866900" cy="1244600"/>
            <wp:effectExtent l="0" t="0" r="0" b="0"/>
            <wp:wrapTight wrapText="bothSides">
              <wp:wrapPolygon edited="0">
                <wp:start x="0" y="0"/>
                <wp:lineTo x="0" y="21159"/>
                <wp:lineTo x="21380" y="21159"/>
                <wp:lineTo x="21380" y="0"/>
                <wp:lineTo x="0" y="0"/>
              </wp:wrapPolygon>
            </wp:wrapTight>
            <wp:docPr id="1" name="Picture 1" descr="Anubis mummif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ubis mummific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900" cy="1244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D2228" w:rsidRDefault="004D2228" w:rsidP="003C0A1C">
      <w:pPr>
        <w:ind w:firstLine="720"/>
      </w:pPr>
    </w:p>
    <w:p w:rsidR="004D2228" w:rsidRDefault="004D2228" w:rsidP="003C0A1C">
      <w:pPr>
        <w:ind w:firstLine="720"/>
      </w:pPr>
    </w:p>
    <w:p w:rsidR="004D2228" w:rsidRDefault="000E056A" w:rsidP="003C0A1C">
      <w:pPr>
        <w:ind w:firstLine="720"/>
      </w:pPr>
      <w:r>
        <w:rPr>
          <w:noProof/>
          <w:lang w:eastAsia="en-GB"/>
        </w:rPr>
        <mc:AlternateContent>
          <mc:Choice Requires="wps">
            <w:drawing>
              <wp:anchor distT="0" distB="0" distL="114300" distR="114300" simplePos="0" relativeHeight="251662336" behindDoc="0" locked="0" layoutInCell="1" allowOverlap="1" wp14:anchorId="293CAB76" wp14:editId="178A9188">
                <wp:simplePos x="0" y="0"/>
                <wp:positionH relativeFrom="column">
                  <wp:posOffset>3743325</wp:posOffset>
                </wp:positionH>
                <wp:positionV relativeFrom="paragraph">
                  <wp:posOffset>170815</wp:posOffset>
                </wp:positionV>
                <wp:extent cx="523875" cy="2000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523875" cy="200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09F4" w:rsidRPr="005A09F4" w:rsidRDefault="005A09F4">
                            <w:pPr>
                              <w:rPr>
                                <w:sz w:val="16"/>
                                <w:szCs w:val="16"/>
                              </w:rPr>
                            </w:pPr>
                            <w:r w:rsidRPr="005A09F4">
                              <w:rPr>
                                <w:sz w:val="16"/>
                                <w:szCs w:val="16"/>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3CAB76" id="_x0000_t202" coordsize="21600,21600" o:spt="202" path="m,l,21600r21600,l21600,xe">
                <v:stroke joinstyle="miter"/>
                <v:path gradientshapeok="t" o:connecttype="rect"/>
              </v:shapetype>
              <v:shape id="Text Box 5" o:spid="_x0000_s1026" type="#_x0000_t202" style="position:absolute;left:0;text-align:left;margin-left:294.75pt;margin-top:13.45pt;width:41.25pt;height:15.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" fillcolor="white [3201]" strokeweight=".5pt">
                <v:textbox>
                  <w:txbxContent>
                    <w:p w:rsidR="005A09F4" w:rsidRPr="005A09F4" w:rsidRDefault="005A09F4">
                      <w:pPr>
                        <w:rPr>
                          <w:sz w:val="16"/>
                          <w:szCs w:val="16"/>
                        </w:rPr>
                      </w:pPr>
                      <w:r w:rsidRPr="005A09F4">
                        <w:rPr>
                          <w:sz w:val="16"/>
                          <w:szCs w:val="16"/>
                        </w:rPr>
                        <w:t>Figure 1</w:t>
                      </w:r>
                    </w:p>
                  </w:txbxContent>
                </v:textbox>
              </v:shape>
            </w:pict>
          </mc:Fallback>
        </mc:AlternateContent>
      </w:r>
    </w:p>
    <w:p w:rsidR="004D2228" w:rsidRDefault="004D2228" w:rsidP="003C0A1C">
      <w:pPr>
        <w:ind w:firstLine="720"/>
      </w:pPr>
    </w:p>
    <w:p w:rsidR="00E0026F" w:rsidRDefault="003C0A1C" w:rsidP="0037294E">
      <w:r>
        <w:t>As</w:t>
      </w:r>
      <w:r w:rsidR="00A40424">
        <w:t xml:space="preserve"> </w:t>
      </w:r>
      <w:r>
        <w:t xml:space="preserve">well as tomb paintings, another one </w:t>
      </w:r>
      <w:r w:rsidR="00AA6E9A">
        <w:t xml:space="preserve">of the things that showed how the </w:t>
      </w:r>
      <w:r w:rsidR="00DE49FD">
        <w:t>Egyptians</w:t>
      </w:r>
      <w:r w:rsidR="00AA6E9A">
        <w:t xml:space="preserve"> religious identity tied in with their views about an afterlife is evident in tombs paintings and burial portraits.</w:t>
      </w:r>
      <w:r>
        <w:t xml:space="preserve"> </w:t>
      </w:r>
      <w:r w:rsidR="00432331">
        <w:t>These portraits served a purpose as one would think of a picture tod</w:t>
      </w:r>
      <w:r w:rsidR="0084192C">
        <w:t>a</w:t>
      </w:r>
      <w:r w:rsidR="00432331">
        <w:t>y, to carry on the memory of the dead.</w:t>
      </w:r>
      <w:r w:rsidR="00FB55D0">
        <w:t xml:space="preserve"> There are </w:t>
      </w:r>
      <w:r w:rsidR="004B0719">
        <w:t xml:space="preserve">examples from the Coptic period for instance </w:t>
      </w:r>
      <w:r w:rsidR="00DA3211">
        <w:t xml:space="preserve">of fayum portraits, </w:t>
      </w:r>
      <w:r w:rsidR="004B0719">
        <w:t xml:space="preserve"> </w:t>
      </w:r>
      <w:r w:rsidR="00DA3211">
        <w:t>many of w</w:t>
      </w:r>
      <w:r w:rsidR="00C6155F">
        <w:t>h</w:t>
      </w:r>
      <w:r w:rsidR="00DA3211">
        <w:t xml:space="preserve">ich </w:t>
      </w:r>
      <w:r w:rsidR="004B0719">
        <w:t xml:space="preserve"> are pictures of men and women, painted on a wooden plaque and </w:t>
      </w:r>
      <w:r w:rsidR="00AA1F70">
        <w:t>t</w:t>
      </w:r>
      <w:r w:rsidR="004B0719">
        <w:t>hen placed over the body</w:t>
      </w:r>
      <w:r w:rsidR="00AA1F70">
        <w:t>’</w:t>
      </w:r>
      <w:r w:rsidR="004B0719">
        <w:t xml:space="preserve">s face </w:t>
      </w:r>
      <w:r w:rsidR="00DA3211">
        <w:t>.</w:t>
      </w:r>
      <w:r w:rsidR="004B0719">
        <w:t>Susan walker concludes th</w:t>
      </w:r>
      <w:r w:rsidR="005C78AA">
        <w:t>at these portraits are done in G</w:t>
      </w:r>
      <w:r w:rsidR="004B0719">
        <w:t xml:space="preserve">reaco-roman painting style however their purpose is </w:t>
      </w:r>
      <w:r w:rsidR="004D6CE9">
        <w:t>Egyptian</w:t>
      </w:r>
      <w:r w:rsidR="004B0719">
        <w:t>.</w:t>
      </w:r>
      <w:r w:rsidR="009F5BA6">
        <w:rPr>
          <w:rStyle w:val="FootnoteReference"/>
        </w:rPr>
        <w:footnoteReference w:id="6"/>
      </w:r>
      <w:r w:rsidR="004B0719">
        <w:t xml:space="preserve"> Around 900 portraits have been found so far, each depicting the usual head and shoulder of the deceased. However from looking at more of these portraits it is clear that they were valuable works of art to the Egyptians. It is then safe to assume that only the rich and the wealthy could afford to be remembered in such a way. This casts a shadow on the </w:t>
      </w:r>
      <w:r w:rsidR="004D6CE9">
        <w:t>reliability</w:t>
      </w:r>
      <w:r w:rsidR="004B0719">
        <w:t xml:space="preserve"> of this source</w:t>
      </w:r>
      <w:r w:rsidR="004D6CE9">
        <w:t xml:space="preserve"> as it only gives us insight in</w:t>
      </w:r>
      <w:r w:rsidR="004B0719">
        <w:t>t</w:t>
      </w:r>
      <w:r w:rsidR="004D6CE9">
        <w:t>o</w:t>
      </w:r>
      <w:r w:rsidR="004B0719">
        <w:t xml:space="preserve"> what affluent people religious </w:t>
      </w:r>
      <w:r w:rsidR="000E056A">
        <w:t>identity</w:t>
      </w:r>
      <w:r w:rsidR="004B0719">
        <w:t xml:space="preserve"> was, not </w:t>
      </w:r>
      <w:r w:rsidR="004D6CE9">
        <w:t>necessarily</w:t>
      </w:r>
      <w:r w:rsidR="004B0719">
        <w:t xml:space="preserve"> the not so wealthy. </w:t>
      </w:r>
      <w:r w:rsidR="004D6CE9">
        <w:t xml:space="preserve">Many of the portraits also depict figures that appear youthful, not ill or aging. </w:t>
      </w:r>
      <w:r w:rsidR="00CB6025">
        <w:t xml:space="preserve"> </w:t>
      </w:r>
      <w:r w:rsidR="0037294E">
        <w:t>Because</w:t>
      </w:r>
      <w:r w:rsidR="00CB6025">
        <w:t xml:space="preserve"> these portraits reflected a depiction of the </w:t>
      </w:r>
      <w:r w:rsidR="0037294E">
        <w:t>person’s</w:t>
      </w:r>
      <w:r w:rsidR="00CB6025">
        <w:t xml:space="preserve"> life, they would want to be remembered so that they could take this depiction of themselves to the afterlife, hence a lot of women are portrayed with </w:t>
      </w:r>
      <w:r w:rsidR="0037294E">
        <w:t>jewellery</w:t>
      </w:r>
      <w:r w:rsidR="00CB6025">
        <w:t xml:space="preserve"> or expensive clothing.</w:t>
      </w:r>
    </w:p>
    <w:p w:rsidR="008C52F2" w:rsidRDefault="008C52F2" w:rsidP="00AA6E9A">
      <w:r>
        <w:t>Within art there is</w:t>
      </w:r>
      <w:r w:rsidR="00D3728A">
        <w:t xml:space="preserve"> one significant figure that I w</w:t>
      </w:r>
      <w:r>
        <w:t>ill further look at w</w:t>
      </w:r>
      <w:r w:rsidR="00D3728A">
        <w:t>h</w:t>
      </w:r>
      <w:r>
        <w:t xml:space="preserve">ich is a perfect example of gender distinction in the </w:t>
      </w:r>
      <w:r w:rsidR="00D3728A">
        <w:t>Ancient</w:t>
      </w:r>
      <w:r>
        <w:t xml:space="preserve"> world.</w:t>
      </w:r>
      <w:r w:rsidR="00FB5997">
        <w:t xml:space="preserve"> This iconic figure would been the female </w:t>
      </w:r>
      <w:r w:rsidR="00D3728A">
        <w:t>pharaoh</w:t>
      </w:r>
      <w:r w:rsidR="00FB5997">
        <w:t xml:space="preserve"> queen </w:t>
      </w:r>
      <w:r w:rsidR="00D3728A">
        <w:t>Hatshepsut</w:t>
      </w:r>
      <w:r w:rsidR="00FB5997">
        <w:t>.</w:t>
      </w:r>
    </w:p>
    <w:p w:rsidR="00FB5997" w:rsidRDefault="008F33A4" w:rsidP="00AA6E9A">
      <w:r>
        <w:rPr>
          <w:rFonts w:ascii="Arial" w:hAnsi="Arial" w:cs="Arial"/>
          <w:noProof/>
          <w:color w:val="0000FF"/>
          <w:sz w:val="27"/>
          <w:szCs w:val="27"/>
          <w:lang w:eastAsia="en-GB"/>
        </w:rPr>
        <w:drawing>
          <wp:anchor distT="0" distB="0" distL="114300" distR="114300" simplePos="0" relativeHeight="251665408" behindDoc="1" locked="0" layoutInCell="1" allowOverlap="1" wp14:anchorId="0A3D97E4" wp14:editId="77F8ADEA">
            <wp:simplePos x="0" y="0"/>
            <wp:positionH relativeFrom="margin">
              <wp:align>right</wp:align>
            </wp:positionH>
            <wp:positionV relativeFrom="paragraph">
              <wp:posOffset>65405</wp:posOffset>
            </wp:positionV>
            <wp:extent cx="1457325" cy="2430780"/>
            <wp:effectExtent l="0" t="0" r="9525" b="7620"/>
            <wp:wrapTight wrapText="bothSides">
              <wp:wrapPolygon edited="0">
                <wp:start x="0" y="0"/>
                <wp:lineTo x="0" y="21498"/>
                <wp:lineTo x="21459" y="21498"/>
                <wp:lineTo x="21459" y="0"/>
                <wp:lineTo x="0" y="0"/>
              </wp:wrapPolygon>
            </wp:wrapTight>
            <wp:docPr id="3" name="Picture 3" descr="Image result for kneeling figure of hatshepsu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neeling figure of hatshepsut">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57325" cy="2430780"/>
                    </a:xfrm>
                    <a:prstGeom prst="rect">
                      <a:avLst/>
                    </a:prstGeom>
                    <a:noFill/>
                    <a:ln>
                      <a:noFill/>
                    </a:ln>
                  </pic:spPr>
                </pic:pic>
              </a:graphicData>
            </a:graphic>
            <wp14:sizeRelH relativeFrom="page">
              <wp14:pctWidth>0</wp14:pctWidth>
            </wp14:sizeRelH>
            <wp14:sizeRelV relativeFrom="page">
              <wp14:pctHeight>0</wp14:pctHeight>
            </wp14:sizeRelV>
          </wp:anchor>
        </w:drawing>
      </w:r>
      <w:r w:rsidR="00040882">
        <w:rPr>
          <w:noProof/>
          <w:color w:val="0000FF"/>
          <w:lang w:eastAsia="en-GB"/>
        </w:rPr>
        <w:drawing>
          <wp:anchor distT="0" distB="0" distL="114300" distR="114300" simplePos="0" relativeHeight="251660288" behindDoc="1" locked="0" layoutInCell="1" allowOverlap="1" wp14:anchorId="30D74918" wp14:editId="4E1BDCBC">
            <wp:simplePos x="0" y="0"/>
            <wp:positionH relativeFrom="margin">
              <wp:align>left</wp:align>
            </wp:positionH>
            <wp:positionV relativeFrom="paragraph">
              <wp:posOffset>10160</wp:posOffset>
            </wp:positionV>
            <wp:extent cx="2095500" cy="2543175"/>
            <wp:effectExtent l="0" t="0" r="0" b="9525"/>
            <wp:wrapTight wrapText="bothSides">
              <wp:wrapPolygon edited="0">
                <wp:start x="0" y="0"/>
                <wp:lineTo x="0" y="21519"/>
                <wp:lineTo x="21404" y="21519"/>
                <wp:lineTo x="21404" y="0"/>
                <wp:lineTo x="0" y="0"/>
              </wp:wrapPolygon>
            </wp:wrapTight>
            <wp:docPr id="4" name="Picture 4" descr="Statue of Hatshepsut on display at the Metropolitan Museum of Art">
              <a:hlinkClick xmlns:a="http://schemas.openxmlformats.org/drawingml/2006/main" r:id="rId11" tooltip="&quot;Statue of Hatshepsut on display at the Metropolitan Museum of Ar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tue of Hatshepsut on display at the Metropolitan Museum of Art">
                      <a:hlinkClick r:id="rId11" tooltip="&quot;Statue of Hatshepsut on display at the Metropolitan Museum of Art&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5500" cy="2543175"/>
                    </a:xfrm>
                    <a:prstGeom prst="rect">
                      <a:avLst/>
                    </a:prstGeom>
                    <a:noFill/>
                    <a:ln>
                      <a:noFill/>
                    </a:ln>
                  </pic:spPr>
                </pic:pic>
              </a:graphicData>
            </a:graphic>
            <wp14:sizeRelH relativeFrom="page">
              <wp14:pctWidth>0</wp14:pctWidth>
            </wp14:sizeRelH>
            <wp14:sizeRelV relativeFrom="page">
              <wp14:pctHeight>0</wp14:pctHeight>
            </wp14:sizeRelV>
          </wp:anchor>
        </w:drawing>
      </w:r>
      <w:r w:rsidR="00040882" w:rsidRPr="00040882">
        <w:rPr>
          <w:noProof/>
          <w:color w:val="0000FF"/>
          <w:lang w:eastAsia="en-GB"/>
        </w:rPr>
        <w:t xml:space="preserve"> </w:t>
      </w:r>
    </w:p>
    <w:p w:rsidR="00040882" w:rsidRDefault="00040882" w:rsidP="00AA6E9A"/>
    <w:p w:rsidR="00040882" w:rsidRDefault="00040882" w:rsidP="00AA6E9A"/>
    <w:p w:rsidR="00040882" w:rsidRDefault="00040882" w:rsidP="00AA6E9A"/>
    <w:p w:rsidR="00040882" w:rsidRDefault="00040882" w:rsidP="00AA6E9A"/>
    <w:p w:rsidR="00040882" w:rsidRDefault="00040882" w:rsidP="00AA6E9A"/>
    <w:p w:rsidR="00040882" w:rsidRDefault="00040882" w:rsidP="00AA6E9A"/>
    <w:p w:rsidR="00040882" w:rsidRDefault="00040882" w:rsidP="00AA6E9A"/>
    <w:p w:rsidR="00040882" w:rsidRDefault="00040882" w:rsidP="00AA6E9A"/>
    <w:p w:rsidR="00040882" w:rsidRDefault="005A09F4" w:rsidP="00AA6E9A">
      <w:r>
        <w:rPr>
          <w:noProof/>
          <w:lang w:eastAsia="en-GB"/>
        </w:rPr>
        <mc:AlternateContent>
          <mc:Choice Requires="wps">
            <w:drawing>
              <wp:anchor distT="0" distB="0" distL="114300" distR="114300" simplePos="0" relativeHeight="251664384" behindDoc="0" locked="0" layoutInCell="1" allowOverlap="1" wp14:anchorId="3F399039" wp14:editId="1E5EA1F7">
                <wp:simplePos x="0" y="0"/>
                <wp:positionH relativeFrom="column">
                  <wp:posOffset>4552950</wp:posOffset>
                </wp:positionH>
                <wp:positionV relativeFrom="paragraph">
                  <wp:posOffset>11430</wp:posOffset>
                </wp:positionV>
                <wp:extent cx="733425" cy="2000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733425" cy="200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09F4" w:rsidRPr="005A09F4" w:rsidRDefault="005A09F4">
                            <w:pPr>
                              <w:rPr>
                                <w:sz w:val="16"/>
                                <w:szCs w:val="16"/>
                              </w:rPr>
                            </w:pPr>
                            <w:r w:rsidRPr="005A09F4">
                              <w:rPr>
                                <w:sz w:val="16"/>
                                <w:szCs w:val="16"/>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399039" id="Text Box 7" o:spid="_x0000_s1027" type="#_x0000_t202" style="position:absolute;margin-left:358.5pt;margin-top:.9pt;width:57.75pt;height:15.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" fillcolor="white [3201]" strokeweight=".5pt">
                <v:textbox>
                  <w:txbxContent>
                    <w:p w:rsidR="005A09F4" w:rsidRPr="005A09F4" w:rsidRDefault="005A09F4">
                      <w:pPr>
                        <w:rPr>
                          <w:sz w:val="16"/>
                          <w:szCs w:val="16"/>
                        </w:rPr>
                      </w:pPr>
                      <w:r w:rsidRPr="005A09F4">
                        <w:rPr>
                          <w:sz w:val="16"/>
                          <w:szCs w:val="16"/>
                        </w:rPr>
                        <w:t>Figure 3</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F78509B" wp14:editId="35B915EA">
                <wp:simplePos x="0" y="0"/>
                <wp:positionH relativeFrom="column">
                  <wp:posOffset>1200150</wp:posOffset>
                </wp:positionH>
                <wp:positionV relativeFrom="paragraph">
                  <wp:posOffset>30480</wp:posOffset>
                </wp:positionV>
                <wp:extent cx="590550" cy="2095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590550" cy="209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09F4" w:rsidRPr="005A09F4" w:rsidRDefault="005A09F4">
                            <w:pPr>
                              <w:rPr>
                                <w:sz w:val="16"/>
                                <w:szCs w:val="16"/>
                              </w:rPr>
                            </w:pPr>
                            <w:r w:rsidRPr="005A09F4">
                              <w:rPr>
                                <w:sz w:val="16"/>
                                <w:szCs w:val="16"/>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94.5pt;margin-top:2.4pt;width:46.5pt;height: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" fillcolor="white [3201]" strokeweight=".5pt">
                <v:textbox>
                  <w:txbxContent>
                    <w:p w:rsidR="005A09F4" w:rsidRPr="005A09F4" w:rsidRDefault="005A09F4">
                      <w:pPr>
                        <w:rPr>
                          <w:sz w:val="16"/>
                          <w:szCs w:val="16"/>
                        </w:rPr>
                      </w:pPr>
                      <w:r w:rsidRPr="005A09F4">
                        <w:rPr>
                          <w:sz w:val="16"/>
                          <w:szCs w:val="16"/>
                        </w:rPr>
                        <w:t>Figure 2</w:t>
                      </w:r>
                    </w:p>
                  </w:txbxContent>
                </v:textbox>
              </v:shape>
            </w:pict>
          </mc:Fallback>
        </mc:AlternateContent>
      </w:r>
    </w:p>
    <w:p w:rsidR="0037294E" w:rsidRDefault="0037294E" w:rsidP="00AA6E9A"/>
    <w:p w:rsidR="0037294E" w:rsidRDefault="0037294E" w:rsidP="00AA6E9A"/>
    <w:p w:rsidR="0037294E" w:rsidRDefault="0037294E" w:rsidP="00AA6E9A"/>
    <w:p w:rsidR="0037294E" w:rsidRDefault="0037294E" w:rsidP="005C78AA">
      <w:pPr>
        <w:rPr>
          <w:lang w:val="en"/>
        </w:rPr>
      </w:pPr>
      <w:r>
        <w:t xml:space="preserve">Her marriage to her close relative meant that she married into royalty and her </w:t>
      </w:r>
      <w:r>
        <w:t xml:space="preserve">bloodline, being strong helped her gain position as leader when her husband passed </w:t>
      </w:r>
      <w:r>
        <w:t>away, thus she became a pharaoh.</w:t>
      </w:r>
      <w:r>
        <w:rPr>
          <w:rStyle w:val="FootnoteReference"/>
        </w:rPr>
        <w:footnoteReference w:id="7"/>
      </w:r>
      <w:r>
        <w:t xml:space="preserve"> She is often depicted as fairly masculine, in the clothes and shoes of a male and even sometimes as far as depicted with a beard, even though that this was probably just an artist’s interpretation.</w:t>
      </w:r>
      <w:r>
        <w:rPr>
          <w:rStyle w:val="FootnoteReference"/>
        </w:rPr>
        <w:footnoteReference w:id="8"/>
      </w:r>
      <w:r>
        <w:t xml:space="preserve"> This however does bring to light the question why? Women had a relatively high status in ancient Egypt, for example, they were able to own land in their own right. There is evidence in the shape of a papyrus in louvre which describes a women reclaiming payment from the government and another who hold a position of responsibility under a farmer who mortgages his property to her.</w:t>
      </w:r>
      <w:r>
        <w:rPr>
          <w:rStyle w:val="FootnoteReference"/>
        </w:rPr>
        <w:footnoteReference w:id="9"/>
      </w:r>
      <w:r>
        <w:t xml:space="preserve">  Women also had high religious positions, such a priestesses of which the highest rank would be the pallicides who were usually ladies of noble birth and wealth</w:t>
      </w:r>
      <w:r w:rsidR="00066FB1">
        <w:t xml:space="preserve">. </w:t>
      </w:r>
      <w:r w:rsidRPr="00AD2E4F">
        <w:t>This status shows that they were re</w:t>
      </w:r>
      <w:r>
        <w:t>s</w:t>
      </w:r>
      <w:r w:rsidRPr="00AD2E4F">
        <w:t>pected in the society that they lived with</w:t>
      </w:r>
      <w:r>
        <w:t>in and as there were female Pharos before her, it wouldn’t of been such a big deal to have a female leader. This then I believe instead of prejudice against women, I feel is portrayed from a religious point of view. Just as Lesko says that there was religious intent behind a lot of the depictions of paintings on the tomb walls, the example she gives being an abundance of food or water in the afterlife, I believe that the way she is being portrayed is for religious purposes too.</w:t>
      </w:r>
      <w:r>
        <w:rPr>
          <w:rStyle w:val="FootnoteReference"/>
        </w:rPr>
        <w:footnoteReference w:id="10"/>
      </w:r>
      <w:r w:rsidRPr="00D65886">
        <w:rPr>
          <w:lang w:val="en"/>
        </w:rPr>
        <w:t xml:space="preserve"> </w:t>
      </w:r>
      <w:r>
        <w:rPr>
          <w:lang w:val="en"/>
        </w:rPr>
        <w:t xml:space="preserve"> She is </w:t>
      </w:r>
      <w:r w:rsidRPr="00D65886">
        <w:rPr>
          <w:lang w:val="en"/>
        </w:rPr>
        <w:t xml:space="preserve">commonly pictured in the </w:t>
      </w:r>
      <w:hyperlink r:id="rId13" w:tooltip="Khat (apparel)" w:history="1">
        <w:r w:rsidRPr="00D65886">
          <w:rPr>
            <w:rStyle w:val="Hyperlink"/>
            <w:color w:val="auto"/>
            <w:u w:val="none"/>
            <w:lang w:val="en"/>
          </w:rPr>
          <w:t>Khat</w:t>
        </w:r>
      </w:hyperlink>
      <w:r>
        <w:rPr>
          <w:lang w:val="en"/>
        </w:rPr>
        <w:t xml:space="preserve">, which the head cloth and sometimes depicted </w:t>
      </w:r>
      <w:r w:rsidRPr="00D65886">
        <w:rPr>
          <w:lang w:val="en"/>
        </w:rPr>
        <w:t xml:space="preserve">topped with the </w:t>
      </w:r>
      <w:hyperlink r:id="rId14" w:tooltip="Uraeus" w:history="1">
        <w:r w:rsidRPr="00D65886">
          <w:rPr>
            <w:rStyle w:val="Hyperlink"/>
            <w:color w:val="auto"/>
            <w:u w:val="none"/>
            <w:lang w:val="en"/>
          </w:rPr>
          <w:t>Uranus</w:t>
        </w:r>
      </w:hyperlink>
      <w:r w:rsidRPr="00D65886">
        <w:rPr>
          <w:lang w:val="en"/>
        </w:rPr>
        <w:t>,</w:t>
      </w:r>
      <w:r>
        <w:rPr>
          <w:lang w:val="en"/>
        </w:rPr>
        <w:t xml:space="preserve"> which has divine connection to the goddess wadjet and lastly</w:t>
      </w:r>
      <w:r w:rsidRPr="00D65886">
        <w:rPr>
          <w:lang w:val="en"/>
        </w:rPr>
        <w:t xml:space="preserve"> the traditional </w:t>
      </w:r>
      <w:hyperlink r:id="rId15" w:anchor="Ancient_and_classical_world" w:tooltip="Beard" w:history="1">
        <w:r w:rsidRPr="00D65886">
          <w:rPr>
            <w:rStyle w:val="Hyperlink"/>
            <w:color w:val="auto"/>
            <w:u w:val="none"/>
            <w:lang w:val="en"/>
          </w:rPr>
          <w:t>false beard</w:t>
        </w:r>
      </w:hyperlink>
      <w:r>
        <w:rPr>
          <w:lang w:val="en"/>
        </w:rPr>
        <w:t>.</w:t>
      </w:r>
      <w:r>
        <w:rPr>
          <w:rStyle w:val="FootnoteReference"/>
          <w:lang w:val="en"/>
        </w:rPr>
        <w:footnoteReference w:id="11"/>
      </w:r>
      <w:r>
        <w:rPr>
          <w:lang w:val="en"/>
        </w:rPr>
        <w:t xml:space="preserve"> I believe that she could have chosen to be depicted in this form to show that she was as strong a ruler as any other man. In terms of statue depictions, the pharaoh is supposed to represent the divine to the Egyptians. Even becoming a god themselves when they die, thus the iconic stance of the arms fold across the chest is one that all pharos would have done for religious purposes, and one that hatepshut would have adopted for these reasons.</w:t>
      </w:r>
    </w:p>
    <w:p w:rsidR="005C78AA" w:rsidRPr="0037294E" w:rsidRDefault="005C78AA" w:rsidP="005C78AA">
      <w:r>
        <w:rPr>
          <w:lang w:val="en"/>
        </w:rPr>
        <w:t xml:space="preserve">In conclusion, Ancient Egyptians had a strong religious identity, and from research I have studied so far </w:t>
      </w:r>
      <w:r w:rsidR="00FB55D3">
        <w:rPr>
          <w:lang w:val="en"/>
        </w:rPr>
        <w:t>women’s</w:t>
      </w:r>
      <w:r>
        <w:rPr>
          <w:lang w:val="en"/>
        </w:rPr>
        <w:t xml:space="preserve"> </w:t>
      </w:r>
      <w:r w:rsidR="00FB55D3">
        <w:rPr>
          <w:lang w:val="en"/>
        </w:rPr>
        <w:t>seemed</w:t>
      </w:r>
      <w:r>
        <w:rPr>
          <w:lang w:val="en"/>
        </w:rPr>
        <w:t xml:space="preserve"> to be respected in their </w:t>
      </w:r>
      <w:r w:rsidR="00FB55D3">
        <w:rPr>
          <w:lang w:val="en"/>
        </w:rPr>
        <w:t>society, especially w</w:t>
      </w:r>
      <w:r>
        <w:rPr>
          <w:lang w:val="en"/>
        </w:rPr>
        <w:t xml:space="preserve">hen it came to the subject of religion and we can see this portrayed in the </w:t>
      </w:r>
      <w:r w:rsidR="00FB55D3">
        <w:rPr>
          <w:lang w:val="en"/>
        </w:rPr>
        <w:t>funerary</w:t>
      </w:r>
      <w:r>
        <w:rPr>
          <w:lang w:val="en"/>
        </w:rPr>
        <w:t xml:space="preserve"> art of both royalty and non.</w:t>
      </w:r>
    </w:p>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37294E" w:rsidRDefault="0037294E" w:rsidP="0037294E"/>
    <w:p w:rsidR="008C044D" w:rsidRPr="00C6246E" w:rsidRDefault="008C044D" w:rsidP="008C044D">
      <w:pPr>
        <w:rPr>
          <w:u w:val="single"/>
        </w:rPr>
      </w:pPr>
      <w:r w:rsidRPr="00C6246E">
        <w:rPr>
          <w:u w:val="single"/>
        </w:rPr>
        <w:t>Bibliography</w:t>
      </w:r>
    </w:p>
    <w:p w:rsidR="008C044D" w:rsidRDefault="008C044D" w:rsidP="008C044D"/>
    <w:p w:rsidR="008C044D" w:rsidRPr="00B15E14" w:rsidRDefault="008C044D" w:rsidP="008C044D">
      <w:pPr>
        <w:rPr>
          <w:rFonts w:ascii="Arial" w:hAnsi="Arial" w:cs="Arial"/>
          <w:color w:val="000000" w:themeColor="text1"/>
          <w:sz w:val="20"/>
          <w:szCs w:val="20"/>
          <w:lang w:val="en"/>
        </w:rPr>
      </w:pPr>
      <w:r w:rsidRPr="008C044D">
        <w:rPr>
          <w:rFonts w:ascii="Arial" w:hAnsi="Arial" w:cs="Arial"/>
          <w:color w:val="000000" w:themeColor="text1"/>
          <w:sz w:val="20"/>
          <w:szCs w:val="20"/>
          <w:lang w:val="en"/>
        </w:rPr>
        <w:t xml:space="preserve"> </w:t>
      </w:r>
      <w:r w:rsidRPr="00B15E14">
        <w:rPr>
          <w:rFonts w:ascii="Arial" w:hAnsi="Arial" w:cs="Arial"/>
          <w:color w:val="000000" w:themeColor="text1"/>
          <w:sz w:val="20"/>
          <w:szCs w:val="20"/>
          <w:lang w:val="en"/>
        </w:rPr>
        <w:t xml:space="preserve">Hooks L, 1920, The exposure of infants at Athens, </w:t>
      </w:r>
      <w:r w:rsidRPr="00B15E14">
        <w:rPr>
          <w:rStyle w:val="HTMLCite"/>
          <w:rFonts w:ascii="Arial" w:hAnsi="Arial" w:cs="Arial"/>
          <w:color w:val="000000" w:themeColor="text1"/>
          <w:sz w:val="20"/>
          <w:szCs w:val="20"/>
          <w:lang w:val="en"/>
          <w:specVanish w:val="0"/>
        </w:rPr>
        <w:t>Transactions and Proceedings of the American Philological Association,</w:t>
      </w:r>
      <w:r w:rsidRPr="00B15E14">
        <w:rPr>
          <w:rFonts w:ascii="Arial" w:hAnsi="Arial" w:cs="Arial"/>
          <w:color w:val="000000" w:themeColor="text1"/>
          <w:sz w:val="20"/>
          <w:szCs w:val="20"/>
          <w:lang w:val="en"/>
        </w:rPr>
        <w:t xml:space="preserve"> </w:t>
      </w:r>
      <w:hyperlink r:id="rId16" w:history="1">
        <w:r w:rsidRPr="00B15E14">
          <w:rPr>
            <w:rFonts w:ascii="Arial" w:hAnsi="Arial" w:cs="Arial"/>
            <w:color w:val="000000" w:themeColor="text1"/>
            <w:sz w:val="20"/>
            <w:szCs w:val="20"/>
            <w:lang w:val="en"/>
          </w:rPr>
          <w:t>The Johns Hopkins University Press</w:t>
        </w:r>
      </w:hyperlink>
    </w:p>
    <w:p w:rsidR="0037294E" w:rsidRDefault="0037294E" w:rsidP="0037294E"/>
    <w:p w:rsidR="008C044D" w:rsidRDefault="008C044D" w:rsidP="0037294E">
      <w:r>
        <w:t>Riggs, C, 2005, The beautiful burial in roman Egypt; art identity and Funerary religion, oxford university press</w:t>
      </w:r>
    </w:p>
    <w:p w:rsidR="008C044D" w:rsidRDefault="008C044D" w:rsidP="0037294E"/>
    <w:p w:rsidR="008C044D" w:rsidRDefault="006521C7" w:rsidP="0037294E">
      <w:r>
        <w:t>Breasted, James H, 1972, development of religion and thought in ancient Egypt, Pennsylvania press</w:t>
      </w:r>
    </w:p>
    <w:p w:rsidR="006521C7" w:rsidRDefault="009F5BA6" w:rsidP="0037294E">
      <w:r>
        <w:t>Edwards, A, B, 2005, Social and political position of women in ancient Egypt, modern language association</w:t>
      </w:r>
    </w:p>
    <w:p w:rsidR="009F5BA6" w:rsidRDefault="009F5BA6" w:rsidP="0037294E">
      <w:r>
        <w:t xml:space="preserve">Lesko, Barbra S, 1991, </w:t>
      </w:r>
      <w:r w:rsidR="00C6246E">
        <w:t>Women’s</w:t>
      </w:r>
      <w:r>
        <w:t xml:space="preserve"> monumental mark on ancient Egypt, The </w:t>
      </w:r>
      <w:r w:rsidR="00A83159">
        <w:t>biblical</w:t>
      </w:r>
      <w:r>
        <w:t xml:space="preserve"> archaeologist Vol 54 No 1</w:t>
      </w:r>
    </w:p>
    <w:p w:rsidR="009F5BA6" w:rsidRDefault="009F5BA6" w:rsidP="0037294E"/>
    <w:p w:rsidR="009F5BA6" w:rsidRDefault="009F5BA6" w:rsidP="0037294E">
      <w:r>
        <w:t xml:space="preserve">Walker s, 2000, Ancient faces: Mummy portraits from </w:t>
      </w:r>
      <w:r w:rsidR="00A83159">
        <w:t>Ancient</w:t>
      </w:r>
      <w:r>
        <w:t xml:space="preserve"> Egypt, met museum of arts, new York press</w:t>
      </w:r>
    </w:p>
    <w:p w:rsidR="009F5BA6" w:rsidRDefault="00A83159" w:rsidP="0037294E">
      <w:r>
        <w:t xml:space="preserve">Mark, J, ancient Egyptian religion, </w:t>
      </w:r>
      <w:r w:rsidRPr="00A83159">
        <w:t>https://www.ancient.eu/Egyptian_Religion/</w:t>
      </w:r>
    </w:p>
    <w:p w:rsidR="008C044D" w:rsidRDefault="008C044D" w:rsidP="0037294E"/>
    <w:p w:rsidR="008C044D" w:rsidRDefault="002E33C0" w:rsidP="0037294E">
      <w:r>
        <w:t>Pictures</w:t>
      </w:r>
    </w:p>
    <w:p w:rsidR="009657F7" w:rsidRDefault="002E33C0" w:rsidP="002E33C0">
      <w:pPr>
        <w:rPr>
          <w:rFonts w:ascii="Arial" w:hAnsi="Arial" w:cs="Arial"/>
          <w:bCs/>
          <w:sz w:val="16"/>
          <w:szCs w:val="16"/>
        </w:rPr>
      </w:pPr>
      <w:r>
        <w:t>[figure 1</w:t>
      </w:r>
      <w:r w:rsidRPr="002E33C0">
        <w:rPr>
          <w:rFonts w:ascii="Arial" w:hAnsi="Arial" w:cs="Arial"/>
          <w:sz w:val="16"/>
          <w:szCs w:val="16"/>
        </w:rPr>
        <w:t xml:space="preserve">] </w:t>
      </w:r>
      <w:r w:rsidR="009657F7">
        <w:rPr>
          <w:rFonts w:ascii="Arial" w:hAnsi="Arial" w:cs="Arial"/>
          <w:sz w:val="16"/>
          <w:szCs w:val="16"/>
        </w:rPr>
        <w:t>Anubis standing over the deceased, handbook of egyptian mythology</w:t>
      </w:r>
    </w:p>
    <w:p w:rsidR="009657F7" w:rsidRDefault="009657F7" w:rsidP="002E33C0">
      <w:pPr>
        <w:rPr>
          <w:rFonts w:ascii="Arial" w:hAnsi="Arial" w:cs="Arial"/>
          <w:bCs/>
          <w:sz w:val="16"/>
          <w:szCs w:val="16"/>
        </w:rPr>
      </w:pPr>
      <w:r>
        <w:rPr>
          <w:rFonts w:ascii="Arial" w:hAnsi="Arial" w:cs="Arial"/>
          <w:bCs/>
          <w:sz w:val="16"/>
          <w:szCs w:val="16"/>
        </w:rPr>
        <w:t>[figure 2]  Statue of Hatshepsut, Brooklyn museum</w:t>
      </w:r>
    </w:p>
    <w:p w:rsidR="009657F7" w:rsidRPr="002E33C0" w:rsidRDefault="009657F7" w:rsidP="002E33C0">
      <w:pPr>
        <w:rPr>
          <w:rFonts w:ascii="Arial" w:hAnsi="Arial" w:cs="Arial"/>
          <w:sz w:val="16"/>
          <w:szCs w:val="16"/>
        </w:rPr>
      </w:pPr>
      <w:r>
        <w:rPr>
          <w:rFonts w:ascii="Arial" w:hAnsi="Arial" w:cs="Arial"/>
          <w:bCs/>
          <w:sz w:val="16"/>
          <w:szCs w:val="16"/>
        </w:rPr>
        <w:t xml:space="preserve">[figure 3] </w:t>
      </w:r>
      <w:r w:rsidR="00991DF7">
        <w:rPr>
          <w:rFonts w:ascii="Arial" w:hAnsi="Arial" w:cs="Arial"/>
          <w:bCs/>
          <w:sz w:val="16"/>
          <w:szCs w:val="16"/>
        </w:rPr>
        <w:t>kneeling statue of Hatshepsut, metropolitan mu</w:t>
      </w:r>
      <w:bookmarkStart w:id="0" w:name="_GoBack"/>
      <w:bookmarkEnd w:id="0"/>
      <w:r w:rsidR="00991DF7">
        <w:rPr>
          <w:rFonts w:ascii="Arial" w:hAnsi="Arial" w:cs="Arial"/>
          <w:bCs/>
          <w:sz w:val="16"/>
          <w:szCs w:val="16"/>
        </w:rPr>
        <w:t>seum of art</w:t>
      </w:r>
    </w:p>
    <w:p w:rsidR="0037294E" w:rsidRDefault="0037294E" w:rsidP="0037294E"/>
    <w:p w:rsidR="0037294E" w:rsidRDefault="0037294E" w:rsidP="0037294E"/>
    <w:p w:rsidR="0037294E" w:rsidRDefault="0037294E" w:rsidP="0037294E"/>
    <w:p w:rsidR="0037294E" w:rsidRDefault="0037294E" w:rsidP="0037294E">
      <w:pPr>
        <w:ind w:left="720"/>
      </w:pPr>
      <w:r>
        <w:t xml:space="preserve">                                                                                                                                                                                                                                                                                                                                                                                                                                                                                                                                                                                                                                                                                                                                                                                                                                                                                                                                                                                                                                                                                                                                                                                                                                                                                                                                                                                                                                                                                                                                                                                                                                                                                                                                                                                                                                                                                                                                                                                                                                                                                                                                                                                                                                                                                                                                                                                                                                                                                                                                                                                                                                                                                                                                                                                                                                                                                                                                                                                                                                                                                                                                                                                                                                                                                                                                                                                                                                                                                                                                                                                                                                                                                                                                                                                                                                                                                                                                                                                                                                                                                                                                                                                                                                                                                                                                              </w:t>
      </w:r>
    </w:p>
    <w:p w:rsidR="006F4821" w:rsidRDefault="006F4821" w:rsidP="00AA6E9A"/>
    <w:sectPr w:rsidR="006F48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567B" w:rsidRDefault="0020567B" w:rsidP="009863A7">
      <w:pPr>
        <w:spacing w:after="0" w:line="240" w:lineRule="auto"/>
      </w:pPr>
      <w:r>
        <w:separator/>
      </w:r>
    </w:p>
  </w:endnote>
  <w:endnote w:type="continuationSeparator" w:id="0">
    <w:p w:rsidR="0020567B" w:rsidRDefault="0020567B" w:rsidP="00986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567B" w:rsidRDefault="0020567B" w:rsidP="009863A7">
      <w:pPr>
        <w:spacing w:after="0" w:line="240" w:lineRule="auto"/>
      </w:pPr>
      <w:r>
        <w:separator/>
      </w:r>
    </w:p>
  </w:footnote>
  <w:footnote w:type="continuationSeparator" w:id="0">
    <w:p w:rsidR="0020567B" w:rsidRDefault="0020567B" w:rsidP="009863A7">
      <w:pPr>
        <w:spacing w:after="0" w:line="240" w:lineRule="auto"/>
      </w:pPr>
      <w:r>
        <w:continuationSeparator/>
      </w:r>
    </w:p>
  </w:footnote>
  <w:footnote w:id="1">
    <w:p w:rsidR="009863A7" w:rsidRDefault="009863A7">
      <w:pPr>
        <w:pStyle w:val="FootnoteText"/>
      </w:pPr>
      <w:r>
        <w:rPr>
          <w:rStyle w:val="FootnoteReference"/>
        </w:rPr>
        <w:footnoteRef/>
      </w:r>
      <w:r>
        <w:t xml:space="preserve"> Mark 2010</w:t>
      </w:r>
    </w:p>
  </w:footnote>
  <w:footnote w:id="2">
    <w:p w:rsidR="00CD368B" w:rsidRDefault="00CD368B">
      <w:pPr>
        <w:pStyle w:val="FootnoteText"/>
      </w:pPr>
      <w:r>
        <w:rPr>
          <w:rStyle w:val="FootnoteReference"/>
        </w:rPr>
        <w:footnoteRef/>
      </w:r>
      <w:r>
        <w:t xml:space="preserve"> Mark 2010</w:t>
      </w:r>
    </w:p>
  </w:footnote>
  <w:footnote w:id="3">
    <w:p w:rsidR="00DE49FD" w:rsidRDefault="00DE49FD">
      <w:pPr>
        <w:pStyle w:val="FootnoteText"/>
      </w:pPr>
      <w:r>
        <w:rPr>
          <w:rStyle w:val="FootnoteReference"/>
        </w:rPr>
        <w:footnoteRef/>
      </w:r>
      <w:r>
        <w:t xml:space="preserve"> Riggs, 2005, pg 6</w:t>
      </w:r>
    </w:p>
  </w:footnote>
  <w:footnote w:id="4">
    <w:p w:rsidR="004D2228" w:rsidRDefault="004D2228" w:rsidP="004D2228">
      <w:pPr>
        <w:pStyle w:val="FootnoteText"/>
      </w:pPr>
      <w:r>
        <w:rPr>
          <w:rStyle w:val="FootnoteReference"/>
        </w:rPr>
        <w:footnoteRef/>
      </w:r>
      <w:r>
        <w:t xml:space="preserve"> Riggs 2005, pg 9</w:t>
      </w:r>
    </w:p>
  </w:footnote>
  <w:footnote w:id="5">
    <w:p w:rsidR="00A912E5" w:rsidRDefault="00A912E5">
      <w:pPr>
        <w:pStyle w:val="FootnoteText"/>
      </w:pPr>
      <w:r>
        <w:rPr>
          <w:rStyle w:val="FootnoteReference"/>
        </w:rPr>
        <w:footnoteRef/>
      </w:r>
      <w:r>
        <w:t xml:space="preserve"> Breasted, 1972, pg 55</w:t>
      </w:r>
    </w:p>
  </w:footnote>
  <w:footnote w:id="6">
    <w:p w:rsidR="009F5BA6" w:rsidRDefault="009F5BA6">
      <w:pPr>
        <w:pStyle w:val="FootnoteText"/>
      </w:pPr>
      <w:r>
        <w:rPr>
          <w:rStyle w:val="FootnoteReference"/>
        </w:rPr>
        <w:footnoteRef/>
      </w:r>
      <w:r>
        <w:t xml:space="preserve"> Walker, 2000, pg 21</w:t>
      </w:r>
    </w:p>
  </w:footnote>
  <w:footnote w:id="7">
    <w:p w:rsidR="0037294E" w:rsidRDefault="0037294E" w:rsidP="0037294E">
      <w:pPr>
        <w:pStyle w:val="FootnoteText"/>
      </w:pPr>
      <w:r>
        <w:rPr>
          <w:rStyle w:val="FootnoteReference"/>
        </w:rPr>
        <w:footnoteRef/>
      </w:r>
      <w:r>
        <w:t xml:space="preserve"> Edwards, 2005, 850</w:t>
      </w:r>
    </w:p>
  </w:footnote>
  <w:footnote w:id="8">
    <w:p w:rsidR="0037294E" w:rsidRDefault="0037294E" w:rsidP="0037294E">
      <w:pPr>
        <w:pStyle w:val="FootnoteText"/>
      </w:pPr>
      <w:r>
        <w:rPr>
          <w:rStyle w:val="FootnoteReference"/>
        </w:rPr>
        <w:footnoteRef/>
      </w:r>
      <w:r>
        <w:t xml:space="preserve"> Edwards,2005,850</w:t>
      </w:r>
    </w:p>
  </w:footnote>
  <w:footnote w:id="9">
    <w:p w:rsidR="0037294E" w:rsidRDefault="0037294E" w:rsidP="0037294E">
      <w:pPr>
        <w:pStyle w:val="FootnoteText"/>
      </w:pPr>
      <w:r>
        <w:rPr>
          <w:rStyle w:val="FootnoteReference"/>
        </w:rPr>
        <w:footnoteRef/>
      </w:r>
      <w:r>
        <w:t xml:space="preserve"> Edwards,2005, 853</w:t>
      </w:r>
    </w:p>
  </w:footnote>
  <w:footnote w:id="10">
    <w:p w:rsidR="0037294E" w:rsidRDefault="0037294E" w:rsidP="0037294E">
      <w:pPr>
        <w:pStyle w:val="FootnoteText"/>
      </w:pPr>
      <w:r>
        <w:rPr>
          <w:rStyle w:val="FootnoteReference"/>
        </w:rPr>
        <w:footnoteRef/>
      </w:r>
      <w:r>
        <w:t xml:space="preserve"> Lesko 1991, pg 3</w:t>
      </w:r>
    </w:p>
  </w:footnote>
  <w:footnote w:id="11">
    <w:p w:rsidR="0037294E" w:rsidRDefault="0037294E" w:rsidP="0037294E">
      <w:pPr>
        <w:pStyle w:val="FootnoteText"/>
      </w:pPr>
      <w:r>
        <w:rPr>
          <w:rStyle w:val="FootnoteReference"/>
        </w:rPr>
        <w:footnoteRef/>
      </w:r>
      <w:r>
        <w:t xml:space="preserve"> Edwards, 2005, 850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481B15"/>
    <w:multiLevelType w:val="hybridMultilevel"/>
    <w:tmpl w:val="486603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821"/>
    <w:rsid w:val="00040882"/>
    <w:rsid w:val="0004452C"/>
    <w:rsid w:val="00053B61"/>
    <w:rsid w:val="000559B2"/>
    <w:rsid w:val="00064208"/>
    <w:rsid w:val="00066FB1"/>
    <w:rsid w:val="000E056A"/>
    <w:rsid w:val="001103FE"/>
    <w:rsid w:val="00172422"/>
    <w:rsid w:val="00200488"/>
    <w:rsid w:val="0020567B"/>
    <w:rsid w:val="00243FA8"/>
    <w:rsid w:val="002708EB"/>
    <w:rsid w:val="0027342A"/>
    <w:rsid w:val="00276A61"/>
    <w:rsid w:val="0028704D"/>
    <w:rsid w:val="002B4CE7"/>
    <w:rsid w:val="002E33C0"/>
    <w:rsid w:val="002F4285"/>
    <w:rsid w:val="00307982"/>
    <w:rsid w:val="0037294E"/>
    <w:rsid w:val="003865FB"/>
    <w:rsid w:val="003C0A1C"/>
    <w:rsid w:val="004050F5"/>
    <w:rsid w:val="00405B26"/>
    <w:rsid w:val="00432331"/>
    <w:rsid w:val="004B0719"/>
    <w:rsid w:val="004B3C32"/>
    <w:rsid w:val="004D2228"/>
    <w:rsid w:val="004D6CE9"/>
    <w:rsid w:val="004E2A86"/>
    <w:rsid w:val="005806EE"/>
    <w:rsid w:val="00596C29"/>
    <w:rsid w:val="005A09F4"/>
    <w:rsid w:val="005B1C17"/>
    <w:rsid w:val="005C3B75"/>
    <w:rsid w:val="005C78AA"/>
    <w:rsid w:val="00605D00"/>
    <w:rsid w:val="006078D2"/>
    <w:rsid w:val="006521C7"/>
    <w:rsid w:val="00690EC3"/>
    <w:rsid w:val="006B0CAD"/>
    <w:rsid w:val="006F4821"/>
    <w:rsid w:val="00717106"/>
    <w:rsid w:val="007425F5"/>
    <w:rsid w:val="00744F83"/>
    <w:rsid w:val="00766946"/>
    <w:rsid w:val="00771C9B"/>
    <w:rsid w:val="007D02DD"/>
    <w:rsid w:val="007D38C6"/>
    <w:rsid w:val="007E10F6"/>
    <w:rsid w:val="00840D77"/>
    <w:rsid w:val="0084192C"/>
    <w:rsid w:val="00856B92"/>
    <w:rsid w:val="00857DD3"/>
    <w:rsid w:val="00883A25"/>
    <w:rsid w:val="008A2443"/>
    <w:rsid w:val="008C044D"/>
    <w:rsid w:val="008C1B2D"/>
    <w:rsid w:val="008C52F2"/>
    <w:rsid w:val="008C5D27"/>
    <w:rsid w:val="008F33A4"/>
    <w:rsid w:val="00904876"/>
    <w:rsid w:val="00930C5B"/>
    <w:rsid w:val="00932E4B"/>
    <w:rsid w:val="009657F7"/>
    <w:rsid w:val="009863A7"/>
    <w:rsid w:val="00991DF7"/>
    <w:rsid w:val="00996EFA"/>
    <w:rsid w:val="009E6EC2"/>
    <w:rsid w:val="009F5BA6"/>
    <w:rsid w:val="00A07DD4"/>
    <w:rsid w:val="00A215CB"/>
    <w:rsid w:val="00A30B2C"/>
    <w:rsid w:val="00A40424"/>
    <w:rsid w:val="00A40C92"/>
    <w:rsid w:val="00A83159"/>
    <w:rsid w:val="00A912E5"/>
    <w:rsid w:val="00A97F7E"/>
    <w:rsid w:val="00AA1F70"/>
    <w:rsid w:val="00AA6E9A"/>
    <w:rsid w:val="00AD2E4F"/>
    <w:rsid w:val="00AF3803"/>
    <w:rsid w:val="00B82F66"/>
    <w:rsid w:val="00BA7C6F"/>
    <w:rsid w:val="00BC541A"/>
    <w:rsid w:val="00C6155F"/>
    <w:rsid w:val="00C6246E"/>
    <w:rsid w:val="00C65135"/>
    <w:rsid w:val="00CB6025"/>
    <w:rsid w:val="00CD368B"/>
    <w:rsid w:val="00CE60E0"/>
    <w:rsid w:val="00CF7AA6"/>
    <w:rsid w:val="00D34887"/>
    <w:rsid w:val="00D3728A"/>
    <w:rsid w:val="00D65886"/>
    <w:rsid w:val="00DA3211"/>
    <w:rsid w:val="00DB1052"/>
    <w:rsid w:val="00DB6009"/>
    <w:rsid w:val="00DE17D2"/>
    <w:rsid w:val="00DE3362"/>
    <w:rsid w:val="00DE49FD"/>
    <w:rsid w:val="00E0026F"/>
    <w:rsid w:val="00E35E6D"/>
    <w:rsid w:val="00E5112D"/>
    <w:rsid w:val="00E55300"/>
    <w:rsid w:val="00E55D55"/>
    <w:rsid w:val="00ED41D3"/>
    <w:rsid w:val="00F73B0A"/>
    <w:rsid w:val="00F82801"/>
    <w:rsid w:val="00FB55D0"/>
    <w:rsid w:val="00FB55D3"/>
    <w:rsid w:val="00FB5997"/>
    <w:rsid w:val="00FC3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982F06-B4E3-4937-A04D-6BA8DFC3D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48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821"/>
    <w:pPr>
      <w:ind w:left="720"/>
      <w:contextualSpacing/>
    </w:pPr>
  </w:style>
  <w:style w:type="paragraph" w:styleId="FootnoteText">
    <w:name w:val="footnote text"/>
    <w:basedOn w:val="Normal"/>
    <w:link w:val="FootnoteTextChar"/>
    <w:uiPriority w:val="99"/>
    <w:semiHidden/>
    <w:unhideWhenUsed/>
    <w:rsid w:val="009863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63A7"/>
    <w:rPr>
      <w:sz w:val="20"/>
      <w:szCs w:val="20"/>
    </w:rPr>
  </w:style>
  <w:style w:type="character" w:styleId="FootnoteReference">
    <w:name w:val="footnote reference"/>
    <w:basedOn w:val="DefaultParagraphFont"/>
    <w:uiPriority w:val="99"/>
    <w:semiHidden/>
    <w:unhideWhenUsed/>
    <w:rsid w:val="009863A7"/>
    <w:rPr>
      <w:vertAlign w:val="superscript"/>
    </w:rPr>
  </w:style>
  <w:style w:type="character" w:styleId="Hyperlink">
    <w:name w:val="Hyperlink"/>
    <w:basedOn w:val="DefaultParagraphFont"/>
    <w:uiPriority w:val="99"/>
    <w:semiHidden/>
    <w:unhideWhenUsed/>
    <w:rsid w:val="00D65886"/>
    <w:rPr>
      <w:color w:val="0000FF"/>
      <w:u w:val="single"/>
    </w:rPr>
  </w:style>
  <w:style w:type="character" w:styleId="HTMLCite">
    <w:name w:val="HTML Cite"/>
    <w:basedOn w:val="DefaultParagraphFont"/>
    <w:uiPriority w:val="99"/>
    <w:semiHidden/>
    <w:unhideWhenUsed/>
    <w:rsid w:val="008C044D"/>
    <w:rPr>
      <w:i/>
      <w:iCs/>
      <w:vanish w:val="0"/>
      <w:webHidden w:val="0"/>
      <w:color w:val="696969"/>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Khat_(appare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jstor.org/publisher/jhu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ile:Hatshepsut.jpg" TargetMode="External"/><Relationship Id="rId5" Type="http://schemas.openxmlformats.org/officeDocument/2006/relationships/webSettings" Target="webSettings.xml"/><Relationship Id="rId15" Type="http://schemas.openxmlformats.org/officeDocument/2006/relationships/hyperlink" Target="https://en.wikipedia.org/wiki/Beard"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m/url?sa=i&amp;rct=j&amp;q=&amp;esrc=s&amp;source=images&amp;cd=&amp;cad=rja&amp;uact=8&amp;ved=0ahUKEwikpdH-zIXYAhXECuwKHa08D4UQjRwIBw&amp;url=https://www.metmuseum.org/art/collection/search/546756&amp;psig=AOvVaw2WnWHmdrkiehAKqU6JUfJj&amp;ust=1513206814034136" TargetMode="External"/><Relationship Id="rId14" Type="http://schemas.openxmlformats.org/officeDocument/2006/relationships/hyperlink" Target="https://en.wikipedia.org/wiki/Urae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064FC-FC8A-48C9-948D-9C388FA2E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6813</TotalTime>
  <Pages>4</Pages>
  <Words>1876</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mcd</dc:creator>
  <cp:keywords/>
  <dc:description/>
  <cp:lastModifiedBy>tina mcd</cp:lastModifiedBy>
  <cp:revision>85</cp:revision>
  <dcterms:created xsi:type="dcterms:W3CDTF">2017-12-06T18:20:00Z</dcterms:created>
  <dcterms:modified xsi:type="dcterms:W3CDTF">2017-12-12T23:15:00Z</dcterms:modified>
</cp:coreProperties>
</file>