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54DCCA" w14:textId="6EA71C9A" w:rsidR="00C12B83" w:rsidRDefault="00C12B83" w:rsidP="00C12B83">
      <w:pPr>
        <w:rPr>
          <w:lang w:val="en-US"/>
        </w:rPr>
      </w:pPr>
    </w:p>
    <w:p w14:paraId="1C013D61" w14:textId="769C6869" w:rsidR="00C12B83" w:rsidRDefault="00C12B83" w:rsidP="00C12B83">
      <w:pPr>
        <w:rPr>
          <w:lang w:val="en-US"/>
        </w:rPr>
      </w:pPr>
    </w:p>
    <w:p w14:paraId="695E6A7F" w14:textId="662868C5" w:rsidR="00C12B83" w:rsidRDefault="00C12B83" w:rsidP="00C12B83">
      <w:pPr>
        <w:rPr>
          <w:lang w:val="en-US"/>
        </w:rPr>
      </w:pPr>
    </w:p>
    <w:p w14:paraId="37483737" w14:textId="687B172A" w:rsidR="00C12B83" w:rsidRDefault="00C12B83" w:rsidP="00C12B83">
      <w:pPr>
        <w:rPr>
          <w:lang w:val="en-US"/>
        </w:rPr>
      </w:pPr>
    </w:p>
    <w:p w14:paraId="55348C76" w14:textId="5BFD5B6A" w:rsidR="00C12B83" w:rsidRDefault="00C12B83" w:rsidP="00C12B83">
      <w:pPr>
        <w:rPr>
          <w:lang w:val="en-US"/>
        </w:rPr>
      </w:pPr>
    </w:p>
    <w:p w14:paraId="21A8D577" w14:textId="6511F58B" w:rsidR="00C12B83" w:rsidRDefault="00C12B83" w:rsidP="00C12B83">
      <w:pPr>
        <w:rPr>
          <w:lang w:val="en-US"/>
        </w:rPr>
      </w:pPr>
    </w:p>
    <w:p w14:paraId="7D05C1FD" w14:textId="60F007B6" w:rsidR="00C12B83" w:rsidRDefault="00C12B83" w:rsidP="00C12B83">
      <w:pPr>
        <w:rPr>
          <w:lang w:val="en-US"/>
        </w:rPr>
      </w:pPr>
    </w:p>
    <w:p w14:paraId="7364B43F" w14:textId="77777777" w:rsidR="00C12B83" w:rsidRDefault="00C12B83" w:rsidP="00C12B83">
      <w:pPr>
        <w:rPr>
          <w:lang w:val="en-US"/>
        </w:rPr>
      </w:pPr>
    </w:p>
    <w:p w14:paraId="49A0D387" w14:textId="23369ABC" w:rsidR="00463A29" w:rsidRPr="00C12B83" w:rsidRDefault="0019170E" w:rsidP="00C12B83">
      <w:pPr>
        <w:jc w:val="center"/>
        <w:rPr>
          <w:b/>
          <w:lang w:val="en-US"/>
        </w:rPr>
      </w:pPr>
      <w:r w:rsidRPr="00C12B83">
        <w:rPr>
          <w:b/>
          <w:lang w:val="en-US"/>
        </w:rPr>
        <w:t>Student Name:</w:t>
      </w:r>
      <w:r w:rsidR="00700D52">
        <w:rPr>
          <w:b/>
          <w:lang w:val="en-US"/>
        </w:rPr>
        <w:t xml:space="preserve"> Samina Kousar</w:t>
      </w:r>
    </w:p>
    <w:p w14:paraId="4944BC2A" w14:textId="73E8B68B" w:rsidR="00C12B83" w:rsidRPr="00C12B83" w:rsidRDefault="0019170E" w:rsidP="00C12B83">
      <w:pPr>
        <w:jc w:val="center"/>
        <w:rPr>
          <w:b/>
          <w:lang w:val="en-US"/>
        </w:rPr>
      </w:pPr>
      <w:r w:rsidRPr="00C12B83">
        <w:rPr>
          <w:b/>
          <w:lang w:val="en-US"/>
        </w:rPr>
        <w:t>Student Number:</w:t>
      </w:r>
      <w:r w:rsidR="00700D52">
        <w:rPr>
          <w:b/>
          <w:lang w:val="en-US"/>
        </w:rPr>
        <w:t xml:space="preserve"> 2244901</w:t>
      </w:r>
    </w:p>
    <w:p w14:paraId="166E9C7A" w14:textId="373B6D51" w:rsidR="00C12B83" w:rsidRPr="00C12B83" w:rsidRDefault="0019170E" w:rsidP="00C12B83">
      <w:pPr>
        <w:jc w:val="center"/>
        <w:rPr>
          <w:b/>
          <w:lang w:val="en-US"/>
        </w:rPr>
      </w:pPr>
      <w:r w:rsidRPr="00C12B83">
        <w:rPr>
          <w:b/>
          <w:lang w:val="en-US"/>
        </w:rPr>
        <w:t>Module Code:</w:t>
      </w:r>
      <w:r w:rsidR="0091545A" w:rsidRPr="0091545A">
        <w:t xml:space="preserve"> </w:t>
      </w:r>
      <w:r w:rsidR="0091545A" w:rsidRPr="0091545A">
        <w:rPr>
          <w:b/>
          <w:lang w:val="en-US"/>
        </w:rPr>
        <w:t>LCHS7000</w:t>
      </w:r>
    </w:p>
    <w:p w14:paraId="37693EE1" w14:textId="0F554511" w:rsidR="00C12B83" w:rsidRPr="00C12B83" w:rsidRDefault="0019170E" w:rsidP="00C12B83">
      <w:pPr>
        <w:jc w:val="center"/>
        <w:rPr>
          <w:b/>
          <w:lang w:val="en-US"/>
        </w:rPr>
      </w:pPr>
      <w:r w:rsidRPr="00C12B83">
        <w:rPr>
          <w:b/>
          <w:lang w:val="en-US"/>
        </w:rPr>
        <w:t>Module Title:</w:t>
      </w:r>
      <w:r w:rsidR="00545184" w:rsidRPr="00545184">
        <w:t xml:space="preserve"> </w:t>
      </w:r>
      <w:r w:rsidR="00545184" w:rsidRPr="00545184">
        <w:rPr>
          <w:b/>
          <w:lang w:val="en-US"/>
        </w:rPr>
        <w:t>Social Epidemiology and Public Health Development</w:t>
      </w:r>
    </w:p>
    <w:p w14:paraId="798C5D5E" w14:textId="6352DE2C" w:rsidR="00C12B83" w:rsidRPr="00C12B83" w:rsidRDefault="0019170E" w:rsidP="00C12B83">
      <w:pPr>
        <w:jc w:val="center"/>
        <w:rPr>
          <w:b/>
          <w:lang w:val="en-US"/>
        </w:rPr>
      </w:pPr>
      <w:r w:rsidRPr="00C12B83">
        <w:rPr>
          <w:b/>
          <w:lang w:val="en-US"/>
        </w:rPr>
        <w:t>Lecturers Name</w:t>
      </w:r>
    </w:p>
    <w:p w14:paraId="7D222E00" w14:textId="739766EB" w:rsidR="00C12B83" w:rsidRPr="00C12B83" w:rsidRDefault="0019170E" w:rsidP="007942B7">
      <w:pPr>
        <w:jc w:val="center"/>
        <w:rPr>
          <w:b/>
          <w:lang w:val="en-US"/>
        </w:rPr>
      </w:pPr>
      <w:r w:rsidRPr="00C12B83">
        <w:rPr>
          <w:b/>
          <w:lang w:val="en-US"/>
        </w:rPr>
        <w:t>Assignment Title:</w:t>
      </w:r>
      <w:r w:rsidR="007942B7" w:rsidRPr="007942B7">
        <w:t xml:space="preserve"> </w:t>
      </w:r>
      <w:r w:rsidR="007942B7" w:rsidRPr="007942B7">
        <w:rPr>
          <w:b/>
          <w:lang w:val="en-US"/>
        </w:rPr>
        <w:t>Component 2</w:t>
      </w:r>
      <w:r w:rsidR="007942B7">
        <w:rPr>
          <w:b/>
          <w:lang w:val="en-US"/>
        </w:rPr>
        <w:t xml:space="preserve"> </w:t>
      </w:r>
      <w:r w:rsidR="007942B7" w:rsidRPr="007942B7">
        <w:rPr>
          <w:b/>
          <w:lang w:val="en-US"/>
        </w:rPr>
        <w:t>Analytical Report</w:t>
      </w:r>
    </w:p>
    <w:p w14:paraId="2AA76D50" w14:textId="7419560C" w:rsidR="00C12B83" w:rsidRDefault="00C12B83" w:rsidP="00C12B83">
      <w:pPr>
        <w:rPr>
          <w:lang w:val="en-US"/>
        </w:rPr>
      </w:pPr>
    </w:p>
    <w:p w14:paraId="0B070F36" w14:textId="5DFF7A8E" w:rsidR="00C12B83" w:rsidRDefault="00C12B83" w:rsidP="00C12B83">
      <w:pPr>
        <w:rPr>
          <w:lang w:val="en-US"/>
        </w:rPr>
      </w:pPr>
    </w:p>
    <w:p w14:paraId="2D0D7A3F" w14:textId="0CBBC05A" w:rsidR="00BC158C" w:rsidRDefault="00BC158C" w:rsidP="00C12B83">
      <w:pPr>
        <w:rPr>
          <w:lang w:val="en-US"/>
        </w:rPr>
      </w:pPr>
    </w:p>
    <w:p w14:paraId="19CF0395" w14:textId="35C91829" w:rsidR="00BC158C" w:rsidRDefault="0019170E">
      <w:pPr>
        <w:spacing w:line="259" w:lineRule="auto"/>
        <w:rPr>
          <w:lang w:val="en-US"/>
        </w:rPr>
      </w:pPr>
      <w:r>
        <w:rPr>
          <w:lang w:val="en-US"/>
        </w:rPr>
        <w:br w:type="page"/>
      </w:r>
    </w:p>
    <w:sdt>
      <w:sdtPr>
        <w:rPr>
          <w:rFonts w:ascii="Times New Roman" w:eastAsiaTheme="minorHAnsi" w:hAnsi="Times New Roman" w:cstheme="minorBidi"/>
          <w:color w:val="auto"/>
          <w:sz w:val="24"/>
          <w:szCs w:val="22"/>
          <w:lang w:val="en-GB"/>
        </w:rPr>
        <w:id w:val="2134908769"/>
        <w:docPartObj>
          <w:docPartGallery w:val="Table of Contents"/>
          <w:docPartUnique/>
        </w:docPartObj>
      </w:sdtPr>
      <w:sdtEndPr>
        <w:rPr>
          <w:b/>
          <w:bCs/>
          <w:noProof/>
        </w:rPr>
      </w:sdtEndPr>
      <w:sdtContent>
        <w:p w14:paraId="77E4250E" w14:textId="62EDC94F" w:rsidR="00BC158C" w:rsidRPr="00BC158C" w:rsidRDefault="0019170E">
          <w:pPr>
            <w:pStyle w:val="TOCHeading"/>
            <w:rPr>
              <w:rFonts w:ascii="Times New Roman" w:hAnsi="Times New Roman" w:cs="Times New Roman"/>
              <w:color w:val="auto"/>
              <w:sz w:val="24"/>
              <w:szCs w:val="24"/>
            </w:rPr>
          </w:pPr>
          <w:r w:rsidRPr="00BC158C">
            <w:rPr>
              <w:rFonts w:ascii="Times New Roman" w:hAnsi="Times New Roman" w:cs="Times New Roman"/>
              <w:color w:val="auto"/>
              <w:sz w:val="24"/>
              <w:szCs w:val="24"/>
            </w:rPr>
            <w:t>Table of Contents</w:t>
          </w:r>
        </w:p>
        <w:p w14:paraId="62B59649" w14:textId="3341A017" w:rsidR="002C6579" w:rsidRDefault="0019170E">
          <w:pPr>
            <w:pStyle w:val="TOC1"/>
            <w:tabs>
              <w:tab w:val="right" w:leader="dot" w:pos="9350"/>
            </w:tabs>
            <w:rPr>
              <w:rFonts w:asciiTheme="minorHAnsi" w:eastAsiaTheme="minorEastAsia" w:hAnsiTheme="minorHAnsi"/>
              <w:noProof/>
              <w:sz w:val="22"/>
              <w:lang w:eastAsia="en-GB"/>
            </w:rPr>
          </w:pPr>
          <w:r w:rsidRPr="00BC158C">
            <w:rPr>
              <w:rFonts w:cs="Times New Roman"/>
              <w:szCs w:val="24"/>
            </w:rPr>
            <w:fldChar w:fldCharType="begin"/>
          </w:r>
          <w:r w:rsidRPr="00BC158C">
            <w:rPr>
              <w:rFonts w:cs="Times New Roman"/>
              <w:szCs w:val="24"/>
            </w:rPr>
            <w:instrText xml:space="preserve"> TOC \o "1-3" \h \z \u </w:instrText>
          </w:r>
          <w:r w:rsidRPr="00BC158C">
            <w:rPr>
              <w:rFonts w:cs="Times New Roman"/>
              <w:szCs w:val="24"/>
            </w:rPr>
            <w:fldChar w:fldCharType="separate"/>
          </w:r>
          <w:hyperlink w:anchor="_Toc243071539" w:history="1">
            <w:r w:rsidR="002C6579" w:rsidRPr="00CD542F">
              <w:rPr>
                <w:rStyle w:val="Hyperlink"/>
                <w:noProof/>
                <w:lang w:val="en-US"/>
              </w:rPr>
              <w:t>Task 1: Social Epidemiological Analysis</w:t>
            </w:r>
            <w:r w:rsidR="002C6579">
              <w:rPr>
                <w:noProof/>
                <w:webHidden/>
              </w:rPr>
              <w:tab/>
            </w:r>
            <w:r w:rsidR="002C6579">
              <w:rPr>
                <w:noProof/>
                <w:webHidden/>
              </w:rPr>
              <w:fldChar w:fldCharType="begin"/>
            </w:r>
            <w:r w:rsidR="002C6579">
              <w:rPr>
                <w:noProof/>
                <w:webHidden/>
              </w:rPr>
              <w:instrText xml:space="preserve"> PAGEREF _Toc243071539 \h </w:instrText>
            </w:r>
            <w:r w:rsidR="002C6579">
              <w:rPr>
                <w:noProof/>
                <w:webHidden/>
              </w:rPr>
            </w:r>
            <w:r w:rsidR="002C6579">
              <w:rPr>
                <w:noProof/>
                <w:webHidden/>
              </w:rPr>
              <w:fldChar w:fldCharType="separate"/>
            </w:r>
            <w:r w:rsidR="002C6579">
              <w:rPr>
                <w:noProof/>
                <w:webHidden/>
              </w:rPr>
              <w:t>3</w:t>
            </w:r>
            <w:r w:rsidR="002C6579">
              <w:rPr>
                <w:noProof/>
                <w:webHidden/>
              </w:rPr>
              <w:fldChar w:fldCharType="end"/>
            </w:r>
          </w:hyperlink>
        </w:p>
        <w:p w14:paraId="6B535C23" w14:textId="6C3DCAC9" w:rsidR="002C6579" w:rsidRDefault="002C6579">
          <w:pPr>
            <w:pStyle w:val="TOC2"/>
            <w:tabs>
              <w:tab w:val="right" w:leader="dot" w:pos="9350"/>
            </w:tabs>
            <w:rPr>
              <w:rFonts w:asciiTheme="minorHAnsi" w:eastAsiaTheme="minorEastAsia" w:hAnsiTheme="minorHAnsi"/>
              <w:noProof/>
              <w:sz w:val="22"/>
              <w:lang w:eastAsia="en-GB"/>
            </w:rPr>
          </w:pPr>
          <w:hyperlink w:anchor="_Toc243071540" w:history="1">
            <w:r w:rsidRPr="00CD542F">
              <w:rPr>
                <w:rStyle w:val="Hyperlink"/>
                <w:noProof/>
              </w:rPr>
              <w:t>Introduction</w:t>
            </w:r>
            <w:r>
              <w:rPr>
                <w:noProof/>
                <w:webHidden/>
              </w:rPr>
              <w:tab/>
            </w:r>
            <w:r>
              <w:rPr>
                <w:noProof/>
                <w:webHidden/>
              </w:rPr>
              <w:fldChar w:fldCharType="begin"/>
            </w:r>
            <w:r>
              <w:rPr>
                <w:noProof/>
                <w:webHidden/>
              </w:rPr>
              <w:instrText xml:space="preserve"> PAGEREF _Toc243071540 \h </w:instrText>
            </w:r>
            <w:r>
              <w:rPr>
                <w:noProof/>
                <w:webHidden/>
              </w:rPr>
            </w:r>
            <w:r>
              <w:rPr>
                <w:noProof/>
                <w:webHidden/>
              </w:rPr>
              <w:fldChar w:fldCharType="separate"/>
            </w:r>
            <w:r>
              <w:rPr>
                <w:noProof/>
                <w:webHidden/>
              </w:rPr>
              <w:t>3</w:t>
            </w:r>
            <w:r>
              <w:rPr>
                <w:noProof/>
                <w:webHidden/>
              </w:rPr>
              <w:fldChar w:fldCharType="end"/>
            </w:r>
          </w:hyperlink>
        </w:p>
        <w:p w14:paraId="7802A0F3" w14:textId="726276F3" w:rsidR="002C6579" w:rsidRDefault="002C6579">
          <w:pPr>
            <w:pStyle w:val="TOC2"/>
            <w:tabs>
              <w:tab w:val="right" w:leader="dot" w:pos="9350"/>
            </w:tabs>
            <w:rPr>
              <w:rFonts w:asciiTheme="minorHAnsi" w:eastAsiaTheme="minorEastAsia" w:hAnsiTheme="minorHAnsi"/>
              <w:noProof/>
              <w:sz w:val="22"/>
              <w:lang w:eastAsia="en-GB"/>
            </w:rPr>
          </w:pPr>
          <w:hyperlink w:anchor="_Toc243071541" w:history="1">
            <w:r w:rsidRPr="00CD542F">
              <w:rPr>
                <w:rStyle w:val="Hyperlink"/>
                <w:noProof/>
              </w:rPr>
              <w:t>Contextual Background and Underlying Factors</w:t>
            </w:r>
            <w:r>
              <w:rPr>
                <w:noProof/>
                <w:webHidden/>
              </w:rPr>
              <w:tab/>
            </w:r>
            <w:r>
              <w:rPr>
                <w:noProof/>
                <w:webHidden/>
              </w:rPr>
              <w:fldChar w:fldCharType="begin"/>
            </w:r>
            <w:r>
              <w:rPr>
                <w:noProof/>
                <w:webHidden/>
              </w:rPr>
              <w:instrText xml:space="preserve"> PAGEREF _Toc243071541 \h </w:instrText>
            </w:r>
            <w:r>
              <w:rPr>
                <w:noProof/>
                <w:webHidden/>
              </w:rPr>
            </w:r>
            <w:r>
              <w:rPr>
                <w:noProof/>
                <w:webHidden/>
              </w:rPr>
              <w:fldChar w:fldCharType="separate"/>
            </w:r>
            <w:r>
              <w:rPr>
                <w:noProof/>
                <w:webHidden/>
              </w:rPr>
              <w:t>3</w:t>
            </w:r>
            <w:r>
              <w:rPr>
                <w:noProof/>
                <w:webHidden/>
              </w:rPr>
              <w:fldChar w:fldCharType="end"/>
            </w:r>
          </w:hyperlink>
        </w:p>
        <w:p w14:paraId="17E57C65" w14:textId="7EB55FC2" w:rsidR="002C6579" w:rsidRDefault="002C6579">
          <w:pPr>
            <w:pStyle w:val="TOC3"/>
            <w:tabs>
              <w:tab w:val="right" w:leader="dot" w:pos="9350"/>
            </w:tabs>
            <w:rPr>
              <w:rFonts w:asciiTheme="minorHAnsi" w:eastAsiaTheme="minorEastAsia" w:hAnsiTheme="minorHAnsi"/>
              <w:noProof/>
              <w:sz w:val="22"/>
              <w:lang w:eastAsia="en-GB"/>
            </w:rPr>
          </w:pPr>
          <w:hyperlink w:anchor="_Toc243071542" w:history="1">
            <w:r w:rsidRPr="00CD542F">
              <w:rPr>
                <w:rStyle w:val="Hyperlink"/>
                <w:noProof/>
              </w:rPr>
              <w:t>Higher Rates of Mental Health Problems</w:t>
            </w:r>
            <w:r>
              <w:rPr>
                <w:noProof/>
                <w:webHidden/>
              </w:rPr>
              <w:tab/>
            </w:r>
            <w:r>
              <w:rPr>
                <w:noProof/>
                <w:webHidden/>
              </w:rPr>
              <w:fldChar w:fldCharType="begin"/>
            </w:r>
            <w:r>
              <w:rPr>
                <w:noProof/>
                <w:webHidden/>
              </w:rPr>
              <w:instrText xml:space="preserve"> PAGEREF _Toc243071542 \h </w:instrText>
            </w:r>
            <w:r>
              <w:rPr>
                <w:noProof/>
                <w:webHidden/>
              </w:rPr>
            </w:r>
            <w:r>
              <w:rPr>
                <w:noProof/>
                <w:webHidden/>
              </w:rPr>
              <w:fldChar w:fldCharType="separate"/>
            </w:r>
            <w:r>
              <w:rPr>
                <w:noProof/>
                <w:webHidden/>
              </w:rPr>
              <w:t>3</w:t>
            </w:r>
            <w:r>
              <w:rPr>
                <w:noProof/>
                <w:webHidden/>
              </w:rPr>
              <w:fldChar w:fldCharType="end"/>
            </w:r>
          </w:hyperlink>
        </w:p>
        <w:p w14:paraId="59E1FABE" w14:textId="0D050475" w:rsidR="002C6579" w:rsidRDefault="002C6579">
          <w:pPr>
            <w:pStyle w:val="TOC3"/>
            <w:tabs>
              <w:tab w:val="right" w:leader="dot" w:pos="9350"/>
            </w:tabs>
            <w:rPr>
              <w:rFonts w:asciiTheme="minorHAnsi" w:eastAsiaTheme="minorEastAsia" w:hAnsiTheme="minorHAnsi"/>
              <w:noProof/>
              <w:sz w:val="22"/>
              <w:lang w:eastAsia="en-GB"/>
            </w:rPr>
          </w:pPr>
          <w:hyperlink w:anchor="_Toc243071543" w:history="1">
            <w:r w:rsidRPr="00CD542F">
              <w:rPr>
                <w:rStyle w:val="Hyperlink"/>
                <w:noProof/>
              </w:rPr>
              <w:t>Higher Risk of Preventable Illness and Poor Physical Health</w:t>
            </w:r>
            <w:r>
              <w:rPr>
                <w:noProof/>
                <w:webHidden/>
              </w:rPr>
              <w:tab/>
            </w:r>
            <w:r>
              <w:rPr>
                <w:noProof/>
                <w:webHidden/>
              </w:rPr>
              <w:fldChar w:fldCharType="begin"/>
            </w:r>
            <w:r>
              <w:rPr>
                <w:noProof/>
                <w:webHidden/>
              </w:rPr>
              <w:instrText xml:space="preserve"> PAGEREF _Toc243071543 \h </w:instrText>
            </w:r>
            <w:r>
              <w:rPr>
                <w:noProof/>
                <w:webHidden/>
              </w:rPr>
            </w:r>
            <w:r>
              <w:rPr>
                <w:noProof/>
                <w:webHidden/>
              </w:rPr>
              <w:fldChar w:fldCharType="separate"/>
            </w:r>
            <w:r>
              <w:rPr>
                <w:noProof/>
                <w:webHidden/>
              </w:rPr>
              <w:t>3</w:t>
            </w:r>
            <w:r>
              <w:rPr>
                <w:noProof/>
                <w:webHidden/>
              </w:rPr>
              <w:fldChar w:fldCharType="end"/>
            </w:r>
          </w:hyperlink>
        </w:p>
        <w:p w14:paraId="4D5D32E0" w14:textId="22D0BE9D" w:rsidR="002C6579" w:rsidRDefault="002C6579">
          <w:pPr>
            <w:pStyle w:val="TOC3"/>
            <w:tabs>
              <w:tab w:val="right" w:leader="dot" w:pos="9350"/>
            </w:tabs>
            <w:rPr>
              <w:rFonts w:asciiTheme="minorHAnsi" w:eastAsiaTheme="minorEastAsia" w:hAnsiTheme="minorHAnsi"/>
              <w:noProof/>
              <w:sz w:val="22"/>
              <w:lang w:eastAsia="en-GB"/>
            </w:rPr>
          </w:pPr>
          <w:hyperlink w:anchor="_Toc243071544" w:history="1">
            <w:r w:rsidRPr="00CD542F">
              <w:rPr>
                <w:rStyle w:val="Hyperlink"/>
                <w:noProof/>
              </w:rPr>
              <w:t>Barriers to Accessing Healthcare</w:t>
            </w:r>
            <w:r>
              <w:rPr>
                <w:noProof/>
                <w:webHidden/>
              </w:rPr>
              <w:tab/>
            </w:r>
            <w:r>
              <w:rPr>
                <w:noProof/>
                <w:webHidden/>
              </w:rPr>
              <w:fldChar w:fldCharType="begin"/>
            </w:r>
            <w:r>
              <w:rPr>
                <w:noProof/>
                <w:webHidden/>
              </w:rPr>
              <w:instrText xml:space="preserve"> PAGEREF _Toc243071544 \h </w:instrText>
            </w:r>
            <w:r>
              <w:rPr>
                <w:noProof/>
                <w:webHidden/>
              </w:rPr>
            </w:r>
            <w:r>
              <w:rPr>
                <w:noProof/>
                <w:webHidden/>
              </w:rPr>
              <w:fldChar w:fldCharType="separate"/>
            </w:r>
            <w:r>
              <w:rPr>
                <w:noProof/>
                <w:webHidden/>
              </w:rPr>
              <w:t>3</w:t>
            </w:r>
            <w:r>
              <w:rPr>
                <w:noProof/>
                <w:webHidden/>
              </w:rPr>
              <w:fldChar w:fldCharType="end"/>
            </w:r>
          </w:hyperlink>
        </w:p>
        <w:p w14:paraId="0B758BC7" w14:textId="37B669D9" w:rsidR="002C6579" w:rsidRDefault="002C6579">
          <w:pPr>
            <w:pStyle w:val="TOC3"/>
            <w:tabs>
              <w:tab w:val="right" w:leader="dot" w:pos="9350"/>
            </w:tabs>
            <w:rPr>
              <w:rFonts w:asciiTheme="minorHAnsi" w:eastAsiaTheme="minorEastAsia" w:hAnsiTheme="minorHAnsi"/>
              <w:noProof/>
              <w:sz w:val="22"/>
              <w:lang w:eastAsia="en-GB"/>
            </w:rPr>
          </w:pPr>
          <w:hyperlink w:anchor="_Toc243071545" w:history="1">
            <w:r w:rsidRPr="00CD542F">
              <w:rPr>
                <w:rStyle w:val="Hyperlink"/>
                <w:noProof/>
              </w:rPr>
              <w:t>Poverty and Financial Inequality</w:t>
            </w:r>
            <w:r>
              <w:rPr>
                <w:noProof/>
                <w:webHidden/>
              </w:rPr>
              <w:tab/>
            </w:r>
            <w:r>
              <w:rPr>
                <w:noProof/>
                <w:webHidden/>
              </w:rPr>
              <w:fldChar w:fldCharType="begin"/>
            </w:r>
            <w:r>
              <w:rPr>
                <w:noProof/>
                <w:webHidden/>
              </w:rPr>
              <w:instrText xml:space="preserve"> PAGEREF _Toc243071545 \h </w:instrText>
            </w:r>
            <w:r>
              <w:rPr>
                <w:noProof/>
                <w:webHidden/>
              </w:rPr>
            </w:r>
            <w:r>
              <w:rPr>
                <w:noProof/>
                <w:webHidden/>
              </w:rPr>
              <w:fldChar w:fldCharType="separate"/>
            </w:r>
            <w:r>
              <w:rPr>
                <w:noProof/>
                <w:webHidden/>
              </w:rPr>
              <w:t>4</w:t>
            </w:r>
            <w:r>
              <w:rPr>
                <w:noProof/>
                <w:webHidden/>
              </w:rPr>
              <w:fldChar w:fldCharType="end"/>
            </w:r>
          </w:hyperlink>
        </w:p>
        <w:p w14:paraId="378000F3" w14:textId="305E3244" w:rsidR="002C6579" w:rsidRDefault="002C6579">
          <w:pPr>
            <w:pStyle w:val="TOC3"/>
            <w:tabs>
              <w:tab w:val="right" w:leader="dot" w:pos="9350"/>
            </w:tabs>
            <w:rPr>
              <w:rFonts w:asciiTheme="minorHAnsi" w:eastAsiaTheme="minorEastAsia" w:hAnsiTheme="minorHAnsi"/>
              <w:noProof/>
              <w:sz w:val="22"/>
              <w:lang w:eastAsia="en-GB"/>
            </w:rPr>
          </w:pPr>
          <w:hyperlink w:anchor="_Toc243071546" w:history="1">
            <w:r w:rsidRPr="00CD542F">
              <w:rPr>
                <w:rStyle w:val="Hyperlink"/>
                <w:noProof/>
              </w:rPr>
              <w:t>Social Isolation and Loneliness</w:t>
            </w:r>
            <w:r>
              <w:rPr>
                <w:noProof/>
                <w:webHidden/>
              </w:rPr>
              <w:tab/>
            </w:r>
            <w:r>
              <w:rPr>
                <w:noProof/>
                <w:webHidden/>
              </w:rPr>
              <w:fldChar w:fldCharType="begin"/>
            </w:r>
            <w:r>
              <w:rPr>
                <w:noProof/>
                <w:webHidden/>
              </w:rPr>
              <w:instrText xml:space="preserve"> PAGEREF _Toc243071546 \h </w:instrText>
            </w:r>
            <w:r>
              <w:rPr>
                <w:noProof/>
                <w:webHidden/>
              </w:rPr>
            </w:r>
            <w:r>
              <w:rPr>
                <w:noProof/>
                <w:webHidden/>
              </w:rPr>
              <w:fldChar w:fldCharType="separate"/>
            </w:r>
            <w:r>
              <w:rPr>
                <w:noProof/>
                <w:webHidden/>
              </w:rPr>
              <w:t>4</w:t>
            </w:r>
            <w:r>
              <w:rPr>
                <w:noProof/>
                <w:webHidden/>
              </w:rPr>
              <w:fldChar w:fldCharType="end"/>
            </w:r>
          </w:hyperlink>
        </w:p>
        <w:p w14:paraId="44B131D5" w14:textId="005B9F37" w:rsidR="002C6579" w:rsidRDefault="002C6579">
          <w:pPr>
            <w:pStyle w:val="TOC3"/>
            <w:tabs>
              <w:tab w:val="right" w:leader="dot" w:pos="9350"/>
            </w:tabs>
            <w:rPr>
              <w:rFonts w:asciiTheme="minorHAnsi" w:eastAsiaTheme="minorEastAsia" w:hAnsiTheme="minorHAnsi"/>
              <w:noProof/>
              <w:sz w:val="22"/>
              <w:lang w:eastAsia="en-GB"/>
            </w:rPr>
          </w:pPr>
          <w:hyperlink w:anchor="_Toc243071547" w:history="1">
            <w:r w:rsidRPr="00CD542F">
              <w:rPr>
                <w:rStyle w:val="Hyperlink"/>
                <w:noProof/>
              </w:rPr>
              <w:t>Employment Discrimination and Inaccessible Housing</w:t>
            </w:r>
            <w:r>
              <w:rPr>
                <w:noProof/>
                <w:webHidden/>
              </w:rPr>
              <w:tab/>
            </w:r>
            <w:r>
              <w:rPr>
                <w:noProof/>
                <w:webHidden/>
              </w:rPr>
              <w:fldChar w:fldCharType="begin"/>
            </w:r>
            <w:r>
              <w:rPr>
                <w:noProof/>
                <w:webHidden/>
              </w:rPr>
              <w:instrText xml:space="preserve"> PAGEREF _Toc243071547 \h </w:instrText>
            </w:r>
            <w:r>
              <w:rPr>
                <w:noProof/>
                <w:webHidden/>
              </w:rPr>
            </w:r>
            <w:r>
              <w:rPr>
                <w:noProof/>
                <w:webHidden/>
              </w:rPr>
              <w:fldChar w:fldCharType="separate"/>
            </w:r>
            <w:r>
              <w:rPr>
                <w:noProof/>
                <w:webHidden/>
              </w:rPr>
              <w:t>4</w:t>
            </w:r>
            <w:r>
              <w:rPr>
                <w:noProof/>
                <w:webHidden/>
              </w:rPr>
              <w:fldChar w:fldCharType="end"/>
            </w:r>
          </w:hyperlink>
        </w:p>
        <w:p w14:paraId="5CD1A420" w14:textId="0D4BBA48" w:rsidR="002C6579" w:rsidRDefault="002C6579">
          <w:pPr>
            <w:pStyle w:val="TOC2"/>
            <w:tabs>
              <w:tab w:val="right" w:leader="dot" w:pos="9350"/>
            </w:tabs>
            <w:rPr>
              <w:rFonts w:asciiTheme="minorHAnsi" w:eastAsiaTheme="minorEastAsia" w:hAnsiTheme="minorHAnsi"/>
              <w:noProof/>
              <w:sz w:val="22"/>
              <w:lang w:eastAsia="en-GB"/>
            </w:rPr>
          </w:pPr>
          <w:hyperlink w:anchor="_Toc243071548" w:history="1">
            <w:r w:rsidRPr="00CD542F">
              <w:rPr>
                <w:rStyle w:val="Hyperlink"/>
                <w:noProof/>
              </w:rPr>
              <w:t>National Response to Reduce Health Inequalities</w:t>
            </w:r>
            <w:r>
              <w:rPr>
                <w:noProof/>
                <w:webHidden/>
              </w:rPr>
              <w:tab/>
            </w:r>
            <w:r>
              <w:rPr>
                <w:noProof/>
                <w:webHidden/>
              </w:rPr>
              <w:fldChar w:fldCharType="begin"/>
            </w:r>
            <w:r>
              <w:rPr>
                <w:noProof/>
                <w:webHidden/>
              </w:rPr>
              <w:instrText xml:space="preserve"> PAGEREF _Toc243071548 \h </w:instrText>
            </w:r>
            <w:r>
              <w:rPr>
                <w:noProof/>
                <w:webHidden/>
              </w:rPr>
            </w:r>
            <w:r>
              <w:rPr>
                <w:noProof/>
                <w:webHidden/>
              </w:rPr>
              <w:fldChar w:fldCharType="separate"/>
            </w:r>
            <w:r>
              <w:rPr>
                <w:noProof/>
                <w:webHidden/>
              </w:rPr>
              <w:t>5</w:t>
            </w:r>
            <w:r>
              <w:rPr>
                <w:noProof/>
                <w:webHidden/>
              </w:rPr>
              <w:fldChar w:fldCharType="end"/>
            </w:r>
          </w:hyperlink>
        </w:p>
        <w:p w14:paraId="7192411B" w14:textId="4333427B" w:rsidR="002C6579" w:rsidRDefault="002C6579">
          <w:pPr>
            <w:pStyle w:val="TOC2"/>
            <w:tabs>
              <w:tab w:val="right" w:leader="dot" w:pos="9350"/>
            </w:tabs>
            <w:rPr>
              <w:rFonts w:asciiTheme="minorHAnsi" w:eastAsiaTheme="minorEastAsia" w:hAnsiTheme="minorHAnsi"/>
              <w:noProof/>
              <w:sz w:val="22"/>
              <w:lang w:eastAsia="en-GB"/>
            </w:rPr>
          </w:pPr>
          <w:hyperlink w:anchor="_Toc243071549" w:history="1">
            <w:r w:rsidRPr="00CD542F">
              <w:rPr>
                <w:rStyle w:val="Hyperlink"/>
                <w:noProof/>
              </w:rPr>
              <w:t>Organisations That Support Disabled People</w:t>
            </w:r>
            <w:r>
              <w:rPr>
                <w:noProof/>
                <w:webHidden/>
              </w:rPr>
              <w:tab/>
            </w:r>
            <w:r>
              <w:rPr>
                <w:noProof/>
                <w:webHidden/>
              </w:rPr>
              <w:fldChar w:fldCharType="begin"/>
            </w:r>
            <w:r>
              <w:rPr>
                <w:noProof/>
                <w:webHidden/>
              </w:rPr>
              <w:instrText xml:space="preserve"> PAGEREF _Toc243071549 \h </w:instrText>
            </w:r>
            <w:r>
              <w:rPr>
                <w:noProof/>
                <w:webHidden/>
              </w:rPr>
            </w:r>
            <w:r>
              <w:rPr>
                <w:noProof/>
                <w:webHidden/>
              </w:rPr>
              <w:fldChar w:fldCharType="separate"/>
            </w:r>
            <w:r>
              <w:rPr>
                <w:noProof/>
                <w:webHidden/>
              </w:rPr>
              <w:t>5</w:t>
            </w:r>
            <w:r>
              <w:rPr>
                <w:noProof/>
                <w:webHidden/>
              </w:rPr>
              <w:fldChar w:fldCharType="end"/>
            </w:r>
          </w:hyperlink>
        </w:p>
        <w:p w14:paraId="12D88EB7" w14:textId="07FEB57E" w:rsidR="002C6579" w:rsidRDefault="002C6579">
          <w:pPr>
            <w:pStyle w:val="TOC2"/>
            <w:tabs>
              <w:tab w:val="right" w:leader="dot" w:pos="9350"/>
            </w:tabs>
            <w:rPr>
              <w:rFonts w:asciiTheme="minorHAnsi" w:eastAsiaTheme="minorEastAsia" w:hAnsiTheme="minorHAnsi"/>
              <w:noProof/>
              <w:sz w:val="22"/>
              <w:lang w:eastAsia="en-GB"/>
            </w:rPr>
          </w:pPr>
          <w:hyperlink w:anchor="_Toc243071550" w:history="1">
            <w:r w:rsidRPr="00CD542F">
              <w:rPr>
                <w:rStyle w:val="Hyperlink"/>
                <w:noProof/>
              </w:rPr>
              <w:t>Conclusion</w:t>
            </w:r>
            <w:r>
              <w:rPr>
                <w:noProof/>
                <w:webHidden/>
              </w:rPr>
              <w:tab/>
            </w:r>
            <w:r>
              <w:rPr>
                <w:noProof/>
                <w:webHidden/>
              </w:rPr>
              <w:fldChar w:fldCharType="begin"/>
            </w:r>
            <w:r>
              <w:rPr>
                <w:noProof/>
                <w:webHidden/>
              </w:rPr>
              <w:instrText xml:space="preserve"> PAGEREF _Toc243071550 \h </w:instrText>
            </w:r>
            <w:r>
              <w:rPr>
                <w:noProof/>
                <w:webHidden/>
              </w:rPr>
            </w:r>
            <w:r>
              <w:rPr>
                <w:noProof/>
                <w:webHidden/>
              </w:rPr>
              <w:fldChar w:fldCharType="separate"/>
            </w:r>
            <w:r>
              <w:rPr>
                <w:noProof/>
                <w:webHidden/>
              </w:rPr>
              <w:t>5</w:t>
            </w:r>
            <w:r>
              <w:rPr>
                <w:noProof/>
                <w:webHidden/>
              </w:rPr>
              <w:fldChar w:fldCharType="end"/>
            </w:r>
          </w:hyperlink>
        </w:p>
        <w:p w14:paraId="18E7B728" w14:textId="6F2711C1" w:rsidR="002C6579" w:rsidRDefault="002C6579">
          <w:pPr>
            <w:pStyle w:val="TOC2"/>
            <w:tabs>
              <w:tab w:val="right" w:leader="dot" w:pos="9350"/>
            </w:tabs>
            <w:rPr>
              <w:rFonts w:asciiTheme="minorHAnsi" w:eastAsiaTheme="minorEastAsia" w:hAnsiTheme="minorHAnsi"/>
              <w:noProof/>
              <w:sz w:val="22"/>
              <w:lang w:eastAsia="en-GB"/>
            </w:rPr>
          </w:pPr>
          <w:hyperlink w:anchor="_Toc243071551" w:history="1">
            <w:r w:rsidRPr="00CD542F">
              <w:rPr>
                <w:rStyle w:val="Hyperlink"/>
                <w:noProof/>
              </w:rPr>
              <w:t>References</w:t>
            </w:r>
            <w:r>
              <w:rPr>
                <w:noProof/>
                <w:webHidden/>
              </w:rPr>
              <w:tab/>
            </w:r>
            <w:r>
              <w:rPr>
                <w:noProof/>
                <w:webHidden/>
              </w:rPr>
              <w:fldChar w:fldCharType="begin"/>
            </w:r>
            <w:r>
              <w:rPr>
                <w:noProof/>
                <w:webHidden/>
              </w:rPr>
              <w:instrText xml:space="preserve"> PAGEREF _Toc243071551 \h </w:instrText>
            </w:r>
            <w:r>
              <w:rPr>
                <w:noProof/>
                <w:webHidden/>
              </w:rPr>
            </w:r>
            <w:r>
              <w:rPr>
                <w:noProof/>
                <w:webHidden/>
              </w:rPr>
              <w:fldChar w:fldCharType="separate"/>
            </w:r>
            <w:r>
              <w:rPr>
                <w:noProof/>
                <w:webHidden/>
              </w:rPr>
              <w:t>6</w:t>
            </w:r>
            <w:r>
              <w:rPr>
                <w:noProof/>
                <w:webHidden/>
              </w:rPr>
              <w:fldChar w:fldCharType="end"/>
            </w:r>
          </w:hyperlink>
        </w:p>
        <w:p w14:paraId="0C6A479C" w14:textId="344C9410" w:rsidR="002C6579" w:rsidRDefault="002C6579">
          <w:pPr>
            <w:pStyle w:val="TOC1"/>
            <w:tabs>
              <w:tab w:val="right" w:leader="dot" w:pos="9350"/>
            </w:tabs>
            <w:rPr>
              <w:rFonts w:asciiTheme="minorHAnsi" w:eastAsiaTheme="minorEastAsia" w:hAnsiTheme="minorHAnsi"/>
              <w:noProof/>
              <w:sz w:val="22"/>
              <w:lang w:eastAsia="en-GB"/>
            </w:rPr>
          </w:pPr>
          <w:hyperlink w:anchor="_Toc243071552" w:history="1">
            <w:r w:rsidRPr="00CD542F">
              <w:rPr>
                <w:rStyle w:val="Hyperlink"/>
                <w:noProof/>
              </w:rPr>
              <w:t>Task 2: Epidemiological Analysis</w:t>
            </w:r>
            <w:r>
              <w:rPr>
                <w:noProof/>
                <w:webHidden/>
              </w:rPr>
              <w:tab/>
            </w:r>
            <w:r>
              <w:rPr>
                <w:noProof/>
                <w:webHidden/>
              </w:rPr>
              <w:fldChar w:fldCharType="begin"/>
            </w:r>
            <w:r>
              <w:rPr>
                <w:noProof/>
                <w:webHidden/>
              </w:rPr>
              <w:instrText xml:space="preserve"> PAGEREF _Toc243071552 \h </w:instrText>
            </w:r>
            <w:r>
              <w:rPr>
                <w:noProof/>
                <w:webHidden/>
              </w:rPr>
            </w:r>
            <w:r>
              <w:rPr>
                <w:noProof/>
                <w:webHidden/>
              </w:rPr>
              <w:fldChar w:fldCharType="separate"/>
            </w:r>
            <w:r>
              <w:rPr>
                <w:noProof/>
                <w:webHidden/>
              </w:rPr>
              <w:t>8</w:t>
            </w:r>
            <w:r>
              <w:rPr>
                <w:noProof/>
                <w:webHidden/>
              </w:rPr>
              <w:fldChar w:fldCharType="end"/>
            </w:r>
          </w:hyperlink>
        </w:p>
        <w:p w14:paraId="6449E97C" w14:textId="7B4658B7" w:rsidR="002C6579" w:rsidRDefault="002C6579">
          <w:pPr>
            <w:pStyle w:val="TOC2"/>
            <w:tabs>
              <w:tab w:val="right" w:leader="dot" w:pos="9350"/>
            </w:tabs>
            <w:rPr>
              <w:rFonts w:asciiTheme="minorHAnsi" w:eastAsiaTheme="minorEastAsia" w:hAnsiTheme="minorHAnsi"/>
              <w:noProof/>
              <w:sz w:val="22"/>
              <w:lang w:eastAsia="en-GB"/>
            </w:rPr>
          </w:pPr>
          <w:hyperlink w:anchor="_Toc243071553" w:history="1">
            <w:r w:rsidRPr="00CD542F">
              <w:rPr>
                <w:rStyle w:val="Hyperlink"/>
                <w:noProof/>
              </w:rPr>
              <w:t>Introduction</w:t>
            </w:r>
            <w:r>
              <w:rPr>
                <w:noProof/>
                <w:webHidden/>
              </w:rPr>
              <w:tab/>
            </w:r>
            <w:r>
              <w:rPr>
                <w:noProof/>
                <w:webHidden/>
              </w:rPr>
              <w:fldChar w:fldCharType="begin"/>
            </w:r>
            <w:r>
              <w:rPr>
                <w:noProof/>
                <w:webHidden/>
              </w:rPr>
              <w:instrText xml:space="preserve"> PAGEREF _Toc243071553 \h </w:instrText>
            </w:r>
            <w:r>
              <w:rPr>
                <w:noProof/>
                <w:webHidden/>
              </w:rPr>
            </w:r>
            <w:r>
              <w:rPr>
                <w:noProof/>
                <w:webHidden/>
              </w:rPr>
              <w:fldChar w:fldCharType="separate"/>
            </w:r>
            <w:r>
              <w:rPr>
                <w:noProof/>
                <w:webHidden/>
              </w:rPr>
              <w:t>8</w:t>
            </w:r>
            <w:r>
              <w:rPr>
                <w:noProof/>
                <w:webHidden/>
              </w:rPr>
              <w:fldChar w:fldCharType="end"/>
            </w:r>
          </w:hyperlink>
        </w:p>
        <w:p w14:paraId="028F34A2" w14:textId="2874C62D" w:rsidR="002C6579" w:rsidRDefault="002C6579">
          <w:pPr>
            <w:pStyle w:val="TOC2"/>
            <w:tabs>
              <w:tab w:val="right" w:leader="dot" w:pos="9350"/>
            </w:tabs>
            <w:rPr>
              <w:rFonts w:asciiTheme="minorHAnsi" w:eastAsiaTheme="minorEastAsia" w:hAnsiTheme="minorHAnsi"/>
              <w:noProof/>
              <w:sz w:val="22"/>
              <w:lang w:eastAsia="en-GB"/>
            </w:rPr>
          </w:pPr>
          <w:hyperlink w:anchor="_Toc243071554" w:history="1">
            <w:r w:rsidRPr="00CD542F">
              <w:rPr>
                <w:rStyle w:val="Hyperlink"/>
                <w:noProof/>
              </w:rPr>
              <w:t>Risk Factors and Determinants</w:t>
            </w:r>
            <w:r>
              <w:rPr>
                <w:noProof/>
                <w:webHidden/>
              </w:rPr>
              <w:tab/>
            </w:r>
            <w:r>
              <w:rPr>
                <w:noProof/>
                <w:webHidden/>
              </w:rPr>
              <w:fldChar w:fldCharType="begin"/>
            </w:r>
            <w:r>
              <w:rPr>
                <w:noProof/>
                <w:webHidden/>
              </w:rPr>
              <w:instrText xml:space="preserve"> PAGEREF _Toc243071554 \h </w:instrText>
            </w:r>
            <w:r>
              <w:rPr>
                <w:noProof/>
                <w:webHidden/>
              </w:rPr>
            </w:r>
            <w:r>
              <w:rPr>
                <w:noProof/>
                <w:webHidden/>
              </w:rPr>
              <w:fldChar w:fldCharType="separate"/>
            </w:r>
            <w:r>
              <w:rPr>
                <w:noProof/>
                <w:webHidden/>
              </w:rPr>
              <w:t>8</w:t>
            </w:r>
            <w:r>
              <w:rPr>
                <w:noProof/>
                <w:webHidden/>
              </w:rPr>
              <w:fldChar w:fldCharType="end"/>
            </w:r>
          </w:hyperlink>
        </w:p>
        <w:p w14:paraId="4AE2E49F" w14:textId="7A2D5784" w:rsidR="002C6579" w:rsidRDefault="002C6579">
          <w:pPr>
            <w:pStyle w:val="TOC2"/>
            <w:tabs>
              <w:tab w:val="right" w:leader="dot" w:pos="9350"/>
            </w:tabs>
            <w:rPr>
              <w:rFonts w:asciiTheme="minorHAnsi" w:eastAsiaTheme="minorEastAsia" w:hAnsiTheme="minorHAnsi"/>
              <w:noProof/>
              <w:sz w:val="22"/>
              <w:lang w:eastAsia="en-GB"/>
            </w:rPr>
          </w:pPr>
          <w:hyperlink w:anchor="_Toc243071555" w:history="1">
            <w:r w:rsidRPr="00CD542F">
              <w:rPr>
                <w:rStyle w:val="Hyperlink"/>
                <w:noProof/>
              </w:rPr>
              <w:t>Identifying Those Affected or at Risk</w:t>
            </w:r>
            <w:r>
              <w:rPr>
                <w:noProof/>
                <w:webHidden/>
              </w:rPr>
              <w:tab/>
            </w:r>
            <w:r>
              <w:rPr>
                <w:noProof/>
                <w:webHidden/>
              </w:rPr>
              <w:fldChar w:fldCharType="begin"/>
            </w:r>
            <w:r>
              <w:rPr>
                <w:noProof/>
                <w:webHidden/>
              </w:rPr>
              <w:instrText xml:space="preserve"> PAGEREF _Toc243071555 \h </w:instrText>
            </w:r>
            <w:r>
              <w:rPr>
                <w:noProof/>
                <w:webHidden/>
              </w:rPr>
            </w:r>
            <w:r>
              <w:rPr>
                <w:noProof/>
                <w:webHidden/>
              </w:rPr>
              <w:fldChar w:fldCharType="separate"/>
            </w:r>
            <w:r>
              <w:rPr>
                <w:noProof/>
                <w:webHidden/>
              </w:rPr>
              <w:t>8</w:t>
            </w:r>
            <w:r>
              <w:rPr>
                <w:noProof/>
                <w:webHidden/>
              </w:rPr>
              <w:fldChar w:fldCharType="end"/>
            </w:r>
          </w:hyperlink>
        </w:p>
        <w:p w14:paraId="7D698353" w14:textId="5402B948" w:rsidR="002C6579" w:rsidRDefault="002C6579">
          <w:pPr>
            <w:pStyle w:val="TOC2"/>
            <w:tabs>
              <w:tab w:val="right" w:leader="dot" w:pos="9350"/>
            </w:tabs>
            <w:rPr>
              <w:rFonts w:asciiTheme="minorHAnsi" w:eastAsiaTheme="minorEastAsia" w:hAnsiTheme="minorHAnsi"/>
              <w:noProof/>
              <w:sz w:val="22"/>
              <w:lang w:eastAsia="en-GB"/>
            </w:rPr>
          </w:pPr>
          <w:hyperlink w:anchor="_Toc243071556" w:history="1">
            <w:r w:rsidRPr="00CD542F">
              <w:rPr>
                <w:rStyle w:val="Hyperlink"/>
                <w:noProof/>
              </w:rPr>
              <w:t>Surveillance and Monitoring Systems</w:t>
            </w:r>
            <w:r>
              <w:rPr>
                <w:noProof/>
                <w:webHidden/>
              </w:rPr>
              <w:tab/>
            </w:r>
            <w:r>
              <w:rPr>
                <w:noProof/>
                <w:webHidden/>
              </w:rPr>
              <w:fldChar w:fldCharType="begin"/>
            </w:r>
            <w:r>
              <w:rPr>
                <w:noProof/>
                <w:webHidden/>
              </w:rPr>
              <w:instrText xml:space="preserve"> PAGEREF _Toc243071556 \h </w:instrText>
            </w:r>
            <w:r>
              <w:rPr>
                <w:noProof/>
                <w:webHidden/>
              </w:rPr>
            </w:r>
            <w:r>
              <w:rPr>
                <w:noProof/>
                <w:webHidden/>
              </w:rPr>
              <w:fldChar w:fldCharType="separate"/>
            </w:r>
            <w:r>
              <w:rPr>
                <w:noProof/>
                <w:webHidden/>
              </w:rPr>
              <w:t>9</w:t>
            </w:r>
            <w:r>
              <w:rPr>
                <w:noProof/>
                <w:webHidden/>
              </w:rPr>
              <w:fldChar w:fldCharType="end"/>
            </w:r>
          </w:hyperlink>
        </w:p>
        <w:p w14:paraId="53DFF6A5" w14:textId="1A62E052" w:rsidR="002C6579" w:rsidRDefault="002C6579">
          <w:pPr>
            <w:pStyle w:val="TOC2"/>
            <w:tabs>
              <w:tab w:val="right" w:leader="dot" w:pos="9350"/>
            </w:tabs>
            <w:rPr>
              <w:rFonts w:asciiTheme="minorHAnsi" w:eastAsiaTheme="minorEastAsia" w:hAnsiTheme="minorHAnsi"/>
              <w:noProof/>
              <w:sz w:val="22"/>
              <w:lang w:eastAsia="en-GB"/>
            </w:rPr>
          </w:pPr>
          <w:hyperlink w:anchor="_Toc243071557" w:history="1">
            <w:r w:rsidRPr="00CD542F">
              <w:rPr>
                <w:rStyle w:val="Hyperlink"/>
                <w:noProof/>
              </w:rPr>
              <w:t>Public Health Impact</w:t>
            </w:r>
            <w:r>
              <w:rPr>
                <w:noProof/>
                <w:webHidden/>
              </w:rPr>
              <w:tab/>
            </w:r>
            <w:r>
              <w:rPr>
                <w:noProof/>
                <w:webHidden/>
              </w:rPr>
              <w:fldChar w:fldCharType="begin"/>
            </w:r>
            <w:r>
              <w:rPr>
                <w:noProof/>
                <w:webHidden/>
              </w:rPr>
              <w:instrText xml:space="preserve"> PAGEREF _Toc243071557 \h </w:instrText>
            </w:r>
            <w:r>
              <w:rPr>
                <w:noProof/>
                <w:webHidden/>
              </w:rPr>
            </w:r>
            <w:r>
              <w:rPr>
                <w:noProof/>
                <w:webHidden/>
              </w:rPr>
              <w:fldChar w:fldCharType="separate"/>
            </w:r>
            <w:r>
              <w:rPr>
                <w:noProof/>
                <w:webHidden/>
              </w:rPr>
              <w:t>9</w:t>
            </w:r>
            <w:r>
              <w:rPr>
                <w:noProof/>
                <w:webHidden/>
              </w:rPr>
              <w:fldChar w:fldCharType="end"/>
            </w:r>
          </w:hyperlink>
        </w:p>
        <w:p w14:paraId="5205FC92" w14:textId="71257337" w:rsidR="002C6579" w:rsidRDefault="002C6579">
          <w:pPr>
            <w:pStyle w:val="TOC2"/>
            <w:tabs>
              <w:tab w:val="right" w:leader="dot" w:pos="9350"/>
            </w:tabs>
            <w:rPr>
              <w:rFonts w:asciiTheme="minorHAnsi" w:eastAsiaTheme="minorEastAsia" w:hAnsiTheme="minorHAnsi"/>
              <w:noProof/>
              <w:sz w:val="22"/>
              <w:lang w:eastAsia="en-GB"/>
            </w:rPr>
          </w:pPr>
          <w:hyperlink w:anchor="_Toc243071558" w:history="1">
            <w:r w:rsidRPr="00CD542F">
              <w:rPr>
                <w:rStyle w:val="Hyperlink"/>
                <w:noProof/>
              </w:rPr>
              <w:t>Existing Public Health Measures: The Three Ps</w:t>
            </w:r>
            <w:r>
              <w:rPr>
                <w:noProof/>
                <w:webHidden/>
              </w:rPr>
              <w:tab/>
            </w:r>
            <w:r>
              <w:rPr>
                <w:noProof/>
                <w:webHidden/>
              </w:rPr>
              <w:fldChar w:fldCharType="begin"/>
            </w:r>
            <w:r>
              <w:rPr>
                <w:noProof/>
                <w:webHidden/>
              </w:rPr>
              <w:instrText xml:space="preserve"> PAGEREF _Toc243071558 \h </w:instrText>
            </w:r>
            <w:r>
              <w:rPr>
                <w:noProof/>
                <w:webHidden/>
              </w:rPr>
            </w:r>
            <w:r>
              <w:rPr>
                <w:noProof/>
                <w:webHidden/>
              </w:rPr>
              <w:fldChar w:fldCharType="separate"/>
            </w:r>
            <w:r>
              <w:rPr>
                <w:noProof/>
                <w:webHidden/>
              </w:rPr>
              <w:t>10</w:t>
            </w:r>
            <w:r>
              <w:rPr>
                <w:noProof/>
                <w:webHidden/>
              </w:rPr>
              <w:fldChar w:fldCharType="end"/>
            </w:r>
          </w:hyperlink>
        </w:p>
        <w:p w14:paraId="4AB744B4" w14:textId="52D62041" w:rsidR="002C6579" w:rsidRDefault="002C6579">
          <w:pPr>
            <w:pStyle w:val="TOC2"/>
            <w:tabs>
              <w:tab w:val="right" w:leader="dot" w:pos="9350"/>
            </w:tabs>
            <w:rPr>
              <w:rFonts w:asciiTheme="minorHAnsi" w:eastAsiaTheme="minorEastAsia" w:hAnsiTheme="minorHAnsi"/>
              <w:noProof/>
              <w:sz w:val="22"/>
              <w:lang w:eastAsia="en-GB"/>
            </w:rPr>
          </w:pPr>
          <w:hyperlink w:anchor="_Toc243071559" w:history="1">
            <w:r w:rsidRPr="00CD542F">
              <w:rPr>
                <w:rStyle w:val="Hyperlink"/>
                <w:noProof/>
              </w:rPr>
              <w:t>Proposed Intervention Programme and Evaluation</w:t>
            </w:r>
            <w:r>
              <w:rPr>
                <w:noProof/>
                <w:webHidden/>
              </w:rPr>
              <w:tab/>
            </w:r>
            <w:r>
              <w:rPr>
                <w:noProof/>
                <w:webHidden/>
              </w:rPr>
              <w:fldChar w:fldCharType="begin"/>
            </w:r>
            <w:r>
              <w:rPr>
                <w:noProof/>
                <w:webHidden/>
              </w:rPr>
              <w:instrText xml:space="preserve"> PAGEREF _Toc243071559 \h </w:instrText>
            </w:r>
            <w:r>
              <w:rPr>
                <w:noProof/>
                <w:webHidden/>
              </w:rPr>
            </w:r>
            <w:r>
              <w:rPr>
                <w:noProof/>
                <w:webHidden/>
              </w:rPr>
              <w:fldChar w:fldCharType="separate"/>
            </w:r>
            <w:r>
              <w:rPr>
                <w:noProof/>
                <w:webHidden/>
              </w:rPr>
              <w:t>10</w:t>
            </w:r>
            <w:r>
              <w:rPr>
                <w:noProof/>
                <w:webHidden/>
              </w:rPr>
              <w:fldChar w:fldCharType="end"/>
            </w:r>
          </w:hyperlink>
        </w:p>
        <w:p w14:paraId="73D39B28" w14:textId="08D1386D" w:rsidR="002C6579" w:rsidRDefault="002C6579">
          <w:pPr>
            <w:pStyle w:val="TOC2"/>
            <w:tabs>
              <w:tab w:val="right" w:leader="dot" w:pos="9350"/>
            </w:tabs>
            <w:rPr>
              <w:rFonts w:asciiTheme="minorHAnsi" w:eastAsiaTheme="minorEastAsia" w:hAnsiTheme="minorHAnsi"/>
              <w:noProof/>
              <w:sz w:val="22"/>
              <w:lang w:eastAsia="en-GB"/>
            </w:rPr>
          </w:pPr>
          <w:hyperlink w:anchor="_Toc243071560" w:history="1">
            <w:r w:rsidRPr="00CD542F">
              <w:rPr>
                <w:rStyle w:val="Hyperlink"/>
                <w:noProof/>
              </w:rPr>
              <w:t>Strengths and Limitations of the Epidemiological Approach</w:t>
            </w:r>
            <w:r>
              <w:rPr>
                <w:noProof/>
                <w:webHidden/>
              </w:rPr>
              <w:tab/>
            </w:r>
            <w:r>
              <w:rPr>
                <w:noProof/>
                <w:webHidden/>
              </w:rPr>
              <w:fldChar w:fldCharType="begin"/>
            </w:r>
            <w:r>
              <w:rPr>
                <w:noProof/>
                <w:webHidden/>
              </w:rPr>
              <w:instrText xml:space="preserve"> PAGEREF _Toc243071560 \h </w:instrText>
            </w:r>
            <w:r>
              <w:rPr>
                <w:noProof/>
                <w:webHidden/>
              </w:rPr>
            </w:r>
            <w:r>
              <w:rPr>
                <w:noProof/>
                <w:webHidden/>
              </w:rPr>
              <w:fldChar w:fldCharType="separate"/>
            </w:r>
            <w:r>
              <w:rPr>
                <w:noProof/>
                <w:webHidden/>
              </w:rPr>
              <w:t>11</w:t>
            </w:r>
            <w:r>
              <w:rPr>
                <w:noProof/>
                <w:webHidden/>
              </w:rPr>
              <w:fldChar w:fldCharType="end"/>
            </w:r>
          </w:hyperlink>
        </w:p>
        <w:p w14:paraId="17F451B5" w14:textId="4BE8621F" w:rsidR="002C6579" w:rsidRDefault="002C6579">
          <w:pPr>
            <w:pStyle w:val="TOC2"/>
            <w:tabs>
              <w:tab w:val="right" w:leader="dot" w:pos="9350"/>
            </w:tabs>
            <w:rPr>
              <w:rFonts w:asciiTheme="minorHAnsi" w:eastAsiaTheme="minorEastAsia" w:hAnsiTheme="minorHAnsi"/>
              <w:noProof/>
              <w:sz w:val="22"/>
              <w:lang w:eastAsia="en-GB"/>
            </w:rPr>
          </w:pPr>
          <w:hyperlink w:anchor="_Toc243071561" w:history="1">
            <w:r w:rsidRPr="00CD542F">
              <w:rPr>
                <w:rStyle w:val="Hyperlink"/>
                <w:noProof/>
              </w:rPr>
              <w:t>Conclusion</w:t>
            </w:r>
            <w:r>
              <w:rPr>
                <w:noProof/>
                <w:webHidden/>
              </w:rPr>
              <w:tab/>
            </w:r>
            <w:r>
              <w:rPr>
                <w:noProof/>
                <w:webHidden/>
              </w:rPr>
              <w:fldChar w:fldCharType="begin"/>
            </w:r>
            <w:r>
              <w:rPr>
                <w:noProof/>
                <w:webHidden/>
              </w:rPr>
              <w:instrText xml:space="preserve"> PAGEREF _Toc243071561 \h </w:instrText>
            </w:r>
            <w:r>
              <w:rPr>
                <w:noProof/>
                <w:webHidden/>
              </w:rPr>
            </w:r>
            <w:r>
              <w:rPr>
                <w:noProof/>
                <w:webHidden/>
              </w:rPr>
              <w:fldChar w:fldCharType="separate"/>
            </w:r>
            <w:r>
              <w:rPr>
                <w:noProof/>
                <w:webHidden/>
              </w:rPr>
              <w:t>11</w:t>
            </w:r>
            <w:r>
              <w:rPr>
                <w:noProof/>
                <w:webHidden/>
              </w:rPr>
              <w:fldChar w:fldCharType="end"/>
            </w:r>
          </w:hyperlink>
        </w:p>
        <w:p w14:paraId="12EF501E" w14:textId="6555F6E2" w:rsidR="002C6579" w:rsidRDefault="002C6579">
          <w:pPr>
            <w:pStyle w:val="TOC2"/>
            <w:tabs>
              <w:tab w:val="right" w:leader="dot" w:pos="9350"/>
            </w:tabs>
            <w:rPr>
              <w:rFonts w:asciiTheme="minorHAnsi" w:eastAsiaTheme="minorEastAsia" w:hAnsiTheme="minorHAnsi"/>
              <w:noProof/>
              <w:sz w:val="22"/>
              <w:lang w:eastAsia="en-GB"/>
            </w:rPr>
          </w:pPr>
          <w:hyperlink w:anchor="_Toc243071562" w:history="1">
            <w:r w:rsidRPr="00CD542F">
              <w:rPr>
                <w:rStyle w:val="Hyperlink"/>
                <w:noProof/>
              </w:rPr>
              <w:t>References</w:t>
            </w:r>
            <w:r>
              <w:rPr>
                <w:noProof/>
                <w:webHidden/>
              </w:rPr>
              <w:tab/>
            </w:r>
            <w:r>
              <w:rPr>
                <w:noProof/>
                <w:webHidden/>
              </w:rPr>
              <w:fldChar w:fldCharType="begin"/>
            </w:r>
            <w:r>
              <w:rPr>
                <w:noProof/>
                <w:webHidden/>
              </w:rPr>
              <w:instrText xml:space="preserve"> PAGEREF _Toc243071562 \h </w:instrText>
            </w:r>
            <w:r>
              <w:rPr>
                <w:noProof/>
                <w:webHidden/>
              </w:rPr>
            </w:r>
            <w:r>
              <w:rPr>
                <w:noProof/>
                <w:webHidden/>
              </w:rPr>
              <w:fldChar w:fldCharType="separate"/>
            </w:r>
            <w:r>
              <w:rPr>
                <w:noProof/>
                <w:webHidden/>
              </w:rPr>
              <w:t>11</w:t>
            </w:r>
            <w:r>
              <w:rPr>
                <w:noProof/>
                <w:webHidden/>
              </w:rPr>
              <w:fldChar w:fldCharType="end"/>
            </w:r>
          </w:hyperlink>
        </w:p>
        <w:p w14:paraId="066E8C3D" w14:textId="6E4EDE5D" w:rsidR="00BC158C" w:rsidRDefault="0019170E">
          <w:r w:rsidRPr="00BC158C">
            <w:rPr>
              <w:rFonts w:cs="Times New Roman"/>
              <w:b/>
              <w:bCs/>
              <w:noProof/>
              <w:szCs w:val="24"/>
            </w:rPr>
            <w:fldChar w:fldCharType="end"/>
          </w:r>
        </w:p>
      </w:sdtContent>
    </w:sdt>
    <w:p w14:paraId="7EB0BD19" w14:textId="77777777" w:rsidR="00BC158C" w:rsidRDefault="00BC158C" w:rsidP="00C12B83">
      <w:pPr>
        <w:rPr>
          <w:lang w:val="en-US"/>
        </w:rPr>
      </w:pPr>
    </w:p>
    <w:p w14:paraId="15F64A82" w14:textId="77777777" w:rsidR="00BC158C" w:rsidRDefault="00BC158C" w:rsidP="00C12B83">
      <w:pPr>
        <w:rPr>
          <w:lang w:val="en-US"/>
        </w:rPr>
      </w:pPr>
    </w:p>
    <w:p w14:paraId="17A8AD08" w14:textId="3D02C6E0" w:rsidR="00C12B83" w:rsidRDefault="0019170E">
      <w:pPr>
        <w:spacing w:line="259" w:lineRule="auto"/>
        <w:rPr>
          <w:lang w:val="en-US"/>
        </w:rPr>
      </w:pPr>
      <w:r>
        <w:rPr>
          <w:lang w:val="en-US"/>
        </w:rPr>
        <w:br w:type="page"/>
      </w:r>
    </w:p>
    <w:p w14:paraId="2E945758" w14:textId="735307ED" w:rsidR="00C12B83" w:rsidRDefault="0019170E" w:rsidP="00B3638D">
      <w:pPr>
        <w:pStyle w:val="Heading1"/>
        <w:rPr>
          <w:lang w:val="en-US"/>
        </w:rPr>
      </w:pPr>
      <w:bookmarkStart w:id="0" w:name="_Toc243071539"/>
      <w:r>
        <w:rPr>
          <w:lang w:val="en-US"/>
        </w:rPr>
        <w:lastRenderedPageBreak/>
        <w:t>Task 1: Social Epidemiological Analysis</w:t>
      </w:r>
      <w:bookmarkEnd w:id="0"/>
    </w:p>
    <w:p w14:paraId="00D80052" w14:textId="49FEDA8B" w:rsidR="00B3638D" w:rsidRDefault="0019170E" w:rsidP="005371B9">
      <w:pPr>
        <w:pStyle w:val="Heading2"/>
      </w:pPr>
      <w:bookmarkStart w:id="1" w:name="_Toc243071540"/>
      <w:r w:rsidRPr="00B3638D">
        <w:t>Introduction</w:t>
      </w:r>
      <w:bookmarkEnd w:id="1"/>
    </w:p>
    <w:p w14:paraId="772CE548" w14:textId="30CAE377" w:rsidR="00F81251" w:rsidRDefault="0019170E" w:rsidP="00323D0D">
      <w:r w:rsidRPr="00F81251">
        <w:t>Disability is a term used to describe long-term physical, mental, intellectual or sensory impairments that, in conjunction with barriers in society, limit the ability to engage in daily life. Health inequalities are a real issue for disabled people in the UK due to inaccessible health services, discrimination, poverty and inequalities regarding opportunity. Disability is recognised as a protected characteristic (Equality Act 2010, GOV.UK, 2010) and structural barriers are noted as impacting health outcomes by the World Health Organisation (2025). Marmot (2020) also show the socioeconomic nature of health inequalities. This report looks at these issues, their national responses and charitable support.</w:t>
      </w:r>
      <w:r>
        <w:t xml:space="preserve"> </w:t>
      </w:r>
    </w:p>
    <w:p w14:paraId="69B69849" w14:textId="77777777" w:rsidR="005371B9" w:rsidRPr="005371B9" w:rsidRDefault="005371B9" w:rsidP="005371B9"/>
    <w:p w14:paraId="05584F8C" w14:textId="0BA97D40" w:rsidR="00B3638D" w:rsidRDefault="0019170E" w:rsidP="00AC6741">
      <w:pPr>
        <w:pStyle w:val="Heading2"/>
      </w:pPr>
      <w:bookmarkStart w:id="2" w:name="_Toc243071541"/>
      <w:r w:rsidRPr="00B3638D">
        <w:t>Contextual Background and Underlying Factors</w:t>
      </w:r>
      <w:bookmarkEnd w:id="2"/>
    </w:p>
    <w:p w14:paraId="099F5E96" w14:textId="5BD6D0CD" w:rsidR="00AC6741" w:rsidRDefault="0019170E" w:rsidP="00015D66">
      <w:pPr>
        <w:pStyle w:val="Heading3"/>
      </w:pPr>
      <w:bookmarkStart w:id="3" w:name="_Toc243071542"/>
      <w:r>
        <w:t>Higher Rates of Mental Health Problems</w:t>
      </w:r>
      <w:bookmarkEnd w:id="3"/>
    </w:p>
    <w:p w14:paraId="07286527" w14:textId="158BEB84" w:rsidR="00382800" w:rsidRDefault="0019170E" w:rsidP="00F427ED">
      <w:r w:rsidRPr="00382800">
        <w:t>In Great Britain, 33.6% of disabled adults (compared with 12.0% of non-disabled adults) had moderate to severe depressive symptoms in early 2023, according to GOV.UK (2023). This difference is a result of the impact of discrimination, social isolation, financial insecurity and chronic health problems. Stigma and exclusion are also obstacles to mental wellbeing according to the World Health Organisation (2025). Equality could be improved by providing easy access to NHS Talking Therapies, disability-informed psychological assessments, and peer support programmes that address social isolation and mental health needs.</w:t>
      </w:r>
      <w:r>
        <w:t xml:space="preserve"> </w:t>
      </w:r>
    </w:p>
    <w:p w14:paraId="07E925E0" w14:textId="3B70D84A" w:rsidR="00AC6741" w:rsidRDefault="0019170E" w:rsidP="00015D66">
      <w:pPr>
        <w:pStyle w:val="Heading3"/>
      </w:pPr>
      <w:bookmarkStart w:id="4" w:name="_Toc243071543"/>
      <w:r>
        <w:t>Higher Risk of Preventable Illness and Poor Physical Health</w:t>
      </w:r>
      <w:bookmarkEnd w:id="4"/>
    </w:p>
    <w:p w14:paraId="5B078DC2" w14:textId="223EBABA" w:rsidR="00EE04D0" w:rsidRDefault="0019170E" w:rsidP="00954450">
      <w:r w:rsidRPr="00844EFD">
        <w:t xml:space="preserve">Disabled people also have poorer physical health, as the Learning Disabilities Mortality Review indicated that 42% of deaths among adults with a learning disability could have been prevented with good quality care compared to 22% in the general population (LeDeR, 2021). </w:t>
      </w:r>
      <w:r w:rsidR="000226A4">
        <w:t xml:space="preserve">Whenever a delay </w:t>
      </w:r>
      <w:r w:rsidR="009B260F">
        <w:t>arises</w:t>
      </w:r>
      <w:r w:rsidRPr="00844EFD">
        <w:t xml:space="preserve"> </w:t>
      </w:r>
      <w:r w:rsidR="005B5DD9">
        <w:t xml:space="preserve">in </w:t>
      </w:r>
      <w:r w:rsidRPr="00844EFD">
        <w:t xml:space="preserve">diagnosis, or access to screening and preventive care is limited, conditions like cardiovascular disease and diabetes can go undiagnosed, </w:t>
      </w:r>
      <w:r w:rsidR="00FA53FF">
        <w:t>thus hindering</w:t>
      </w:r>
      <w:r w:rsidRPr="00844EFD">
        <w:t xml:space="preserve"> progress. Therefore, screening, reasonable adjustments and coordinated care in the primary and secondary care systems need to be maximised to minimise preventable complications (Khatri et al., 2023).</w:t>
      </w:r>
    </w:p>
    <w:p w14:paraId="47F51A94" w14:textId="62363A85" w:rsidR="00AC6741" w:rsidRDefault="0019170E" w:rsidP="00015D66">
      <w:pPr>
        <w:pStyle w:val="Heading3"/>
      </w:pPr>
      <w:bookmarkStart w:id="5" w:name="_Toc243071544"/>
      <w:r>
        <w:t>Barriers to Accessing Healthcare</w:t>
      </w:r>
      <w:bookmarkEnd w:id="5"/>
    </w:p>
    <w:p w14:paraId="7DA983B4" w14:textId="7D7A5B29" w:rsidR="008C65E3" w:rsidRPr="006560B4" w:rsidRDefault="0019170E" w:rsidP="008742AF">
      <w:pPr>
        <w:rPr>
          <w:highlight w:val="yellow"/>
        </w:rPr>
      </w:pPr>
      <w:r w:rsidRPr="00BE2007">
        <w:t xml:space="preserve">The inequalities in accessing and experiencing health and social care services remained for individuals with learning disabilities and autistic people in the Care Quality Commission's State of Care 2022/23 report (CQC, 2023). Furthermore, the NHS Learning disability data revealed that only approximately 80% of the children who should have a health check happened to do so annually, which indicated prevention care gaps (NHS, 2024). Limited access to the clinic, </w:t>
      </w:r>
      <w:r w:rsidRPr="00BE2007">
        <w:lastRenderedPageBreak/>
        <w:t>language barriers, and inadequate staff training may be factors in missed appointments and delayed diagnosis. Equitable healthcare access is dependent upon improving reasonable adjustments, accessible information and annual health-check uptake.</w:t>
      </w:r>
    </w:p>
    <w:p w14:paraId="5E8FB306" w14:textId="49FF3C2C" w:rsidR="000D07D6" w:rsidRDefault="0019170E" w:rsidP="000D07D6">
      <w:pPr>
        <w:pStyle w:val="Heading3"/>
      </w:pPr>
      <w:bookmarkStart w:id="6" w:name="_Toc243071545"/>
      <w:r>
        <w:t>Poverty and Financial Inequality</w:t>
      </w:r>
      <w:bookmarkEnd w:id="6"/>
    </w:p>
    <w:p w14:paraId="6D15BAC3" w14:textId="07F172C3" w:rsidR="00804852" w:rsidRDefault="0019170E" w:rsidP="00B34F31">
      <w:r w:rsidRPr="00754B07">
        <w:t>Disabled people are also significantly more likely to be living in poverty; the Joseph Rowntree Foundation estimates that 28% of disabled people are in poverty, compared to 20% of non-disabled people (JRF, 2026). This gap was driven by fewer working days: in 2025, the disability employment gap was 29.7 percentage points (DWP, 2025), with further average monthly living costs of £1,010. Therefore, suitable disability benefits to cover these costs, as well as flexible employment and accessible services, like energy, are recommended.</w:t>
      </w:r>
    </w:p>
    <w:p w14:paraId="0B317CAB" w14:textId="1737D6D8" w:rsidR="000D07D6" w:rsidRDefault="0019170E" w:rsidP="000D07D6">
      <w:pPr>
        <w:pStyle w:val="Heading3"/>
      </w:pPr>
      <w:bookmarkStart w:id="7" w:name="_Toc243071546"/>
      <w:r>
        <w:t>Social Isolation and Loneliness</w:t>
      </w:r>
      <w:bookmarkEnd w:id="7"/>
    </w:p>
    <w:p w14:paraId="55460A8C" w14:textId="40B03539" w:rsidR="006F6396" w:rsidRDefault="0019170E" w:rsidP="006560B4">
      <w:r w:rsidRPr="002156BC">
        <w:t>Disabled adults in England are significantly more likely to feel lonely often (14%) or always (14%) than non-disabled adults (3% often, 1% always) (ONS, 2025). Lack of community facilities, negative attitudes, lack of transport and social costs limit people with disabilities' inclusion, as Lyerly (2026) reported 45% of working-age disabled adults being chronically lonely. The onset of loneliness is related to depression, anxiety and stress, contributing to existing health inequalities. Local authorities also need to make sure that the community facilities are suitable for various physical, sensory and communication requirements.</w:t>
      </w:r>
    </w:p>
    <w:p w14:paraId="26D3596F" w14:textId="5DCF5CAC" w:rsidR="000D07D6" w:rsidRDefault="0019170E" w:rsidP="006560B4">
      <w:pPr>
        <w:pStyle w:val="Heading3"/>
      </w:pPr>
      <w:bookmarkStart w:id="8" w:name="_Toc243071547"/>
      <w:r>
        <w:t xml:space="preserve">Employment </w:t>
      </w:r>
      <w:r w:rsidRPr="006560B4">
        <w:t>Discrimination</w:t>
      </w:r>
      <w:r>
        <w:t xml:space="preserve"> and Inaccessible Housing</w:t>
      </w:r>
      <w:bookmarkEnd w:id="8"/>
    </w:p>
    <w:p w14:paraId="15DD9FCF" w14:textId="7E3FB961" w:rsidR="000D07D6" w:rsidRDefault="0019170E" w:rsidP="006560B4">
      <w:r w:rsidRPr="00165E4F">
        <w:t>The disability employment gap is 29.7</w:t>
      </w:r>
      <w:r w:rsidR="006560B4">
        <w:t xml:space="preserve">% </w:t>
      </w:r>
      <w:r w:rsidRPr="00165E4F">
        <w:t xml:space="preserve">points in 2025 (DWP, 2025), and Olsen (2024) reported that many employers do not make reasonable adjustments. Housing exacerbates this disadvantage, as 1.8 million people require accessible housing; </w:t>
      </w:r>
      <w:r w:rsidR="00626198">
        <w:t>however</w:t>
      </w:r>
      <w:r w:rsidR="00947D84">
        <w:t>,</w:t>
      </w:r>
      <w:r w:rsidRPr="00165E4F">
        <w:t xml:space="preserve"> only 7% of properties in England have minimum accessibility features, and those in inaccessible homes are four times more likely to be unemployed (UK Parliament, 2023). Therefore, inclusive recruitment, forced adjustments, and investments in accessible housing are recommended.</w:t>
      </w:r>
      <w:r>
        <w:t xml:space="preserve"> </w:t>
      </w:r>
    </w:p>
    <w:p w14:paraId="22EE4C5B" w14:textId="77777777" w:rsidR="00165E4F" w:rsidRPr="00B3638D" w:rsidRDefault="00165E4F" w:rsidP="00B3638D"/>
    <w:p w14:paraId="70E129D0" w14:textId="5A0DE28A" w:rsidR="00B3638D" w:rsidRDefault="0019170E" w:rsidP="004A2374">
      <w:pPr>
        <w:pStyle w:val="Heading2"/>
      </w:pPr>
      <w:bookmarkStart w:id="9" w:name="_Toc243071548"/>
      <w:r w:rsidRPr="00B3638D">
        <w:t>National Response to Reduce Health Inequalities</w:t>
      </w:r>
      <w:bookmarkEnd w:id="9"/>
    </w:p>
    <w:p w14:paraId="538C1D1E" w14:textId="349480A9" w:rsidR="003D7695" w:rsidRPr="007F4B12" w:rsidRDefault="0019170E" w:rsidP="006560B4">
      <w:r w:rsidRPr="003D7695">
        <w:t xml:space="preserve">There have been several efforts at the national level to address disability related inequality and social injustice. The aim of the Equality Act 2010 is to prevent disabled people from suffering discrimination and to ensure that employers, service providers and public bodies make reasonable adjustments so that disabled people are not put at a substantial disadvantage (GOV.UK, 2010). These measures promote access to health care, but there are additional restrictions that mean people with disabilities have not yet enjoyed the same access as others, as evidenced by the findings of the Equality and Human Rights Commission (Claessen et al., 2024). Secondly, NHS England's Accessible Information Standard (AIS) places a duty on NHS and </w:t>
      </w:r>
      <w:r w:rsidRPr="003D7695">
        <w:lastRenderedPageBreak/>
        <w:t>publicly funded adult social care services to identify, record, flag, share and address communication needs</w:t>
      </w:r>
      <w:r w:rsidR="00413CCD">
        <w:t xml:space="preserve"> </w:t>
      </w:r>
      <w:r w:rsidR="00413CCD" w:rsidRPr="003D7695">
        <w:t>(NHS England, 2025)</w:t>
      </w:r>
      <w:r w:rsidRPr="003D7695">
        <w:t>. This helps people with sensory loss, learning disabilities and communication problems by providing easy-to-use formats and the right help. Limited staff training, booking systems and the supply of communication support can, however, threaten these protections. Greater monitoring, further staff training and enforcement of reasonable adjustments are therefore needed to put national policies into practice and achieve consistent and inclusive healthcare experiences.</w:t>
      </w:r>
      <w:r>
        <w:t xml:space="preserve"> </w:t>
      </w:r>
    </w:p>
    <w:p w14:paraId="1E4CAB61" w14:textId="77777777" w:rsidR="004A2374" w:rsidRPr="004A2374" w:rsidRDefault="004A2374" w:rsidP="004A2374"/>
    <w:p w14:paraId="2663BE11" w14:textId="7AB53A59" w:rsidR="00B3638D" w:rsidRDefault="0019170E" w:rsidP="005C453B">
      <w:pPr>
        <w:pStyle w:val="Heading2"/>
      </w:pPr>
      <w:bookmarkStart w:id="10" w:name="_Toc243071549"/>
      <w:r w:rsidRPr="00B3638D">
        <w:t>Organisations That Support Disabled People</w:t>
      </w:r>
      <w:bookmarkEnd w:id="10"/>
    </w:p>
    <w:p w14:paraId="69A9C73B" w14:textId="57F59399" w:rsidR="00020034" w:rsidRPr="00672D19" w:rsidRDefault="0019170E" w:rsidP="00BD1B59">
      <w:r w:rsidRPr="00020034">
        <w:t>Disability Rights UK is a national charity that campaigns for disabled people's equality, for disabled people to be able to live independently and access essential services (Fish et al., 2026). It publishes practical guidance, gives input to Government policy and promotes disability rights in employment and education, in welfare and in healthcare. This challenges discriminatory practice and promotes the involvement of disabled people in decision-making, removing social determinants that lead to health inequalities. Its campaigning supports the purpose of the Equality Act 2010 to raise awareness of the laws and any missed implementations (GOV.UK, 2010). The policy engagement of this charity contributes to the improvement of independent living, financial security and accessibility based on evidence.</w:t>
      </w:r>
      <w:r>
        <w:t xml:space="preserve"> </w:t>
      </w:r>
    </w:p>
    <w:p w14:paraId="082968DE" w14:textId="77777777" w:rsidR="005C453B" w:rsidRPr="005C453B" w:rsidRDefault="005C453B" w:rsidP="005C453B"/>
    <w:p w14:paraId="485EE8ED" w14:textId="255DF44E" w:rsidR="00B3638D" w:rsidRDefault="0019170E" w:rsidP="005C453B">
      <w:pPr>
        <w:pStyle w:val="Heading2"/>
      </w:pPr>
      <w:bookmarkStart w:id="11" w:name="_Toc243071550"/>
      <w:r w:rsidRPr="00B3638D">
        <w:t>Conclusion</w:t>
      </w:r>
      <w:bookmarkEnd w:id="11"/>
    </w:p>
    <w:p w14:paraId="0FD0A541" w14:textId="68E427E1" w:rsidR="007231DF" w:rsidRDefault="0019170E" w:rsidP="00413CCD">
      <w:r>
        <w:t>Overall</w:t>
      </w:r>
      <w:r w:rsidRPr="007231DF">
        <w:t>, there are multiple inequalities experienced by disabled people in the UK, such as higher rates of mental health issues, reduced access to health services and significantly higher early death rates. These health inequalities are compounded by social isolation, poverty, and poor living conditions, which only highlight that inequality is not an accident. Progress has been made with legislation, training programmes, and charitable work, but further investment and effective and accountable implementation of measures are now required to deliver equitable results.</w:t>
      </w:r>
      <w:r>
        <w:t xml:space="preserve"> </w:t>
      </w:r>
    </w:p>
    <w:p w14:paraId="63699E55" w14:textId="65EC1332" w:rsidR="00072452" w:rsidRDefault="00072452" w:rsidP="005C453B"/>
    <w:p w14:paraId="2CA949B8" w14:textId="7BBA2257" w:rsidR="00072452" w:rsidRDefault="0019170E" w:rsidP="00072452">
      <w:pPr>
        <w:pStyle w:val="Heading2"/>
      </w:pPr>
      <w:bookmarkStart w:id="12" w:name="_Toc243071551"/>
      <w:r>
        <w:t>References</w:t>
      </w:r>
      <w:bookmarkEnd w:id="12"/>
    </w:p>
    <w:p w14:paraId="1C419CAF" w14:textId="77777777" w:rsidR="004D2C18" w:rsidRDefault="0019170E" w:rsidP="00933038">
      <w:pPr>
        <w:ind w:left="720" w:hanging="720"/>
      </w:pPr>
      <w:r w:rsidRPr="00D03CE7">
        <w:t xml:space="preserve">Claessen, D., Lamkaddem, M., Oomen, B. and Eijkman, Q. </w:t>
      </w:r>
      <w:r>
        <w:t>(</w:t>
      </w:r>
      <w:r w:rsidRPr="00D03CE7">
        <w:t>2024</w:t>
      </w:r>
      <w:r>
        <w:t>)</w:t>
      </w:r>
      <w:r w:rsidRPr="00D03CE7">
        <w:t xml:space="preserve">. Bringing human rights home: Access to justice and the role of local actors implementing the United Nations Convention on the Rights of Persons with Disabilities. </w:t>
      </w:r>
      <w:r w:rsidRPr="00D03CE7">
        <w:rPr>
          <w:i/>
          <w:iCs/>
        </w:rPr>
        <w:t>Journal of Human Rights Practice</w:t>
      </w:r>
      <w:r w:rsidRPr="00D03CE7">
        <w:t xml:space="preserve">, </w:t>
      </w:r>
      <w:r w:rsidRPr="00D03CE7">
        <w:rPr>
          <w:i/>
          <w:iCs/>
        </w:rPr>
        <w:t>16</w:t>
      </w:r>
      <w:r w:rsidRPr="00D03CE7">
        <w:t>(2), pp.554-571.</w:t>
      </w:r>
    </w:p>
    <w:p w14:paraId="1C2493E2" w14:textId="77777777" w:rsidR="004D2C18" w:rsidRDefault="0019170E" w:rsidP="00933038">
      <w:pPr>
        <w:ind w:left="720" w:hanging="720"/>
      </w:pPr>
      <w:r w:rsidRPr="00C44918">
        <w:t xml:space="preserve">CQC (2023). </w:t>
      </w:r>
      <w:r w:rsidRPr="00C44918">
        <w:rPr>
          <w:i/>
          <w:iCs/>
        </w:rPr>
        <w:t>Inequalities - care quality commission</w:t>
      </w:r>
      <w:r w:rsidRPr="00C44918">
        <w:t xml:space="preserve">. [online] www.cqc.org.uk. Available at: </w:t>
      </w:r>
      <w:hyperlink r:id="rId11" w:history="1">
        <w:r w:rsidRPr="00F63913">
          <w:rPr>
            <w:rStyle w:val="Hyperlink"/>
          </w:rPr>
          <w:t>https://www.cqc.org.uk/publications/major-report/state-care/2022-2023/inequalities</w:t>
        </w:r>
      </w:hyperlink>
      <w:r>
        <w:t xml:space="preserve"> </w:t>
      </w:r>
      <w:r w:rsidRPr="00C44918">
        <w:t>[Accessed 16 Oct. 2026].</w:t>
      </w:r>
    </w:p>
    <w:p w14:paraId="424A0251" w14:textId="77777777" w:rsidR="004D2C18" w:rsidRDefault="0019170E" w:rsidP="00933038">
      <w:pPr>
        <w:ind w:left="720" w:hanging="720"/>
      </w:pPr>
      <w:r w:rsidRPr="00C44918">
        <w:lastRenderedPageBreak/>
        <w:t xml:space="preserve">DWP (2025). </w:t>
      </w:r>
      <w:r w:rsidRPr="00C44918">
        <w:rPr>
          <w:i/>
          <w:iCs/>
        </w:rPr>
        <w:t>The employment of disabled people 2025</w:t>
      </w:r>
      <w:r w:rsidRPr="00C44918">
        <w:t xml:space="preserve">. [online] GOV.UK. Available at: </w:t>
      </w:r>
      <w:hyperlink r:id="rId12" w:history="1">
        <w:r w:rsidRPr="00F63913">
          <w:rPr>
            <w:rStyle w:val="Hyperlink"/>
          </w:rPr>
          <w:t>https://www.gov.uk/government/statistics/the-employment-of-disabled-people-2025/the-employment-of-disabled-people-2025</w:t>
        </w:r>
      </w:hyperlink>
      <w:r>
        <w:t xml:space="preserve"> </w:t>
      </w:r>
      <w:r w:rsidRPr="00C44918">
        <w:t>[Accessed 16 Oct. 2026].</w:t>
      </w:r>
    </w:p>
    <w:p w14:paraId="2C47C6A0" w14:textId="77777777" w:rsidR="004D2C18" w:rsidRDefault="0019170E" w:rsidP="00933038">
      <w:pPr>
        <w:ind w:left="720" w:hanging="720"/>
      </w:pPr>
      <w:r w:rsidRPr="00FE7B0E">
        <w:t xml:space="preserve">Fish, R., Wilde, A. and Malkin, R., </w:t>
      </w:r>
      <w:r>
        <w:t>(</w:t>
      </w:r>
      <w:r w:rsidRPr="00FE7B0E">
        <w:t>2026</w:t>
      </w:r>
      <w:r>
        <w:t>)</w:t>
      </w:r>
      <w:r w:rsidRPr="00FE7B0E">
        <w:t xml:space="preserve">. “It’s about equality!” Disability advocacy in the UK. </w:t>
      </w:r>
      <w:r w:rsidRPr="00FE7B0E">
        <w:rPr>
          <w:i/>
          <w:iCs/>
        </w:rPr>
        <w:t>Disability &amp; society</w:t>
      </w:r>
      <w:r w:rsidRPr="00FE7B0E">
        <w:t xml:space="preserve">, </w:t>
      </w:r>
      <w:r w:rsidRPr="00FE7B0E">
        <w:rPr>
          <w:i/>
          <w:iCs/>
        </w:rPr>
        <w:t>41</w:t>
      </w:r>
      <w:r w:rsidRPr="00FE7B0E">
        <w:t>(4), pp.1040-1059.</w:t>
      </w:r>
    </w:p>
    <w:p w14:paraId="589BC2DD" w14:textId="77777777" w:rsidR="004D2C18" w:rsidRDefault="0019170E" w:rsidP="00933038">
      <w:pPr>
        <w:ind w:left="720" w:hanging="720"/>
      </w:pPr>
      <w:r w:rsidRPr="001F1F02">
        <w:t xml:space="preserve">GOV.UK (2010). </w:t>
      </w:r>
      <w:r w:rsidRPr="001F1F02">
        <w:rPr>
          <w:i/>
          <w:iCs/>
        </w:rPr>
        <w:t>Equality Act 2010</w:t>
      </w:r>
      <w:r w:rsidRPr="001F1F02">
        <w:t xml:space="preserve">. [online] Legislation.gov.uk. Available at: </w:t>
      </w:r>
      <w:hyperlink r:id="rId13" w:history="1">
        <w:r w:rsidRPr="00F63913">
          <w:rPr>
            <w:rStyle w:val="Hyperlink"/>
          </w:rPr>
          <w:t>https://www.legislation.gov.uk/ukpga/2010/15/contents</w:t>
        </w:r>
      </w:hyperlink>
      <w:r>
        <w:t xml:space="preserve"> </w:t>
      </w:r>
      <w:r w:rsidRPr="001F1F02">
        <w:t>[Accessed 16 Oct. 2026].</w:t>
      </w:r>
    </w:p>
    <w:p w14:paraId="6A8F70D9" w14:textId="77777777" w:rsidR="004D2C18" w:rsidRDefault="0019170E" w:rsidP="00933038">
      <w:pPr>
        <w:ind w:left="720" w:hanging="720"/>
      </w:pPr>
      <w:r w:rsidRPr="00562292">
        <w:t xml:space="preserve">GOV.UK (2023). </w:t>
      </w:r>
      <w:r w:rsidRPr="00562292">
        <w:rPr>
          <w:i/>
          <w:iCs/>
        </w:rPr>
        <w:t>Employment of Disabled People 2023</w:t>
      </w:r>
      <w:r w:rsidRPr="00562292">
        <w:t xml:space="preserve">. [online] GOV.UK. Available at: </w:t>
      </w:r>
      <w:hyperlink r:id="rId14" w:history="1">
        <w:r w:rsidRPr="00F63913">
          <w:rPr>
            <w:rStyle w:val="Hyperlink"/>
          </w:rPr>
          <w:t>https://www.gov.uk/government/statistics/the-employment-of-disabled-people-2023/employment-of-disabled-people-2023</w:t>
        </w:r>
      </w:hyperlink>
      <w:r>
        <w:t xml:space="preserve"> </w:t>
      </w:r>
      <w:r w:rsidRPr="00562292">
        <w:t>[Accessed 16 Oct. 2026].</w:t>
      </w:r>
    </w:p>
    <w:p w14:paraId="1BE9297F" w14:textId="77777777" w:rsidR="004D2C18" w:rsidRDefault="0019170E" w:rsidP="00933038">
      <w:pPr>
        <w:ind w:left="720" w:hanging="720"/>
      </w:pPr>
      <w:r w:rsidRPr="00C44918">
        <w:t xml:space="preserve">JRF (2026). </w:t>
      </w:r>
      <w:r w:rsidRPr="00C44918">
        <w:rPr>
          <w:i/>
          <w:iCs/>
        </w:rPr>
        <w:t>Disability and poverty</w:t>
      </w:r>
      <w:r w:rsidRPr="00C44918">
        <w:t xml:space="preserve">. [online] Joseph Rowntree Foundation. Available at: </w:t>
      </w:r>
      <w:hyperlink r:id="rId15" w:history="1">
        <w:r w:rsidRPr="00F63913">
          <w:rPr>
            <w:rStyle w:val="Hyperlink"/>
          </w:rPr>
          <w:t>https://www.jrf.org.uk/uk-poverty-statistics/disability</w:t>
        </w:r>
      </w:hyperlink>
      <w:r>
        <w:t xml:space="preserve"> </w:t>
      </w:r>
      <w:r w:rsidRPr="00C44918">
        <w:t>[Accessed 16 Oct. 2026].</w:t>
      </w:r>
    </w:p>
    <w:p w14:paraId="5AE9BFDB" w14:textId="77777777" w:rsidR="004D2C18" w:rsidRDefault="0019170E" w:rsidP="00933038">
      <w:pPr>
        <w:ind w:left="720" w:hanging="720"/>
      </w:pPr>
      <w:r w:rsidRPr="00C44918">
        <w:t xml:space="preserve">Khatri, R., Endalamaw, A., Erku, D., Wolka, E., Nigatu, F., Zewdie, A. and Assefa, Y., </w:t>
      </w:r>
      <w:r>
        <w:t>(</w:t>
      </w:r>
      <w:r w:rsidRPr="00C44918">
        <w:t>2023</w:t>
      </w:r>
      <w:r>
        <w:t>)</w:t>
      </w:r>
      <w:r w:rsidRPr="00C44918">
        <w:t xml:space="preserve">. Continuity and care coordination of primary health care: a scoping review. </w:t>
      </w:r>
      <w:r w:rsidRPr="00C44918">
        <w:rPr>
          <w:i/>
          <w:iCs/>
        </w:rPr>
        <w:t>BMC health services research</w:t>
      </w:r>
      <w:r w:rsidRPr="00C44918">
        <w:t xml:space="preserve">, </w:t>
      </w:r>
      <w:r w:rsidRPr="00C44918">
        <w:rPr>
          <w:i/>
          <w:iCs/>
        </w:rPr>
        <w:t>23</w:t>
      </w:r>
      <w:r w:rsidRPr="00C44918">
        <w:t>(1), p.750.</w:t>
      </w:r>
    </w:p>
    <w:p w14:paraId="547222C7" w14:textId="77777777" w:rsidR="004D2C18" w:rsidRDefault="0019170E" w:rsidP="00933038">
      <w:pPr>
        <w:ind w:left="720" w:hanging="720"/>
      </w:pPr>
      <w:r w:rsidRPr="000D7325">
        <w:t xml:space="preserve">LeDeR (2021). </w:t>
      </w:r>
      <w:r w:rsidRPr="000D7325">
        <w:rPr>
          <w:i/>
          <w:iCs/>
        </w:rPr>
        <w:t>The Learning Disabilities Mortality Review Annual Report</w:t>
      </w:r>
      <w:r w:rsidRPr="000D7325">
        <w:t>. University of Bristol.</w:t>
      </w:r>
    </w:p>
    <w:p w14:paraId="39AD0D8D" w14:textId="77777777" w:rsidR="004D2C18" w:rsidRDefault="0019170E" w:rsidP="00933038">
      <w:pPr>
        <w:ind w:left="720" w:hanging="720"/>
      </w:pPr>
      <w:r w:rsidRPr="00C44918">
        <w:t xml:space="preserve">Lyerly, E., 2026. Study finds high rates of loneliness among working‐age adults with disabilities. </w:t>
      </w:r>
      <w:r w:rsidRPr="00C44918">
        <w:rPr>
          <w:i/>
          <w:iCs/>
        </w:rPr>
        <w:t>Disability Compliance for Higher Education</w:t>
      </w:r>
      <w:r w:rsidRPr="00C44918">
        <w:t xml:space="preserve">, </w:t>
      </w:r>
      <w:r w:rsidRPr="00C44918">
        <w:rPr>
          <w:i/>
          <w:iCs/>
        </w:rPr>
        <w:t>32</w:t>
      </w:r>
      <w:r w:rsidRPr="00C44918">
        <w:t>(1), pp.9-9.</w:t>
      </w:r>
    </w:p>
    <w:p w14:paraId="3EEDAB38" w14:textId="77777777" w:rsidR="004D2C18" w:rsidRDefault="0019170E" w:rsidP="00933038">
      <w:pPr>
        <w:ind w:left="720" w:hanging="720"/>
      </w:pPr>
      <w:r w:rsidRPr="00B6629A">
        <w:t xml:space="preserve">Marmot, M., </w:t>
      </w:r>
      <w:r>
        <w:t>(</w:t>
      </w:r>
      <w:r w:rsidRPr="00B6629A">
        <w:t>2020</w:t>
      </w:r>
      <w:r>
        <w:t>)</w:t>
      </w:r>
      <w:r w:rsidRPr="00B6629A">
        <w:t xml:space="preserve">. Health equity in England: the Marmot review 10 years on. </w:t>
      </w:r>
      <w:r w:rsidRPr="00B6629A">
        <w:rPr>
          <w:i/>
          <w:iCs/>
        </w:rPr>
        <w:t>Bmj</w:t>
      </w:r>
      <w:r w:rsidRPr="00B6629A">
        <w:t xml:space="preserve">, </w:t>
      </w:r>
      <w:r w:rsidRPr="00B6629A">
        <w:rPr>
          <w:i/>
          <w:iCs/>
        </w:rPr>
        <w:t>368</w:t>
      </w:r>
      <w:r w:rsidRPr="00B6629A">
        <w:t>.</w:t>
      </w:r>
    </w:p>
    <w:p w14:paraId="3ECE6ABF" w14:textId="77777777" w:rsidR="004D2C18" w:rsidRDefault="0019170E" w:rsidP="00933038">
      <w:pPr>
        <w:ind w:left="720" w:hanging="720"/>
      </w:pPr>
      <w:r w:rsidRPr="00C44918">
        <w:t xml:space="preserve">NHS (2024). </w:t>
      </w:r>
      <w:r w:rsidRPr="00C44918">
        <w:rPr>
          <w:i/>
          <w:iCs/>
        </w:rPr>
        <w:t>Health and Care of People with Learning Disabilities, Experimental Statistics 2023 to 2024</w:t>
      </w:r>
      <w:r w:rsidRPr="00C44918">
        <w:t xml:space="preserve">. [online] NHS Digital. Available at: </w:t>
      </w:r>
      <w:hyperlink r:id="rId16" w:history="1">
        <w:r w:rsidRPr="00F63913">
          <w:rPr>
            <w:rStyle w:val="Hyperlink"/>
          </w:rPr>
          <w:t>https://digital.nhs.uk/data-and-information/publications/statistical/health-and-care-of-people-with-learning-disabilities/experimental-statistics-2023-to-2024</w:t>
        </w:r>
      </w:hyperlink>
      <w:r>
        <w:t xml:space="preserve"> </w:t>
      </w:r>
      <w:r w:rsidRPr="00C44918">
        <w:t>[Accessed 16 Oct. 2026].</w:t>
      </w:r>
    </w:p>
    <w:p w14:paraId="0FE1EE57" w14:textId="77777777" w:rsidR="004D2C18" w:rsidRDefault="0019170E" w:rsidP="00933038">
      <w:pPr>
        <w:ind w:left="720" w:hanging="720"/>
      </w:pPr>
      <w:r w:rsidRPr="00FE7B0E">
        <w:t xml:space="preserve">NHS England (2025). </w:t>
      </w:r>
      <w:r w:rsidRPr="00FE7B0E">
        <w:rPr>
          <w:i/>
          <w:iCs/>
        </w:rPr>
        <w:t>NHS England » accessible information standard</w:t>
      </w:r>
      <w:r w:rsidRPr="00FE7B0E">
        <w:t xml:space="preserve">. [online] England.nhs.uk. Available at: </w:t>
      </w:r>
      <w:hyperlink r:id="rId17" w:history="1">
        <w:r w:rsidRPr="00F63913">
          <w:rPr>
            <w:rStyle w:val="Hyperlink"/>
          </w:rPr>
          <w:t>https://www.england.nhs.uk/accessible-information-standard/</w:t>
        </w:r>
      </w:hyperlink>
      <w:r>
        <w:t xml:space="preserve"> </w:t>
      </w:r>
      <w:r w:rsidRPr="00FE7B0E">
        <w:t>[Accessed 16 Oct. 2026].</w:t>
      </w:r>
    </w:p>
    <w:p w14:paraId="698147FC" w14:textId="77777777" w:rsidR="004D2C18" w:rsidRDefault="0019170E" w:rsidP="00933038">
      <w:pPr>
        <w:ind w:left="720" w:hanging="720"/>
      </w:pPr>
      <w:r w:rsidRPr="00C44918">
        <w:t xml:space="preserve">Office for National Statistics (2022). </w:t>
      </w:r>
      <w:r w:rsidRPr="00C44918">
        <w:rPr>
          <w:i/>
          <w:iCs/>
        </w:rPr>
        <w:t>Outcomes for disabled people in the UK - office for national statistics</w:t>
      </w:r>
      <w:r w:rsidRPr="00C44918">
        <w:t xml:space="preserve">. [online] www.ons.gov.uk. Available at: </w:t>
      </w:r>
      <w:hyperlink r:id="rId18" w:history="1">
        <w:r w:rsidRPr="00F63913">
          <w:rPr>
            <w:rStyle w:val="Hyperlink"/>
          </w:rPr>
          <w:t>https://www.ons.gov.uk/peoplepopulationandcommunity/healthandsocialcare/disability/articles/outcomesfordisabledpeopleintheuk/2021</w:t>
        </w:r>
      </w:hyperlink>
      <w:r>
        <w:t xml:space="preserve"> </w:t>
      </w:r>
      <w:r w:rsidRPr="00C44918">
        <w:t>[Accessed 16 Oct. 2026].</w:t>
      </w:r>
    </w:p>
    <w:p w14:paraId="1FB37A39" w14:textId="77777777" w:rsidR="004D2C18" w:rsidRPr="000D7325" w:rsidRDefault="0019170E" w:rsidP="00933038">
      <w:pPr>
        <w:ind w:left="720" w:hanging="720"/>
      </w:pPr>
      <w:r w:rsidRPr="00D03CE7">
        <w:t xml:space="preserve">Olsen, J., </w:t>
      </w:r>
      <w:r>
        <w:t>(</w:t>
      </w:r>
      <w:r w:rsidRPr="00D03CE7">
        <w:t>2024</w:t>
      </w:r>
      <w:r>
        <w:t>)</w:t>
      </w:r>
      <w:r w:rsidRPr="00D03CE7">
        <w:t xml:space="preserve">. Employers: Influencing disabled people’s employment through responses to reasonable adjustments. </w:t>
      </w:r>
      <w:r w:rsidRPr="00D03CE7">
        <w:rPr>
          <w:i/>
          <w:iCs/>
        </w:rPr>
        <w:t>Disability &amp; Society</w:t>
      </w:r>
      <w:r w:rsidRPr="00D03CE7">
        <w:t xml:space="preserve">, </w:t>
      </w:r>
      <w:r w:rsidRPr="00D03CE7">
        <w:rPr>
          <w:i/>
          <w:iCs/>
        </w:rPr>
        <w:t>39</w:t>
      </w:r>
      <w:r w:rsidRPr="00D03CE7">
        <w:t>(3), pp.791-810.</w:t>
      </w:r>
    </w:p>
    <w:p w14:paraId="436490DB" w14:textId="77777777" w:rsidR="004D2C18" w:rsidRDefault="0019170E" w:rsidP="00933038">
      <w:pPr>
        <w:ind w:left="720" w:hanging="720"/>
      </w:pPr>
      <w:r w:rsidRPr="00D03CE7">
        <w:t xml:space="preserve">UK Parliment (2023). </w:t>
      </w:r>
      <w:r w:rsidRPr="00D03CE7">
        <w:rPr>
          <w:i/>
          <w:iCs/>
        </w:rPr>
        <w:t>Disabled people in the housing sector - levelling up, Housing and Communities Committee</w:t>
      </w:r>
      <w:r w:rsidRPr="00D03CE7">
        <w:t xml:space="preserve">. [online] Parliament.uk. Available at: </w:t>
      </w:r>
      <w:hyperlink r:id="rId19" w:history="1">
        <w:r w:rsidRPr="00F63913">
          <w:rPr>
            <w:rStyle w:val="Hyperlink"/>
          </w:rPr>
          <w:t>https://publications.parliament.uk/pa/cm5804/cmselect/cmcomloc/63/report.html</w:t>
        </w:r>
      </w:hyperlink>
      <w:r>
        <w:t xml:space="preserve"> </w:t>
      </w:r>
      <w:r w:rsidRPr="00D03CE7">
        <w:t>[Accessed 16 Oct. 2026].</w:t>
      </w:r>
    </w:p>
    <w:p w14:paraId="04160B96" w14:textId="77777777" w:rsidR="004D2C18" w:rsidRDefault="0019170E" w:rsidP="00933038">
      <w:pPr>
        <w:ind w:left="720" w:hanging="720"/>
      </w:pPr>
      <w:r w:rsidRPr="005529BF">
        <w:t xml:space="preserve">WHO (2025). </w:t>
      </w:r>
      <w:r w:rsidRPr="005529BF">
        <w:rPr>
          <w:i/>
          <w:iCs/>
        </w:rPr>
        <w:t>Social Determinants of Health</w:t>
      </w:r>
      <w:r w:rsidRPr="005529BF">
        <w:t xml:space="preserve">. [online] World Health Organization. Available at: </w:t>
      </w:r>
      <w:hyperlink r:id="rId20" w:anchor="tab=tab_1" w:history="1">
        <w:r w:rsidRPr="00F63913">
          <w:rPr>
            <w:rStyle w:val="Hyperlink"/>
          </w:rPr>
          <w:t>https://www.who.int/health-topics/social-determinants-of-health#tab=tab_1</w:t>
        </w:r>
      </w:hyperlink>
      <w:r>
        <w:t xml:space="preserve"> </w:t>
      </w:r>
      <w:r w:rsidRPr="005529BF">
        <w:t>[Accessed 16 Oct. 2026].</w:t>
      </w:r>
    </w:p>
    <w:p w14:paraId="231F873B" w14:textId="77777777" w:rsidR="000D7325" w:rsidRDefault="000D7325" w:rsidP="00072452"/>
    <w:p w14:paraId="30797A15" w14:textId="77777777" w:rsidR="00562292" w:rsidRDefault="00562292" w:rsidP="00072452"/>
    <w:p w14:paraId="7804928F" w14:textId="77777777" w:rsidR="001F1F02" w:rsidRDefault="001F1F02" w:rsidP="00072452"/>
    <w:p w14:paraId="6502C4DC" w14:textId="36471B0B" w:rsidR="00072452" w:rsidRDefault="0019170E">
      <w:pPr>
        <w:spacing w:line="259" w:lineRule="auto"/>
      </w:pPr>
      <w:r>
        <w:br w:type="page"/>
      </w:r>
    </w:p>
    <w:p w14:paraId="60E536C8" w14:textId="0A6B054D" w:rsidR="00072452" w:rsidRDefault="0019170E" w:rsidP="00355F7A">
      <w:pPr>
        <w:pStyle w:val="Heading1"/>
      </w:pPr>
      <w:bookmarkStart w:id="13" w:name="_Toc243071552"/>
      <w:r>
        <w:lastRenderedPageBreak/>
        <w:t>Task 2: Epidemiological Analysis</w:t>
      </w:r>
      <w:bookmarkEnd w:id="13"/>
    </w:p>
    <w:p w14:paraId="1EAB35B3" w14:textId="746DE95D" w:rsidR="00154F56" w:rsidRDefault="0019170E" w:rsidP="0096373B">
      <w:pPr>
        <w:pStyle w:val="Heading2"/>
      </w:pPr>
      <w:bookmarkStart w:id="14" w:name="_Toc243071553"/>
      <w:r w:rsidRPr="00154F56">
        <w:t>Introduction</w:t>
      </w:r>
      <w:bookmarkEnd w:id="14"/>
    </w:p>
    <w:p w14:paraId="3F98704B" w14:textId="77777777" w:rsidR="006560B4" w:rsidRDefault="0019170E" w:rsidP="006560B4">
      <w:r w:rsidRPr="0055532E">
        <w:t xml:space="preserve">Type 2 diabetes mellitus (HbA1c of 48 mmol/mol or above) and obesity (BMI of 30 kg/m² or above) are linked NCDs, with lower thresholds for BMI of 23 and 27.5 kg/m², respectively, signifying increased and high risk in South Asian populations (Varghese et al., 2026). Worldwide, there are estimated to be 537 million cases of diabetes in adults (Katsanou and Marakomichelakis, 2026) and about 890 million cases of obesity (World Health Organisation, 2025) in adults. In the UK, there are more than 4.3 million people with known diabetes, and it is estimated that this cost the NHS over £9.8 billion in 2010/11 (NHS England, 2014). </w:t>
      </w:r>
    </w:p>
    <w:p w14:paraId="0242CD17" w14:textId="75F4BCEE" w:rsidR="0096373B" w:rsidRDefault="0019170E" w:rsidP="00413CCD">
      <w:r w:rsidRPr="0055532E">
        <w:t>Cardiovascular, renal, eye and neuropathic disease and the burden of stigma and culturally ingrained dietary practices are potential complications that limit behaviour change. The prevalence of diabetes and childhood obesity is higher than the London average and the England average, and Tower Hamlets has one of the highest levels of deprivation in England</w:t>
      </w:r>
      <w:r w:rsidR="000617D8">
        <w:t xml:space="preserve">, </w:t>
      </w:r>
      <w:r w:rsidRPr="0055532E">
        <w:t>where approximately 35% of the resident population are Bangladeshi (Tower Hamlets 2022). This report uses epidemiological techniques to identify, assess, track and tackle type 2 diabetes and obesity in Tower Hamlets.</w:t>
      </w:r>
      <w:r>
        <w:t xml:space="preserve"> </w:t>
      </w:r>
    </w:p>
    <w:p w14:paraId="74BCCE77" w14:textId="77777777" w:rsidR="0055532E" w:rsidRPr="0096373B" w:rsidRDefault="0055532E" w:rsidP="0096373B"/>
    <w:p w14:paraId="48EA8F1E" w14:textId="0548638C" w:rsidR="00154F56" w:rsidRDefault="0019170E" w:rsidP="00301805">
      <w:pPr>
        <w:pStyle w:val="Heading2"/>
      </w:pPr>
      <w:bookmarkStart w:id="15" w:name="_Toc243071554"/>
      <w:r w:rsidRPr="00154F56">
        <w:t>Risk Factors and Determinants</w:t>
      </w:r>
      <w:bookmarkEnd w:id="15"/>
    </w:p>
    <w:p w14:paraId="0BC7A70A" w14:textId="2CF62612" w:rsidR="00301805" w:rsidRDefault="0019170E" w:rsidP="006560B4">
      <w:r w:rsidRPr="00FF497D">
        <w:t>Non-modifiable factors include increasing age, genetic predisposition and family history, while South Asian (Bangladeshi) adults were found to have a considerably higher susceptibility to developing type 2 diabetes about 10 years earlier than people of white European ethnicity at very similar BMI (Tower Hamlets, 2022). Further</w:t>
      </w:r>
      <w:r>
        <w:t>more</w:t>
      </w:r>
      <w:r w:rsidRPr="00FF497D">
        <w:t xml:space="preserve">, the SABRE cohort showed that higher insulin resistance and central adiposity accounted for a lot of the excess incidence in Indian Asians (Saxena et al., 2025). Modifiable factors comprise energy-dense diets, physical inactivity, central adiposity and smoking, each of which independently increases diabetes risk. However, individual </w:t>
      </w:r>
      <w:r w:rsidR="002C46DC" w:rsidRPr="00FF497D">
        <w:t>behaviours</w:t>
      </w:r>
      <w:r w:rsidRPr="00FF497D">
        <w:t xml:space="preserve"> are influenced by broader determinants that are wrapped like concentric circles in lifestyle, social networks, living conditions and socioeconomic environment (Jahnel et al., 2022). Deprivation, overcrowded housing, low income and plentiful hot food takeaways, combined with language barriers, thus limit healthy options and service provision in Tower Hamlets.</w:t>
      </w:r>
      <w:r>
        <w:t xml:space="preserve"> </w:t>
      </w:r>
    </w:p>
    <w:p w14:paraId="7A1F3CEE" w14:textId="77777777" w:rsidR="002C46DC" w:rsidRPr="00301805" w:rsidRDefault="002C46DC" w:rsidP="00301805"/>
    <w:p w14:paraId="58D2664F" w14:textId="29689A5A" w:rsidR="00154F56" w:rsidRDefault="0019170E" w:rsidP="00F23BDB">
      <w:pPr>
        <w:pStyle w:val="Heading2"/>
      </w:pPr>
      <w:bookmarkStart w:id="16" w:name="_Toc243071555"/>
      <w:r w:rsidRPr="00154F56">
        <w:t>Identifying Those Affected or at Risk</w:t>
      </w:r>
      <w:bookmarkEnd w:id="16"/>
    </w:p>
    <w:p w14:paraId="0E38E85D" w14:textId="05C85E54" w:rsidR="00A20C24" w:rsidRDefault="0019170E" w:rsidP="000617D8">
      <w:r>
        <w:t xml:space="preserve">Qualitative research may include estimates of prevalence, as in type 2 diabetes, while case-control and cohort designs are used to build up risk factors and temporal relationships, such as the Born in Bradford cohort, which took a multi-ethnic cohort with significant numbers of South Asian families (McEachan et al., 2024). Similarly, an electronic primary care video-record of </w:t>
      </w:r>
      <w:r>
        <w:lastRenderedPageBreak/>
        <w:t xml:space="preserve">comparable analyses in East London has found a higher cardiometabolic burden amongst Bangladeshi and other South Asian patients than amongst white British patients (Barkas et al., 2026). These designs are complemented by health needs assessment, which combines epidemiological, corporate and comparative designs to quantify disease burden, include relevant stakeholders' views and compare services to other comparable populations. The Joint Strategic Needs Assessment brings together this evidence and will inform commissioning in Tower Hamlets. The NHS Health Check can pick up non-diabetic hyperglycaemia and high cardiovascular risk in adults aged 40-74, </w:t>
      </w:r>
      <w:r w:rsidR="00DB57D6">
        <w:t xml:space="preserve">not observed </w:t>
      </w:r>
      <w:r>
        <w:t xml:space="preserve">in GP registers (Tower Hamlets, 2022). Additionally, the National Child Measurement Programme (NCP) records the height and weight of Reception and Year 6 children; it flags when a child is overweight and enables targeted action to be taken early (NHS, </w:t>
      </w:r>
      <w:r w:rsidR="00271AD6">
        <w:t>20</w:t>
      </w:r>
      <w:r>
        <w:t xml:space="preserve">24). </w:t>
      </w:r>
    </w:p>
    <w:p w14:paraId="5A46BEB2" w14:textId="77777777" w:rsidR="00F23BDB" w:rsidRPr="00F23BDB" w:rsidRDefault="00F23BDB" w:rsidP="00F23BDB"/>
    <w:p w14:paraId="796D7866" w14:textId="146B3905" w:rsidR="00154F56" w:rsidRDefault="0019170E" w:rsidP="007D3CE1">
      <w:pPr>
        <w:pStyle w:val="Heading2"/>
      </w:pPr>
      <w:bookmarkStart w:id="17" w:name="_Toc243071556"/>
      <w:r w:rsidRPr="00154F56">
        <w:t>Surveillance and Monitoring Systems</w:t>
      </w:r>
      <w:bookmarkEnd w:id="17"/>
    </w:p>
    <w:p w14:paraId="530E8293" w14:textId="2FF4D5EF" w:rsidR="009355B7" w:rsidRDefault="0019170E" w:rsidP="006560B4">
      <w:r w:rsidRPr="009355B7">
        <w:t xml:space="preserve">Surveillance of type 2 diabetes and obesity is partly passive (routine generated) and partly active and sentinel (specific sources) in Tower Hamlets. Quality and Outcomes Framework (QOF) records case diagnoses for diabetes in general practice and, together with Hospital Episode Statistics (HES), Office for National Statistics (ONS) mortality data and OHID Fingertips profiles are passive sources. In addition, active, audit-based measurement of care processes and treatment goals is achieved throughout practices across the whole country with the National Diabetes Audit. The Clinical Effectiveness Group primary care data at Queen Mary University of London serve as a sentinel resource, allowing for analyses of populations of primary care practices within the local area of ethnicity-specific practice populations (Asimit et al., 2022). Health Survey for England, by contrast, uses measured data to capture undiagnosed disease; </w:t>
      </w:r>
      <w:r w:rsidR="00CE481D">
        <w:t>however</w:t>
      </w:r>
      <w:r w:rsidR="00F334C9">
        <w:t xml:space="preserve">, it </w:t>
      </w:r>
      <w:r w:rsidRPr="009355B7">
        <w:t xml:space="preserve">has </w:t>
      </w:r>
      <w:r w:rsidR="00767CEB">
        <w:t xml:space="preserve">barriers </w:t>
      </w:r>
      <w:r w:rsidRPr="009355B7">
        <w:t xml:space="preserve">in precision due to fewer samples at a borough level (Tan et al., 2026). </w:t>
      </w:r>
      <w:r w:rsidR="006057CB">
        <w:t>Therefore</w:t>
      </w:r>
      <w:r w:rsidRPr="009355B7">
        <w:t>, coding variation, incomplete ethnicity recording and underdiagnosis continue to be primary limitations in routine surveillance.</w:t>
      </w:r>
      <w:r>
        <w:t xml:space="preserve"> </w:t>
      </w:r>
    </w:p>
    <w:p w14:paraId="73230445" w14:textId="77777777" w:rsidR="007D3CE1" w:rsidRPr="007D3CE1" w:rsidRDefault="007D3CE1" w:rsidP="007D3CE1"/>
    <w:p w14:paraId="12B979BD" w14:textId="58D2C1E8" w:rsidR="00154F56" w:rsidRDefault="0019170E" w:rsidP="007D3CE1">
      <w:pPr>
        <w:pStyle w:val="Heading2"/>
      </w:pPr>
      <w:bookmarkStart w:id="18" w:name="_Toc243071557"/>
      <w:r w:rsidRPr="00154F56">
        <w:t>Public Health Impact</w:t>
      </w:r>
      <w:bookmarkEnd w:id="18"/>
    </w:p>
    <w:p w14:paraId="01B66E80" w14:textId="09160423" w:rsidR="003F40AE" w:rsidRDefault="0019170E" w:rsidP="006560B4">
      <w:r w:rsidRPr="003F40AE">
        <w:t xml:space="preserve">Short-term, type 2 diabetes and obesity have significant hospital admission rates, hypoglycaemic and hyperglycaemic emergencies, and primary care workload, with attenders with type 2 diabetes needing regular monitoring and medication review (Stasinopoulos et al., 2025). Over the longer term, microvascular complications such as cardiovascular disease, nephropathy, retinopathy, and neuropathy contribute to </w:t>
      </w:r>
      <w:r w:rsidR="00AC4453" w:rsidRPr="00AC4453">
        <w:t>disability-adjusted life years</w:t>
      </w:r>
      <w:r w:rsidRPr="003F40AE">
        <w:t xml:space="preserve">, premature mortality and years of life lost, and South Asian populations are at increased risk of developing these conditions at an early age, leading to prolonged exposure to hyperglycaemia (Pradeepa and Mohan, 2024). The burden is quantified in epidemiological measures, with incidence and prevalence reflecting the frequency, relative risk reflecting association with obesity exposures </w:t>
      </w:r>
      <w:r w:rsidRPr="003F40AE">
        <w:lastRenderedPageBreak/>
        <w:t>and the population attributable fraction providing an estimate of the proportion of cases attributable to the absence of an exposure. In addition, projections show that the cost of diabetes in the United Kingdom will increase significantly, and this cost will be borne by the NHS and local authority social care (Johnston and Pratt, 2024).</w:t>
      </w:r>
      <w:r>
        <w:t xml:space="preserve"> </w:t>
      </w:r>
    </w:p>
    <w:p w14:paraId="4F23F49F" w14:textId="77777777" w:rsidR="007D3CE1" w:rsidRPr="007D3CE1" w:rsidRDefault="007D3CE1" w:rsidP="007D3CE1"/>
    <w:p w14:paraId="66AA5FC6" w14:textId="316C641C" w:rsidR="00154F56" w:rsidRDefault="0019170E" w:rsidP="007D3CE1">
      <w:pPr>
        <w:pStyle w:val="Heading2"/>
      </w:pPr>
      <w:bookmarkStart w:id="19" w:name="_Toc243071558"/>
      <w:r w:rsidRPr="00154F56">
        <w:t>Existing Public Health Measures: The Three Ps</w:t>
      </w:r>
      <w:bookmarkEnd w:id="19"/>
    </w:p>
    <w:p w14:paraId="4E2D4183" w14:textId="6564A79D" w:rsidR="00154F56" w:rsidRDefault="0019170E" w:rsidP="0009636A">
      <w:r w:rsidRPr="00600ED4">
        <w:t>Prevention involves the NHS Diabetes Prevention Programme (DPP) providing behavioural interventions to adults with non-diabetic hyperglycaemia, and it has demonstrated a reduction in weight and HbA1c levels in participants (Bower et al., 2025). Early Detection and Risk Reduction are also supported by the NHS Health Check and local Weight Management services. Protection is offered through the Soft Drinks Industry Levy, which encouraged manufacturers to reformulate products and lower sugar content (Rogers et al., 2023), as well as planning controls of hot food takeaways near schools and regulation of food advertising. Evidence shows that culturally targeted community and faith-based health education improves engagement among South Asian groups, and this is a component of Promotion alongside Healthy Weight initiatives and school-based healthy eating and physical activity schemes</w:t>
      </w:r>
      <w:r w:rsidR="005667DF">
        <w:t xml:space="preserve"> (Perez et al., 2024)</w:t>
      </w:r>
      <w:r w:rsidRPr="00600ED4">
        <w:t xml:space="preserve">. Together, these measures are consistent with the borough's Healthy Borough strategy, but the distinct impact of each measure on outcomes for people is not </w:t>
      </w:r>
      <w:r>
        <w:t>understood</w:t>
      </w:r>
      <w:r w:rsidRPr="00600ED4">
        <w:t>.</w:t>
      </w:r>
    </w:p>
    <w:p w14:paraId="2A16DA8F" w14:textId="77777777" w:rsidR="0009636A" w:rsidRPr="00154F56" w:rsidRDefault="0009636A" w:rsidP="007D3CE1"/>
    <w:p w14:paraId="3E0F221F" w14:textId="016E06AD" w:rsidR="00154F56" w:rsidRDefault="0019170E" w:rsidP="0085432D">
      <w:pPr>
        <w:pStyle w:val="Heading2"/>
      </w:pPr>
      <w:bookmarkStart w:id="20" w:name="_Toc243071559"/>
      <w:r w:rsidRPr="00154F56">
        <w:t>Proposed Intervention Programme and Evaluation</w:t>
      </w:r>
      <w:bookmarkEnd w:id="20"/>
    </w:p>
    <w:p w14:paraId="70BE57A5" w14:textId="09BB981B" w:rsidR="005C32D3" w:rsidRDefault="0019170E" w:rsidP="00B514C2">
      <w:r w:rsidRPr="005C32D3">
        <w:t>The proposed programme will seek to minimise the prevalence of non-diabetic hyperglycaemia in Tower Hamlets adults aged between 25 and 64 years of Bangladeshi ethnic origin and excess weight in Tower Hamlets children of school-going age and their families (as identified by the National Child Measurement Programme) over a 3-year period. Programme components: culturally adapted lifestyle education via mosques and community centres; the location of faith and community centres has been found to facilitate engagement and glycaemic outcomes among South Asian communities (Tower Hamlets, 2022). The bilingual peer educators will facilitate sessions in Sylheti and Bengali languages to minimise language barriers, while collaboration with local retailers and takeaways will increase the availability of healthier foods and revolutionise recipes.</w:t>
      </w:r>
      <w:r>
        <w:t xml:space="preserve"> </w:t>
      </w:r>
    </w:p>
    <w:p w14:paraId="2CE2CBF5" w14:textId="1FB662E9" w:rsidR="007D3CE1" w:rsidRDefault="0019170E" w:rsidP="007D3CE1">
      <w:r w:rsidRPr="009F1BDF">
        <w:t>The results of the research showed that intensive lifestyle modification significantly decreased the incidence of diabetes among high-risk adults, which supports the theoretical basis of the intervention (Zhong et al., 2023). Indicators of evaluation will include RE-AIM (Glasgow et al., 2022): reach, effectiveness, adoption, implementation and maintenance; and will include HbA1c, BMI, programme uptake and the conversion from prediabetes to diabetes. In addition, a stepped-</w:t>
      </w:r>
      <w:r w:rsidRPr="009F1BDF">
        <w:lastRenderedPageBreak/>
        <w:t>wedge design will compare interventions with a delayed intervention, and cost-effectiveness analysis will calculate the cost per quality-adjusted life year gained.</w:t>
      </w:r>
    </w:p>
    <w:p w14:paraId="32FD4263" w14:textId="77777777" w:rsidR="0009636A" w:rsidRPr="007D3CE1" w:rsidRDefault="0009636A" w:rsidP="007D3CE1"/>
    <w:p w14:paraId="627307C6" w14:textId="51FBA5FC" w:rsidR="00154F56" w:rsidRDefault="0019170E" w:rsidP="002063B8">
      <w:pPr>
        <w:pStyle w:val="Heading2"/>
      </w:pPr>
      <w:bookmarkStart w:id="21" w:name="_Toc243071560"/>
      <w:r w:rsidRPr="00154F56">
        <w:t>Strengths and Limitations of the Epidemiological Approach</w:t>
      </w:r>
      <w:bookmarkEnd w:id="21"/>
    </w:p>
    <w:p w14:paraId="7A35C8A8" w14:textId="52D1A10B" w:rsidR="00654543" w:rsidRDefault="0019170E" w:rsidP="00271AD6">
      <w:r w:rsidRPr="00654543">
        <w:t xml:space="preserve">Its main strength is the leveraging of linked routine data, which offer large sample sizes, allow for analyses by ethnicity and allow analysis triangulation across data from primary care, hospital and mortality sources, improving confidence in the results (Quayle et al., 2023). However, there are some limitations </w:t>
      </w:r>
      <w:r w:rsidR="00E9717F">
        <w:t>that need to be addressed</w:t>
      </w:r>
      <w:r w:rsidRPr="00654543">
        <w:t xml:space="preserve"> in interpretation, </w:t>
      </w:r>
      <w:r w:rsidR="00956ACB">
        <w:t>as</w:t>
      </w:r>
      <w:r w:rsidR="005F3E84">
        <w:t xml:space="preserve"> </w:t>
      </w:r>
      <w:r w:rsidRPr="00654543">
        <w:t>ecological analysis of borough-level data can suffer from the ecological fallacy and selection and information bias; confounding and residual undiagnosed cases may bias estimated prevalence and associations. In addition, ethnicity miscoding, population movement for denominators and the findings being applicable only to a very unique borough limit the reliability of rate estimation and the external validity of the results. Data validation against alternative data sources, age and ethnicity standardisation, multivariable adjustment for factors of deprivation, and qualitative community engagement, which help to account for quantitative findings and make the public health inferences culturally valid, constitute mitigation strategies (Chen et al., 2026).</w:t>
      </w:r>
      <w:r>
        <w:t xml:space="preserve"> </w:t>
      </w:r>
    </w:p>
    <w:p w14:paraId="3037AFFA" w14:textId="6366D6D8" w:rsidR="002063B8" w:rsidRDefault="002063B8" w:rsidP="000F170B"/>
    <w:p w14:paraId="432C6313" w14:textId="011A3F2B" w:rsidR="002063B8" w:rsidRDefault="0019170E" w:rsidP="002063B8">
      <w:pPr>
        <w:pStyle w:val="Heading2"/>
      </w:pPr>
      <w:bookmarkStart w:id="22" w:name="_Toc243071561"/>
      <w:r>
        <w:t>Conclusion</w:t>
      </w:r>
      <w:bookmarkEnd w:id="22"/>
    </w:p>
    <w:p w14:paraId="4329F2A7" w14:textId="083BDA31" w:rsidR="005A3102" w:rsidRDefault="0019170E" w:rsidP="002063B8">
      <w:r w:rsidRPr="005A3102">
        <w:t>Type 2 diabetes and obesity are disproportionately affecting Tower Hamlets, with South Asian ethnicity, deprivation and the food environment playing a key role in increasing risk, and epidemiological approaches highlighting who, and why, is affected. Therefore, a culturally adapted, community-based programme for Bangladeshi adults who do not have diabetes, and for families of children with excess weight is warranted. The manager must focus on early implementation, ongoing monitoring and comprehensive assessment, and the establishment of long-term collaborations between health, local authority, education and community agencies.</w:t>
      </w:r>
      <w:r>
        <w:t xml:space="preserve"> </w:t>
      </w:r>
    </w:p>
    <w:p w14:paraId="4E9F02C7" w14:textId="453A7185" w:rsidR="002063B8" w:rsidRDefault="002063B8" w:rsidP="002063B8"/>
    <w:p w14:paraId="6E21E45D" w14:textId="45DFC987" w:rsidR="002063B8" w:rsidRDefault="0019170E" w:rsidP="002063B8">
      <w:pPr>
        <w:pStyle w:val="Heading2"/>
      </w:pPr>
      <w:bookmarkStart w:id="23" w:name="_Toc243071562"/>
      <w:r>
        <w:t>References</w:t>
      </w:r>
      <w:bookmarkEnd w:id="23"/>
    </w:p>
    <w:p w14:paraId="3938AE46" w14:textId="62F512F7" w:rsidR="009274EF" w:rsidRDefault="0019170E" w:rsidP="009274EF">
      <w:pPr>
        <w:ind w:left="720" w:hanging="720"/>
      </w:pPr>
      <w:r w:rsidRPr="00DC402C">
        <w:t xml:space="preserve">Asimit, J., Wallace, C., Ruffieux, H., Vigorito, E., Newcombe, P. and Antoniou, A., 50th European Mathematical Genetics Meeting (EMGM) </w:t>
      </w:r>
      <w:r w:rsidR="00244F43">
        <w:t>(</w:t>
      </w:r>
      <w:r w:rsidRPr="00DC402C">
        <w:t>2022</w:t>
      </w:r>
      <w:r w:rsidR="00244F43">
        <w:t>)</w:t>
      </w:r>
      <w:r w:rsidRPr="00DC402C">
        <w:t>: Cambridge, United Kingdom, April 21–22, 2022.</w:t>
      </w:r>
    </w:p>
    <w:p w14:paraId="4E828F84" w14:textId="721F1992" w:rsidR="009274EF" w:rsidRDefault="0019170E" w:rsidP="009274EF">
      <w:pPr>
        <w:ind w:left="720" w:hanging="720"/>
      </w:pPr>
      <w:r w:rsidRPr="00DC402C">
        <w:t xml:space="preserve">Barkas, F., Dirou, M., Dharmayat, K.I., Mazidi, M., Vallejo-Vaz, A.J., Stevens, C.A., Elshorbagy, A. and Ray, K.K. </w:t>
      </w:r>
      <w:r w:rsidR="00244F43">
        <w:t>(</w:t>
      </w:r>
      <w:r w:rsidRPr="00DC402C">
        <w:t>2026</w:t>
      </w:r>
      <w:r w:rsidR="00244F43">
        <w:t>)</w:t>
      </w:r>
      <w:r w:rsidRPr="00DC402C">
        <w:t xml:space="preserve">. Ethnic differences in the burden of cardiovascular disease risk factors among adult residents of London: the TOGETHER study. </w:t>
      </w:r>
      <w:r w:rsidRPr="00DC402C">
        <w:rPr>
          <w:i/>
          <w:iCs/>
        </w:rPr>
        <w:t>BMC medicine</w:t>
      </w:r>
      <w:r w:rsidRPr="00DC402C">
        <w:t xml:space="preserve">, </w:t>
      </w:r>
      <w:r w:rsidRPr="00DC402C">
        <w:rPr>
          <w:i/>
          <w:iCs/>
        </w:rPr>
        <w:t>24</w:t>
      </w:r>
      <w:r w:rsidRPr="00DC402C">
        <w:t>(1), p.220.</w:t>
      </w:r>
    </w:p>
    <w:p w14:paraId="01C8A954" w14:textId="587817C1" w:rsidR="009274EF" w:rsidRDefault="0019170E" w:rsidP="009274EF">
      <w:pPr>
        <w:ind w:left="720" w:hanging="720"/>
      </w:pPr>
      <w:r w:rsidRPr="00DC402C">
        <w:lastRenderedPageBreak/>
        <w:t xml:space="preserve">Bower, P., Soiland-Reyes, C., Bennett, C., Brunton, L., Burch, P., Cameron, E., Chandola, T., Chatzi, G., Cotterill, S., French, D.P. and Gellatly, J., </w:t>
      </w:r>
      <w:r w:rsidR="00244F43">
        <w:t>(</w:t>
      </w:r>
      <w:r w:rsidRPr="00DC402C">
        <w:t>2025</w:t>
      </w:r>
      <w:r w:rsidR="00244F43">
        <w:t>)</w:t>
      </w:r>
      <w:r w:rsidRPr="00DC402C">
        <w:t xml:space="preserve">. The effectiveness and cost-effectiveness of the NHS Diabetes Prevention Programme (NHS-DPP): the DIPLOMA long-term multimethod assessment. </w:t>
      </w:r>
      <w:r w:rsidRPr="00DC402C">
        <w:rPr>
          <w:i/>
          <w:iCs/>
        </w:rPr>
        <w:t>Health and Social Care Delivery Research</w:t>
      </w:r>
      <w:r w:rsidRPr="00DC402C">
        <w:t>, pp.1-47.</w:t>
      </w:r>
    </w:p>
    <w:p w14:paraId="0A149DFC" w14:textId="78AF7678" w:rsidR="009274EF" w:rsidRPr="002063B8" w:rsidRDefault="0019170E" w:rsidP="009274EF">
      <w:pPr>
        <w:ind w:left="720" w:hanging="720"/>
      </w:pPr>
      <w:r w:rsidRPr="009274EF">
        <w:t xml:space="preserve">Chen, W., Pendleton, A., Lawson, A. and Thorne, M., </w:t>
      </w:r>
      <w:r w:rsidR="00244F43">
        <w:t>(</w:t>
      </w:r>
      <w:r w:rsidRPr="009274EF">
        <w:t>2026</w:t>
      </w:r>
      <w:r w:rsidR="00244F43">
        <w:t>)</w:t>
      </w:r>
      <w:r w:rsidRPr="009274EF">
        <w:t xml:space="preserve">. Epidemiological Inference and Health Equity Assessment with Multi-Cohort Data. </w:t>
      </w:r>
      <w:r w:rsidRPr="009274EF">
        <w:rPr>
          <w:i/>
          <w:iCs/>
        </w:rPr>
        <w:t>International Journal of Computational and Biological Sciences</w:t>
      </w:r>
      <w:r w:rsidRPr="009274EF">
        <w:t xml:space="preserve">, </w:t>
      </w:r>
      <w:r w:rsidRPr="009274EF">
        <w:rPr>
          <w:i/>
          <w:iCs/>
        </w:rPr>
        <w:t>3</w:t>
      </w:r>
      <w:r w:rsidRPr="009274EF">
        <w:t>(1), pp.299-311.</w:t>
      </w:r>
    </w:p>
    <w:p w14:paraId="53FD954E" w14:textId="621AB51A" w:rsidR="009274EF" w:rsidRDefault="0019170E" w:rsidP="009274EF">
      <w:pPr>
        <w:ind w:left="720" w:hanging="720"/>
      </w:pPr>
      <w:r w:rsidRPr="009274EF">
        <w:t xml:space="preserve">Glasgow, R.E., Battaglia, C., McCreight, M., Ayele, R., Maw, A.M., Fort, M.P., Holtrop, J.S., Gomes, R.N. and Rabin, B.A., </w:t>
      </w:r>
      <w:r w:rsidR="00244F43">
        <w:t>(</w:t>
      </w:r>
      <w:r w:rsidRPr="009274EF">
        <w:t>2022</w:t>
      </w:r>
      <w:r w:rsidR="00244F43">
        <w:t>)</w:t>
      </w:r>
      <w:r w:rsidRPr="009274EF">
        <w:t xml:space="preserve">. Use of the reach, effectiveness, adoption, implementation, and maintenance (RE-AIM) framework to guide iterative adaptations: applications, lessons learned, and future directions. </w:t>
      </w:r>
      <w:r w:rsidRPr="009274EF">
        <w:rPr>
          <w:i/>
          <w:iCs/>
        </w:rPr>
        <w:t>Frontiers in Health Services</w:t>
      </w:r>
      <w:r w:rsidRPr="009274EF">
        <w:t xml:space="preserve">, </w:t>
      </w:r>
      <w:r w:rsidRPr="009274EF">
        <w:rPr>
          <w:i/>
          <w:iCs/>
        </w:rPr>
        <w:t>2</w:t>
      </w:r>
      <w:r w:rsidRPr="009274EF">
        <w:t>, p.959565.</w:t>
      </w:r>
    </w:p>
    <w:p w14:paraId="4255AA1E" w14:textId="3917200D" w:rsidR="009274EF" w:rsidRDefault="0019170E" w:rsidP="009274EF">
      <w:pPr>
        <w:ind w:left="720" w:hanging="720"/>
      </w:pPr>
      <w:r w:rsidRPr="00DC402C">
        <w:t xml:space="preserve">Jahnel, T., Dassow, H.H., Gerhardus, A. and Schüz, B., </w:t>
      </w:r>
      <w:r w:rsidR="00244F43">
        <w:t>(</w:t>
      </w:r>
      <w:r w:rsidRPr="00DC402C">
        <w:t>2022</w:t>
      </w:r>
      <w:r w:rsidR="00244F43">
        <w:t>)</w:t>
      </w:r>
      <w:r w:rsidRPr="00DC402C">
        <w:t xml:space="preserve">. The digital rainbow: digital determinants of health inequities. </w:t>
      </w:r>
      <w:r w:rsidRPr="00DC402C">
        <w:rPr>
          <w:i/>
          <w:iCs/>
        </w:rPr>
        <w:t>Digital health</w:t>
      </w:r>
      <w:r w:rsidRPr="00DC402C">
        <w:t xml:space="preserve">, </w:t>
      </w:r>
      <w:r w:rsidRPr="00DC402C">
        <w:rPr>
          <w:i/>
          <w:iCs/>
        </w:rPr>
        <w:t>8</w:t>
      </w:r>
      <w:r w:rsidRPr="00DC402C">
        <w:t>, p.20552076221129093.</w:t>
      </w:r>
    </w:p>
    <w:p w14:paraId="6B6C14D1" w14:textId="65707A8E" w:rsidR="009274EF" w:rsidRDefault="0019170E" w:rsidP="009274EF">
      <w:pPr>
        <w:ind w:left="720" w:hanging="720"/>
      </w:pPr>
      <w:r w:rsidRPr="00DC402C">
        <w:t xml:space="preserve">Johnston, C. and Pratt, G., </w:t>
      </w:r>
      <w:r w:rsidR="00244F43">
        <w:t>(</w:t>
      </w:r>
      <w:r w:rsidRPr="00DC402C">
        <w:t>2024</w:t>
      </w:r>
      <w:r w:rsidR="00244F43">
        <w:t>)</w:t>
      </w:r>
      <w:r w:rsidRPr="00DC402C">
        <w:t xml:space="preserve">. Automating adult social care in the UK: Extracting value from a crisis. </w:t>
      </w:r>
      <w:r w:rsidRPr="00DC402C">
        <w:rPr>
          <w:i/>
          <w:iCs/>
        </w:rPr>
        <w:t>Geoforum</w:t>
      </w:r>
      <w:r w:rsidRPr="00DC402C">
        <w:t xml:space="preserve">, </w:t>
      </w:r>
      <w:r w:rsidRPr="00DC402C">
        <w:rPr>
          <w:i/>
          <w:iCs/>
        </w:rPr>
        <w:t>151</w:t>
      </w:r>
      <w:r w:rsidRPr="00DC402C">
        <w:t>, p.103997.</w:t>
      </w:r>
    </w:p>
    <w:p w14:paraId="2C67808D" w14:textId="3F1553E3" w:rsidR="009274EF" w:rsidRDefault="0019170E" w:rsidP="009274EF">
      <w:pPr>
        <w:ind w:left="720" w:hanging="720"/>
      </w:pPr>
      <w:r w:rsidRPr="00DC402C">
        <w:t xml:space="preserve">Katsanou, P. and Marakomichelakis, G., </w:t>
      </w:r>
      <w:r w:rsidR="00244F43">
        <w:t>(</w:t>
      </w:r>
      <w:r w:rsidRPr="00DC402C">
        <w:t>2026</w:t>
      </w:r>
      <w:r w:rsidR="00244F43">
        <w:t>)</w:t>
      </w:r>
      <w:r w:rsidRPr="00DC402C">
        <w:t xml:space="preserve">. Epidemiology of Diabetes. In </w:t>
      </w:r>
      <w:r w:rsidRPr="00DC402C">
        <w:rPr>
          <w:i/>
          <w:iCs/>
        </w:rPr>
        <w:t>VAS European Book on Angiology/Vascular Medicine: An International Expert Guide</w:t>
      </w:r>
      <w:r w:rsidRPr="00DC402C">
        <w:t xml:space="preserve"> (pp. 439-443). Cham: Springer Nature Switzerland.</w:t>
      </w:r>
    </w:p>
    <w:p w14:paraId="19BB66FC" w14:textId="23858E18" w:rsidR="009274EF" w:rsidRDefault="0019170E" w:rsidP="009274EF">
      <w:pPr>
        <w:ind w:left="720" w:hanging="720"/>
      </w:pPr>
      <w:r w:rsidRPr="00DC402C">
        <w:t xml:space="preserve">McEachan, R.R., Santorelli, G., Watmuff, A., Mason, D., Barber, S.E., Bingham, D.D., Bird, P.K., Lennon, L., Lewer, D., Mon-Williams, M. and Shire, K.A., </w:t>
      </w:r>
      <w:r w:rsidR="00244F43">
        <w:t>(</w:t>
      </w:r>
      <w:r w:rsidRPr="00DC402C">
        <w:t>2024</w:t>
      </w:r>
      <w:r w:rsidR="00244F43">
        <w:t>)</w:t>
      </w:r>
      <w:r w:rsidRPr="00DC402C">
        <w:t xml:space="preserve">. Cohort profile update: born in Bradford. </w:t>
      </w:r>
      <w:r w:rsidRPr="00DC402C">
        <w:rPr>
          <w:i/>
          <w:iCs/>
        </w:rPr>
        <w:t>International Journal of Epidemiology</w:t>
      </w:r>
      <w:r w:rsidRPr="00DC402C">
        <w:t xml:space="preserve">, </w:t>
      </w:r>
      <w:r w:rsidRPr="00DC402C">
        <w:rPr>
          <w:i/>
          <w:iCs/>
        </w:rPr>
        <w:t>53</w:t>
      </w:r>
      <w:r w:rsidRPr="00DC402C">
        <w:t>(2), p.dyae037.</w:t>
      </w:r>
    </w:p>
    <w:p w14:paraId="456A8925" w14:textId="77777777" w:rsidR="009274EF" w:rsidRDefault="0019170E" w:rsidP="009274EF">
      <w:pPr>
        <w:ind w:left="720" w:hanging="720"/>
      </w:pPr>
      <w:r w:rsidRPr="00DC402C">
        <w:t xml:space="preserve">NHS (2024). </w:t>
      </w:r>
      <w:r w:rsidRPr="00DC402C">
        <w:rPr>
          <w:i/>
          <w:iCs/>
        </w:rPr>
        <w:t>National Child Measurement Programme - NHS Digital</w:t>
      </w:r>
      <w:r w:rsidRPr="00DC402C">
        <w:t xml:space="preserve">. [online] NHS Digital. Available at: </w:t>
      </w:r>
      <w:hyperlink r:id="rId21" w:history="1">
        <w:r w:rsidRPr="00F63913">
          <w:rPr>
            <w:rStyle w:val="Hyperlink"/>
          </w:rPr>
          <w:t>https://digital.nhs.uk/services/national-child-measurement-programme/</w:t>
        </w:r>
      </w:hyperlink>
      <w:r>
        <w:t xml:space="preserve"> </w:t>
      </w:r>
      <w:r w:rsidRPr="00DC402C">
        <w:t>[Accessed 16 Oct. 2026].</w:t>
      </w:r>
    </w:p>
    <w:p w14:paraId="231C21BE" w14:textId="77777777" w:rsidR="009274EF" w:rsidRDefault="0019170E" w:rsidP="009274EF">
      <w:pPr>
        <w:ind w:left="720" w:hanging="720"/>
      </w:pPr>
      <w:r w:rsidRPr="00DC402C">
        <w:t xml:space="preserve">NHS England (2014). </w:t>
      </w:r>
      <w:r w:rsidRPr="00DC402C">
        <w:rPr>
          <w:i/>
          <w:iCs/>
        </w:rPr>
        <w:t>Action for diabetes</w:t>
      </w:r>
      <w:r w:rsidRPr="00DC402C">
        <w:t xml:space="preserve">. [online] Available at: </w:t>
      </w:r>
      <w:hyperlink r:id="rId22" w:history="1">
        <w:r w:rsidRPr="00F63913">
          <w:rPr>
            <w:rStyle w:val="Hyperlink"/>
          </w:rPr>
          <w:t>https://www.england.nhs.uk/rightcare/wp-content/uploads/sites/40/2016/08/act-for-diabetes-31-01.pdf</w:t>
        </w:r>
      </w:hyperlink>
      <w:r>
        <w:t xml:space="preserve"> </w:t>
      </w:r>
      <w:r w:rsidRPr="00DC402C">
        <w:t>[Accessed 16 Oct. 2026].</w:t>
      </w:r>
    </w:p>
    <w:p w14:paraId="09472C93" w14:textId="50302DD4" w:rsidR="009274EF" w:rsidRDefault="0019170E" w:rsidP="009274EF">
      <w:pPr>
        <w:ind w:left="720" w:hanging="720"/>
      </w:pPr>
      <w:r w:rsidRPr="009274EF">
        <w:t xml:space="preserve">Perez, L.G., Flόrez, K.R., Seelam, R., Williams, M.V. and Derose, K.P., </w:t>
      </w:r>
      <w:r w:rsidR="00244F43">
        <w:t>(</w:t>
      </w:r>
      <w:r w:rsidRPr="009274EF">
        <w:t>2024</w:t>
      </w:r>
      <w:r w:rsidR="00244F43">
        <w:t>)</w:t>
      </w:r>
      <w:r w:rsidRPr="009274EF">
        <w:t xml:space="preserve">. Effects of a faith-based obesity intervention on African American and Latino adults’ children. </w:t>
      </w:r>
      <w:r w:rsidRPr="009274EF">
        <w:rPr>
          <w:i/>
          <w:iCs/>
        </w:rPr>
        <w:t>Community health equity research &amp; policy</w:t>
      </w:r>
      <w:r w:rsidRPr="009274EF">
        <w:t xml:space="preserve">, </w:t>
      </w:r>
      <w:r w:rsidRPr="009274EF">
        <w:rPr>
          <w:i/>
          <w:iCs/>
        </w:rPr>
        <w:t>45</w:t>
      </w:r>
      <w:r w:rsidRPr="009274EF">
        <w:t>(1), pp.101-106.</w:t>
      </w:r>
    </w:p>
    <w:p w14:paraId="0A85BFE0" w14:textId="34B814A9" w:rsidR="009274EF" w:rsidRDefault="0019170E" w:rsidP="009274EF">
      <w:pPr>
        <w:ind w:left="720" w:hanging="720"/>
      </w:pPr>
      <w:r w:rsidRPr="00DC402C">
        <w:t xml:space="preserve">Pradeepa, R. and Mohan, V., </w:t>
      </w:r>
      <w:r w:rsidR="00244F43">
        <w:t>(</w:t>
      </w:r>
      <w:r w:rsidRPr="00DC402C">
        <w:t>2024</w:t>
      </w:r>
      <w:r w:rsidR="00244F43">
        <w:t>)</w:t>
      </w:r>
      <w:r w:rsidRPr="00DC402C">
        <w:t xml:space="preserve">. Epidemiology of chronic complications of diabetes: A global perspective. In </w:t>
      </w:r>
      <w:r w:rsidRPr="00DC402C">
        <w:rPr>
          <w:i/>
          <w:iCs/>
        </w:rPr>
        <w:t>Chronic complications of diabetes mellitus</w:t>
      </w:r>
      <w:r w:rsidRPr="00DC402C">
        <w:t xml:space="preserve"> (pp. 11-23). Academic Press.</w:t>
      </w:r>
    </w:p>
    <w:p w14:paraId="481E97E4" w14:textId="5A2759E2" w:rsidR="009274EF" w:rsidRDefault="0019170E" w:rsidP="009274EF">
      <w:pPr>
        <w:ind w:left="720" w:hanging="720"/>
      </w:pPr>
      <w:r w:rsidRPr="009274EF">
        <w:lastRenderedPageBreak/>
        <w:t xml:space="preserve">Quayle, G., Jones, B., Atkins, J., Shannon, C., Smith, R., Tabor, D., Bałabuch, Z., Cox, C., Horsell, S., John, M. and White, T.M., </w:t>
      </w:r>
      <w:r w:rsidR="00244F43">
        <w:t>(</w:t>
      </w:r>
      <w:r w:rsidRPr="009274EF">
        <w:t>2023</w:t>
      </w:r>
      <w:r w:rsidR="00244F43">
        <w:t>)</w:t>
      </w:r>
      <w:r w:rsidRPr="009274EF">
        <w:t xml:space="preserve">. Qualitative interviews to understand methods and systems used to collect ethnicity information in health administrative data sources in England. </w:t>
      </w:r>
      <w:r w:rsidRPr="009274EF">
        <w:rPr>
          <w:i/>
          <w:iCs/>
        </w:rPr>
        <w:t>Wellcome Open Research</w:t>
      </w:r>
      <w:r w:rsidRPr="009274EF">
        <w:t xml:space="preserve">, </w:t>
      </w:r>
      <w:r w:rsidRPr="009274EF">
        <w:rPr>
          <w:i/>
          <w:iCs/>
        </w:rPr>
        <w:t>8</w:t>
      </w:r>
      <w:r w:rsidRPr="009274EF">
        <w:t>, p.265.</w:t>
      </w:r>
    </w:p>
    <w:p w14:paraId="58B5E36A" w14:textId="260195D4" w:rsidR="009274EF" w:rsidRDefault="0019170E" w:rsidP="009274EF">
      <w:pPr>
        <w:ind w:left="720" w:hanging="720"/>
      </w:pPr>
      <w:r w:rsidRPr="009274EF">
        <w:t xml:space="preserve">Rogers, N.T., Pell, D., Mytton, O.T., Penney, T.L., Briggs, A., Cummins, S., Jones, C., Rayner, M., Rutter, H., Scarborough, P. and Sharp, S., </w:t>
      </w:r>
      <w:r w:rsidR="00244F43">
        <w:t>(</w:t>
      </w:r>
      <w:r w:rsidRPr="009274EF">
        <w:t>2023</w:t>
      </w:r>
      <w:r w:rsidR="00244F43">
        <w:t>)</w:t>
      </w:r>
      <w:r w:rsidRPr="009274EF">
        <w:t xml:space="preserve">. Changes in soft drinks purchased by British households associated with the UK soft drinks industry levy: a controlled interrupted time series analysis. </w:t>
      </w:r>
      <w:r w:rsidRPr="009274EF">
        <w:rPr>
          <w:i/>
          <w:iCs/>
        </w:rPr>
        <w:t>BMJ open</w:t>
      </w:r>
      <w:r w:rsidRPr="009274EF">
        <w:t xml:space="preserve">, </w:t>
      </w:r>
      <w:r w:rsidRPr="009274EF">
        <w:rPr>
          <w:i/>
          <w:iCs/>
        </w:rPr>
        <w:t>13</w:t>
      </w:r>
      <w:r w:rsidRPr="009274EF">
        <w:t>(12), p.e077059.</w:t>
      </w:r>
    </w:p>
    <w:p w14:paraId="54E22E53" w14:textId="45EB13AE" w:rsidR="009274EF" w:rsidRDefault="0019170E" w:rsidP="009274EF">
      <w:pPr>
        <w:ind w:left="720" w:hanging="720"/>
      </w:pPr>
      <w:r w:rsidRPr="00DC402C">
        <w:t xml:space="preserve">Saxena, A., Saran, S., Choudhary, P., Sharma, B., Gupta, S., Mandia, R., Banshiwal, R.C., Lamoria, R.K., Dhakad, A., Raj, U. and Tiwari, P., </w:t>
      </w:r>
      <w:r w:rsidR="00244F43">
        <w:t>(</w:t>
      </w:r>
      <w:r w:rsidRPr="00DC402C">
        <w:t>2025</w:t>
      </w:r>
      <w:r w:rsidR="00244F43">
        <w:t>)</w:t>
      </w:r>
      <w:r w:rsidRPr="00DC402C">
        <w:t xml:space="preserve">. Adipose tissue quantity, distribution and pathology and its relationship with type-2 diabetes, insulin resistance and other clustering disease risk in South Asians: a cross-sectional study. </w:t>
      </w:r>
      <w:r w:rsidRPr="00DC402C">
        <w:rPr>
          <w:i/>
          <w:iCs/>
        </w:rPr>
        <w:t>Frontiers in Endocrinology</w:t>
      </w:r>
      <w:r w:rsidRPr="00DC402C">
        <w:t xml:space="preserve">, </w:t>
      </w:r>
      <w:r w:rsidRPr="00DC402C">
        <w:rPr>
          <w:i/>
          <w:iCs/>
        </w:rPr>
        <w:t>16</w:t>
      </w:r>
      <w:r w:rsidRPr="00DC402C">
        <w:t>, p.1622732.</w:t>
      </w:r>
    </w:p>
    <w:p w14:paraId="041817AC" w14:textId="5FE57DCA" w:rsidR="009274EF" w:rsidRDefault="0019170E" w:rsidP="009274EF">
      <w:pPr>
        <w:ind w:left="720" w:hanging="720"/>
      </w:pPr>
      <w:r w:rsidRPr="00DC402C">
        <w:t xml:space="preserve">Stasinopoulos, J., Leung, M.T., Yong, A.S.J., Ilomaki, J. and Bell, J.S., </w:t>
      </w:r>
      <w:r w:rsidR="00244F43">
        <w:t>(</w:t>
      </w:r>
      <w:r w:rsidRPr="00DC402C">
        <w:t>2025</w:t>
      </w:r>
      <w:r w:rsidR="00244F43">
        <w:t>)</w:t>
      </w:r>
      <w:r w:rsidRPr="00DC402C">
        <w:t xml:space="preserve">. Rates and reasons for recurrent emergency hospitalizations among frail residents with diabetes following first admission to long-term care facilities. </w:t>
      </w:r>
      <w:r w:rsidRPr="00DC402C">
        <w:rPr>
          <w:i/>
          <w:iCs/>
        </w:rPr>
        <w:t>Journal of the American Medical Directors Association</w:t>
      </w:r>
      <w:r w:rsidRPr="00DC402C">
        <w:t xml:space="preserve">, </w:t>
      </w:r>
      <w:r w:rsidRPr="00DC402C">
        <w:rPr>
          <w:i/>
          <w:iCs/>
        </w:rPr>
        <w:t>26</w:t>
      </w:r>
      <w:r w:rsidRPr="00DC402C">
        <w:t>(12), p.105920.</w:t>
      </w:r>
    </w:p>
    <w:p w14:paraId="2B50DC14" w14:textId="6577565E" w:rsidR="009274EF" w:rsidRDefault="0019170E" w:rsidP="009274EF">
      <w:pPr>
        <w:ind w:left="720" w:hanging="720"/>
      </w:pPr>
      <w:r w:rsidRPr="00DC402C">
        <w:t xml:space="preserve">Tan, S., Li, Y., Chang, X. and Chen, X., </w:t>
      </w:r>
      <w:r w:rsidR="00244F43">
        <w:t>(</w:t>
      </w:r>
      <w:r w:rsidRPr="00DC402C">
        <w:t>2026</w:t>
      </w:r>
      <w:r w:rsidR="00244F43">
        <w:t>)</w:t>
      </w:r>
      <w:r w:rsidRPr="00DC402C">
        <w:t xml:space="preserve">. A Geo-computational Analysis of Health Inequality in London. </w:t>
      </w:r>
      <w:r w:rsidRPr="00DC402C">
        <w:rPr>
          <w:i/>
          <w:iCs/>
        </w:rPr>
        <w:t>SN Computer Science</w:t>
      </w:r>
      <w:r w:rsidRPr="00DC402C">
        <w:t xml:space="preserve">, </w:t>
      </w:r>
      <w:r w:rsidRPr="00DC402C">
        <w:rPr>
          <w:i/>
          <w:iCs/>
        </w:rPr>
        <w:t>7</w:t>
      </w:r>
      <w:r w:rsidRPr="00DC402C">
        <w:t>(7), p.799.</w:t>
      </w:r>
    </w:p>
    <w:p w14:paraId="5817C6C0" w14:textId="77777777" w:rsidR="009274EF" w:rsidRDefault="0019170E" w:rsidP="009274EF">
      <w:pPr>
        <w:ind w:left="720" w:hanging="720"/>
      </w:pPr>
      <w:r w:rsidRPr="00DC402C">
        <w:t xml:space="preserve">Tower Hamlets (2022). </w:t>
      </w:r>
      <w:r w:rsidRPr="00DC402C">
        <w:rPr>
          <w:i/>
          <w:iCs/>
        </w:rPr>
        <w:t>Tower hamlets annual public health report</w:t>
      </w:r>
      <w:r w:rsidRPr="00DC402C">
        <w:t xml:space="preserve">. [online] Available at: </w:t>
      </w:r>
      <w:hyperlink r:id="rId23" w:history="1">
        <w:r w:rsidRPr="00F63913">
          <w:rPr>
            <w:rStyle w:val="Hyperlink"/>
          </w:rPr>
          <w:t>https://www.towerhamlets.gov.uk/Documents/Public-Health/TowerHamletsPublicHealthReport2022.pdf</w:t>
        </w:r>
      </w:hyperlink>
      <w:r>
        <w:t xml:space="preserve"> </w:t>
      </w:r>
      <w:r w:rsidRPr="00DC402C">
        <w:t>[Accessed 16 Oct. 2026].</w:t>
      </w:r>
    </w:p>
    <w:p w14:paraId="2330ABA3" w14:textId="681DF599" w:rsidR="009274EF" w:rsidRDefault="0019170E" w:rsidP="009274EF">
      <w:pPr>
        <w:ind w:left="720" w:hanging="720"/>
      </w:pPr>
      <w:r w:rsidRPr="00DC402C">
        <w:t xml:space="preserve">Varghese, A.M., Nigam, N., Jalota, K. and Kumar, S., </w:t>
      </w:r>
      <w:r w:rsidR="00244F43">
        <w:t>(</w:t>
      </w:r>
      <w:r w:rsidRPr="00DC402C">
        <w:t>2026</w:t>
      </w:r>
      <w:r w:rsidR="00244F43">
        <w:t>)</w:t>
      </w:r>
      <w:r w:rsidRPr="00DC402C">
        <w:t xml:space="preserve">. Association between Body Mass Index and Glycated Haemoglobin (HbA1c) in Newly Diagnosed Type 2 Diabetes Mellitus: A Cross-Sectional Analysis from a Tertiary Care Centre in Kanpur, India. </w:t>
      </w:r>
      <w:r w:rsidRPr="00DC402C">
        <w:rPr>
          <w:i/>
          <w:iCs/>
        </w:rPr>
        <w:t>Advanced Natural Sciences: Life and Health Sciences</w:t>
      </w:r>
      <w:r w:rsidRPr="00DC402C">
        <w:t xml:space="preserve">, </w:t>
      </w:r>
      <w:r w:rsidRPr="00DC402C">
        <w:rPr>
          <w:i/>
          <w:iCs/>
        </w:rPr>
        <w:t>3</w:t>
      </w:r>
      <w:r w:rsidRPr="00DC402C">
        <w:t>(2), pp.13-32.</w:t>
      </w:r>
    </w:p>
    <w:p w14:paraId="1D3557AC" w14:textId="6063E245" w:rsidR="009274EF" w:rsidRDefault="0019170E" w:rsidP="009274EF">
      <w:pPr>
        <w:ind w:left="720" w:hanging="720"/>
      </w:pPr>
      <w:r w:rsidRPr="00DC402C">
        <w:t xml:space="preserve">World Health Organization (2025). </w:t>
      </w:r>
      <w:r w:rsidRPr="00DC402C">
        <w:rPr>
          <w:i/>
          <w:iCs/>
        </w:rPr>
        <w:t>Obesity and overweight</w:t>
      </w:r>
      <w:r w:rsidRPr="00DC402C">
        <w:t xml:space="preserve">. [online] World Health Organization. Available at: </w:t>
      </w:r>
      <w:hyperlink r:id="rId24" w:history="1">
        <w:r w:rsidRPr="00F63913">
          <w:rPr>
            <w:rStyle w:val="Hyperlink"/>
          </w:rPr>
          <w:t>https://www.who.int/news-room/fact-sheets/detail/obesity-and-overweight</w:t>
        </w:r>
      </w:hyperlink>
      <w:r>
        <w:t xml:space="preserve"> </w:t>
      </w:r>
      <w:r w:rsidRPr="00DC402C">
        <w:t>[Accessed 16 Oct. 2026].</w:t>
      </w:r>
    </w:p>
    <w:p w14:paraId="22711197" w14:textId="49B660FD" w:rsidR="009274EF" w:rsidRDefault="0019170E" w:rsidP="009274EF">
      <w:pPr>
        <w:ind w:left="720" w:hanging="720"/>
      </w:pPr>
      <w:r w:rsidRPr="00DC402C">
        <w:t xml:space="preserve">Xiao, M., Núñez-Elvira, A. and Kristensen, S.R., </w:t>
      </w:r>
      <w:r w:rsidR="00244F43">
        <w:t>(</w:t>
      </w:r>
      <w:r w:rsidRPr="00DC402C">
        <w:t>2025</w:t>
      </w:r>
      <w:r w:rsidR="00244F43">
        <w:t>)</w:t>
      </w:r>
      <w:r w:rsidRPr="00DC402C">
        <w:t xml:space="preserve">. How does the quality of outcomes framework impact on the quality of life of adult patients with diabetes? A cross-section study in England using GP Patient Survey data. </w:t>
      </w:r>
      <w:r w:rsidRPr="00DC402C">
        <w:rPr>
          <w:i/>
          <w:iCs/>
        </w:rPr>
        <w:t>BMC Primary Care</w:t>
      </w:r>
      <w:r w:rsidRPr="00DC402C">
        <w:t xml:space="preserve">, </w:t>
      </w:r>
      <w:r w:rsidRPr="00DC402C">
        <w:rPr>
          <w:i/>
          <w:iCs/>
        </w:rPr>
        <w:t>26</w:t>
      </w:r>
      <w:r w:rsidRPr="00DC402C">
        <w:t>(1), p.327.</w:t>
      </w:r>
    </w:p>
    <w:p w14:paraId="66BC98DB" w14:textId="2C5B5A61" w:rsidR="009274EF" w:rsidRDefault="0019170E" w:rsidP="009274EF">
      <w:pPr>
        <w:ind w:left="720" w:hanging="720"/>
      </w:pPr>
      <w:r w:rsidRPr="009274EF">
        <w:t xml:space="preserve">Zhong, Q., Chen, Y., Luo, M., Lin, Q., Tan, J., Xiao, S., Willey, J.A., Chen, J.L., Whittemore, R. and Guo, J., </w:t>
      </w:r>
      <w:r w:rsidR="00244F43">
        <w:t>(</w:t>
      </w:r>
      <w:r w:rsidRPr="009274EF">
        <w:t>2023</w:t>
      </w:r>
      <w:r w:rsidR="00244F43">
        <w:t>)</w:t>
      </w:r>
      <w:r w:rsidRPr="009274EF">
        <w:t xml:space="preserve">. The 18-month efficacy of an Intensive LifeStyle Modification Program (ILSM) to reduce type 2 diabetes risk among rural women: a cluster randomized controlled trial. </w:t>
      </w:r>
      <w:r w:rsidRPr="009274EF">
        <w:rPr>
          <w:i/>
          <w:iCs/>
        </w:rPr>
        <w:t>Globalization and Health</w:t>
      </w:r>
      <w:r w:rsidRPr="009274EF">
        <w:t xml:space="preserve">, </w:t>
      </w:r>
      <w:r w:rsidRPr="009274EF">
        <w:rPr>
          <w:i/>
          <w:iCs/>
        </w:rPr>
        <w:t>19</w:t>
      </w:r>
      <w:r w:rsidRPr="009274EF">
        <w:t>(1), p.6.</w:t>
      </w:r>
    </w:p>
    <w:sectPr w:rsidR="009274EF">
      <w:headerReference w:type="even" r:id="rId25"/>
      <w:headerReference w:type="default" r:id="rId26"/>
      <w:footerReference w:type="even" r:id="rId27"/>
      <w:footerReference w:type="default" r:id="rId28"/>
      <w:headerReference w:type="first" r:id="rId29"/>
      <w:footerReference w:type="firs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C2EE64" w14:textId="77777777" w:rsidR="008B1767" w:rsidRDefault="008B1767">
      <w:pPr>
        <w:spacing w:after="0" w:line="240" w:lineRule="auto"/>
      </w:pPr>
      <w:r>
        <w:separator/>
      </w:r>
    </w:p>
  </w:endnote>
  <w:endnote w:type="continuationSeparator" w:id="0">
    <w:p w14:paraId="0D4D5DA2" w14:textId="77777777" w:rsidR="008B1767" w:rsidRDefault="008B17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634DC" w14:textId="77777777" w:rsidR="00540FF6" w:rsidRDefault="00540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A205B" w14:textId="77777777" w:rsidR="00540FF6" w:rsidRDefault="00540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430A06" w14:textId="77777777" w:rsidR="00540FF6" w:rsidRDefault="0054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F8B5F3" w14:textId="77777777" w:rsidR="008B1767" w:rsidRDefault="008B1767">
      <w:pPr>
        <w:spacing w:after="0" w:line="240" w:lineRule="auto"/>
      </w:pPr>
      <w:r>
        <w:separator/>
      </w:r>
    </w:p>
  </w:footnote>
  <w:footnote w:type="continuationSeparator" w:id="0">
    <w:p w14:paraId="50D0155C" w14:textId="77777777" w:rsidR="008B1767" w:rsidRDefault="008B17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8DDB8" w14:textId="77777777" w:rsidR="00540FF6" w:rsidRDefault="00540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4A3AFE00" w14:textId="2FC86290" w:rsidR="00540FF6" w:rsidRDefault="0019170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B6753B" w14:textId="77777777" w:rsidR="00A87576" w:rsidRDefault="00A87576"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D13B0" w14:textId="77777777" w:rsidR="00540FF6" w:rsidRDefault="0054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0368E"/>
    <w:multiLevelType w:val="multilevel"/>
    <w:tmpl w:val="4C34F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A11F25"/>
    <w:multiLevelType w:val="hybridMultilevel"/>
    <w:tmpl w:val="25F0AD82"/>
    <w:lvl w:ilvl="0" w:tplc="89C4B74E">
      <w:start w:val="1"/>
      <w:numFmt w:val="bullet"/>
      <w:lvlText w:val=""/>
      <w:lvlJc w:val="left"/>
      <w:pPr>
        <w:ind w:left="720" w:hanging="360"/>
      </w:pPr>
      <w:rPr>
        <w:rFonts w:ascii="Symbol" w:hAnsi="Symbol" w:hint="default"/>
      </w:rPr>
    </w:lvl>
    <w:lvl w:ilvl="1" w:tplc="E0CEE7F4" w:tentative="1">
      <w:start w:val="1"/>
      <w:numFmt w:val="bullet"/>
      <w:lvlText w:val="o"/>
      <w:lvlJc w:val="left"/>
      <w:pPr>
        <w:ind w:left="1440" w:hanging="360"/>
      </w:pPr>
      <w:rPr>
        <w:rFonts w:ascii="Courier New" w:hAnsi="Courier New" w:cs="Courier New" w:hint="default"/>
      </w:rPr>
    </w:lvl>
    <w:lvl w:ilvl="2" w:tplc="37E807F2" w:tentative="1">
      <w:start w:val="1"/>
      <w:numFmt w:val="bullet"/>
      <w:lvlText w:val=""/>
      <w:lvlJc w:val="left"/>
      <w:pPr>
        <w:ind w:left="2160" w:hanging="360"/>
      </w:pPr>
      <w:rPr>
        <w:rFonts w:ascii="Wingdings" w:hAnsi="Wingdings" w:hint="default"/>
      </w:rPr>
    </w:lvl>
    <w:lvl w:ilvl="3" w:tplc="4C34DA18" w:tentative="1">
      <w:start w:val="1"/>
      <w:numFmt w:val="bullet"/>
      <w:lvlText w:val=""/>
      <w:lvlJc w:val="left"/>
      <w:pPr>
        <w:ind w:left="2880" w:hanging="360"/>
      </w:pPr>
      <w:rPr>
        <w:rFonts w:ascii="Symbol" w:hAnsi="Symbol" w:hint="default"/>
      </w:rPr>
    </w:lvl>
    <w:lvl w:ilvl="4" w:tplc="67EC3AFE" w:tentative="1">
      <w:start w:val="1"/>
      <w:numFmt w:val="bullet"/>
      <w:lvlText w:val="o"/>
      <w:lvlJc w:val="left"/>
      <w:pPr>
        <w:ind w:left="3600" w:hanging="360"/>
      </w:pPr>
      <w:rPr>
        <w:rFonts w:ascii="Courier New" w:hAnsi="Courier New" w:cs="Courier New" w:hint="default"/>
      </w:rPr>
    </w:lvl>
    <w:lvl w:ilvl="5" w:tplc="78FA7BCE" w:tentative="1">
      <w:start w:val="1"/>
      <w:numFmt w:val="bullet"/>
      <w:lvlText w:val=""/>
      <w:lvlJc w:val="left"/>
      <w:pPr>
        <w:ind w:left="4320" w:hanging="360"/>
      </w:pPr>
      <w:rPr>
        <w:rFonts w:ascii="Wingdings" w:hAnsi="Wingdings" w:hint="default"/>
      </w:rPr>
    </w:lvl>
    <w:lvl w:ilvl="6" w:tplc="313C3D46" w:tentative="1">
      <w:start w:val="1"/>
      <w:numFmt w:val="bullet"/>
      <w:lvlText w:val=""/>
      <w:lvlJc w:val="left"/>
      <w:pPr>
        <w:ind w:left="5040" w:hanging="360"/>
      </w:pPr>
      <w:rPr>
        <w:rFonts w:ascii="Symbol" w:hAnsi="Symbol" w:hint="default"/>
      </w:rPr>
    </w:lvl>
    <w:lvl w:ilvl="7" w:tplc="25CED08E" w:tentative="1">
      <w:start w:val="1"/>
      <w:numFmt w:val="bullet"/>
      <w:lvlText w:val="o"/>
      <w:lvlJc w:val="left"/>
      <w:pPr>
        <w:ind w:left="5760" w:hanging="360"/>
      </w:pPr>
      <w:rPr>
        <w:rFonts w:ascii="Courier New" w:hAnsi="Courier New" w:cs="Courier New" w:hint="default"/>
      </w:rPr>
    </w:lvl>
    <w:lvl w:ilvl="8" w:tplc="56800202" w:tentative="1">
      <w:start w:val="1"/>
      <w:numFmt w:val="bullet"/>
      <w:lvlText w:val=""/>
      <w:lvlJc w:val="left"/>
      <w:pPr>
        <w:ind w:left="6480" w:hanging="360"/>
      </w:pPr>
      <w:rPr>
        <w:rFonts w:ascii="Wingdings" w:hAnsi="Wingdings" w:hint="default"/>
      </w:rPr>
    </w:lvl>
  </w:abstractNum>
  <w:abstractNum w:abstractNumId="2" w15:restartNumberingAfterBreak="0">
    <w:nsid w:val="16586BF2"/>
    <w:multiLevelType w:val="hybridMultilevel"/>
    <w:tmpl w:val="E5C8BE4E"/>
    <w:lvl w:ilvl="0" w:tplc="EB2EE9F8">
      <w:start w:val="1"/>
      <w:numFmt w:val="bullet"/>
      <w:lvlText w:val=""/>
      <w:lvlJc w:val="left"/>
      <w:pPr>
        <w:ind w:left="720" w:hanging="360"/>
      </w:pPr>
      <w:rPr>
        <w:rFonts w:ascii="Symbol" w:hAnsi="Symbol" w:hint="default"/>
      </w:rPr>
    </w:lvl>
    <w:lvl w:ilvl="1" w:tplc="71B00A54" w:tentative="1">
      <w:start w:val="1"/>
      <w:numFmt w:val="bullet"/>
      <w:lvlText w:val="o"/>
      <w:lvlJc w:val="left"/>
      <w:pPr>
        <w:ind w:left="1440" w:hanging="360"/>
      </w:pPr>
      <w:rPr>
        <w:rFonts w:ascii="Courier New" w:hAnsi="Courier New" w:cs="Courier New" w:hint="default"/>
      </w:rPr>
    </w:lvl>
    <w:lvl w:ilvl="2" w:tplc="9FEA4CD6" w:tentative="1">
      <w:start w:val="1"/>
      <w:numFmt w:val="bullet"/>
      <w:lvlText w:val=""/>
      <w:lvlJc w:val="left"/>
      <w:pPr>
        <w:ind w:left="2160" w:hanging="360"/>
      </w:pPr>
      <w:rPr>
        <w:rFonts w:ascii="Wingdings" w:hAnsi="Wingdings" w:hint="default"/>
      </w:rPr>
    </w:lvl>
    <w:lvl w:ilvl="3" w:tplc="06DA3D46" w:tentative="1">
      <w:start w:val="1"/>
      <w:numFmt w:val="bullet"/>
      <w:lvlText w:val=""/>
      <w:lvlJc w:val="left"/>
      <w:pPr>
        <w:ind w:left="2880" w:hanging="360"/>
      </w:pPr>
      <w:rPr>
        <w:rFonts w:ascii="Symbol" w:hAnsi="Symbol" w:hint="default"/>
      </w:rPr>
    </w:lvl>
    <w:lvl w:ilvl="4" w:tplc="0450CC68" w:tentative="1">
      <w:start w:val="1"/>
      <w:numFmt w:val="bullet"/>
      <w:lvlText w:val="o"/>
      <w:lvlJc w:val="left"/>
      <w:pPr>
        <w:ind w:left="3600" w:hanging="360"/>
      </w:pPr>
      <w:rPr>
        <w:rFonts w:ascii="Courier New" w:hAnsi="Courier New" w:cs="Courier New" w:hint="default"/>
      </w:rPr>
    </w:lvl>
    <w:lvl w:ilvl="5" w:tplc="2B8A980A" w:tentative="1">
      <w:start w:val="1"/>
      <w:numFmt w:val="bullet"/>
      <w:lvlText w:val=""/>
      <w:lvlJc w:val="left"/>
      <w:pPr>
        <w:ind w:left="4320" w:hanging="360"/>
      </w:pPr>
      <w:rPr>
        <w:rFonts w:ascii="Wingdings" w:hAnsi="Wingdings" w:hint="default"/>
      </w:rPr>
    </w:lvl>
    <w:lvl w:ilvl="6" w:tplc="2686364C" w:tentative="1">
      <w:start w:val="1"/>
      <w:numFmt w:val="bullet"/>
      <w:lvlText w:val=""/>
      <w:lvlJc w:val="left"/>
      <w:pPr>
        <w:ind w:left="5040" w:hanging="360"/>
      </w:pPr>
      <w:rPr>
        <w:rFonts w:ascii="Symbol" w:hAnsi="Symbol" w:hint="default"/>
      </w:rPr>
    </w:lvl>
    <w:lvl w:ilvl="7" w:tplc="92EA944C" w:tentative="1">
      <w:start w:val="1"/>
      <w:numFmt w:val="bullet"/>
      <w:lvlText w:val="o"/>
      <w:lvlJc w:val="left"/>
      <w:pPr>
        <w:ind w:left="5760" w:hanging="360"/>
      </w:pPr>
      <w:rPr>
        <w:rFonts w:ascii="Courier New" w:hAnsi="Courier New" w:cs="Courier New" w:hint="default"/>
      </w:rPr>
    </w:lvl>
    <w:lvl w:ilvl="8" w:tplc="B0B80A54" w:tentative="1">
      <w:start w:val="1"/>
      <w:numFmt w:val="bullet"/>
      <w:lvlText w:val=""/>
      <w:lvlJc w:val="left"/>
      <w:pPr>
        <w:ind w:left="6480" w:hanging="360"/>
      </w:pPr>
      <w:rPr>
        <w:rFonts w:ascii="Wingdings" w:hAnsi="Wingdings" w:hint="default"/>
      </w:rPr>
    </w:lvl>
  </w:abstractNum>
  <w:abstractNum w:abstractNumId="3" w15:restartNumberingAfterBreak="0">
    <w:nsid w:val="18720883"/>
    <w:multiLevelType w:val="multilevel"/>
    <w:tmpl w:val="99B4F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AE1BFB"/>
    <w:multiLevelType w:val="multilevel"/>
    <w:tmpl w:val="5A943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B33EBD"/>
    <w:multiLevelType w:val="multilevel"/>
    <w:tmpl w:val="46861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502965"/>
    <w:multiLevelType w:val="multilevel"/>
    <w:tmpl w:val="8CA65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B55201"/>
    <w:multiLevelType w:val="multilevel"/>
    <w:tmpl w:val="7756A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1D2F5A"/>
    <w:multiLevelType w:val="multilevel"/>
    <w:tmpl w:val="81A2B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7011AB"/>
    <w:multiLevelType w:val="multilevel"/>
    <w:tmpl w:val="E4460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0750BD"/>
    <w:multiLevelType w:val="multilevel"/>
    <w:tmpl w:val="52B4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804719"/>
    <w:multiLevelType w:val="multilevel"/>
    <w:tmpl w:val="AA309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E76945"/>
    <w:multiLevelType w:val="multilevel"/>
    <w:tmpl w:val="A7D87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135681"/>
    <w:multiLevelType w:val="multilevel"/>
    <w:tmpl w:val="CF2C5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5E3901"/>
    <w:multiLevelType w:val="multilevel"/>
    <w:tmpl w:val="5BAEA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652FE0"/>
    <w:multiLevelType w:val="multilevel"/>
    <w:tmpl w:val="9DCAF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C32F8B"/>
    <w:multiLevelType w:val="multilevel"/>
    <w:tmpl w:val="40F0B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671407"/>
    <w:multiLevelType w:val="hybridMultilevel"/>
    <w:tmpl w:val="274E4772"/>
    <w:lvl w:ilvl="0" w:tplc="5AB8AC9E">
      <w:start w:val="1"/>
      <w:numFmt w:val="decimal"/>
      <w:lvlText w:val="%1."/>
      <w:lvlJc w:val="left"/>
      <w:pPr>
        <w:ind w:left="720" w:hanging="360"/>
      </w:pPr>
    </w:lvl>
    <w:lvl w:ilvl="1" w:tplc="B90A5B88" w:tentative="1">
      <w:start w:val="1"/>
      <w:numFmt w:val="lowerLetter"/>
      <w:lvlText w:val="%2."/>
      <w:lvlJc w:val="left"/>
      <w:pPr>
        <w:ind w:left="1440" w:hanging="360"/>
      </w:pPr>
    </w:lvl>
    <w:lvl w:ilvl="2" w:tplc="E542D3B0" w:tentative="1">
      <w:start w:val="1"/>
      <w:numFmt w:val="lowerRoman"/>
      <w:lvlText w:val="%3."/>
      <w:lvlJc w:val="right"/>
      <w:pPr>
        <w:ind w:left="2160" w:hanging="180"/>
      </w:pPr>
    </w:lvl>
    <w:lvl w:ilvl="3" w:tplc="ADD44CB2" w:tentative="1">
      <w:start w:val="1"/>
      <w:numFmt w:val="decimal"/>
      <w:lvlText w:val="%4."/>
      <w:lvlJc w:val="left"/>
      <w:pPr>
        <w:ind w:left="2880" w:hanging="360"/>
      </w:pPr>
    </w:lvl>
    <w:lvl w:ilvl="4" w:tplc="A1BE875C" w:tentative="1">
      <w:start w:val="1"/>
      <w:numFmt w:val="lowerLetter"/>
      <w:lvlText w:val="%5."/>
      <w:lvlJc w:val="left"/>
      <w:pPr>
        <w:ind w:left="3600" w:hanging="360"/>
      </w:pPr>
    </w:lvl>
    <w:lvl w:ilvl="5" w:tplc="4650FEB6" w:tentative="1">
      <w:start w:val="1"/>
      <w:numFmt w:val="lowerRoman"/>
      <w:lvlText w:val="%6."/>
      <w:lvlJc w:val="right"/>
      <w:pPr>
        <w:ind w:left="4320" w:hanging="180"/>
      </w:pPr>
    </w:lvl>
    <w:lvl w:ilvl="6" w:tplc="45E24858" w:tentative="1">
      <w:start w:val="1"/>
      <w:numFmt w:val="decimal"/>
      <w:lvlText w:val="%7."/>
      <w:lvlJc w:val="left"/>
      <w:pPr>
        <w:ind w:left="5040" w:hanging="360"/>
      </w:pPr>
    </w:lvl>
    <w:lvl w:ilvl="7" w:tplc="BDE6CA7C" w:tentative="1">
      <w:start w:val="1"/>
      <w:numFmt w:val="lowerLetter"/>
      <w:lvlText w:val="%8."/>
      <w:lvlJc w:val="left"/>
      <w:pPr>
        <w:ind w:left="5760" w:hanging="360"/>
      </w:pPr>
    </w:lvl>
    <w:lvl w:ilvl="8" w:tplc="A7088830" w:tentative="1">
      <w:start w:val="1"/>
      <w:numFmt w:val="lowerRoman"/>
      <w:lvlText w:val="%9."/>
      <w:lvlJc w:val="right"/>
      <w:pPr>
        <w:ind w:left="6480" w:hanging="180"/>
      </w:pPr>
    </w:lvl>
  </w:abstractNum>
  <w:abstractNum w:abstractNumId="18" w15:restartNumberingAfterBreak="0">
    <w:nsid w:val="614844AD"/>
    <w:multiLevelType w:val="multilevel"/>
    <w:tmpl w:val="A7EA6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CB0F48"/>
    <w:multiLevelType w:val="multilevel"/>
    <w:tmpl w:val="C7522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F304E73"/>
    <w:multiLevelType w:val="multilevel"/>
    <w:tmpl w:val="BA0AA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9882615">
    <w:abstractNumId w:val="1"/>
  </w:num>
  <w:num w:numId="2" w16cid:durableId="51855311">
    <w:abstractNumId w:val="2"/>
  </w:num>
  <w:num w:numId="3" w16cid:durableId="1417439291">
    <w:abstractNumId w:val="17"/>
  </w:num>
  <w:num w:numId="4" w16cid:durableId="671103304">
    <w:abstractNumId w:val="9"/>
  </w:num>
  <w:num w:numId="5" w16cid:durableId="1154758574">
    <w:abstractNumId w:val="8"/>
  </w:num>
  <w:num w:numId="6" w16cid:durableId="1268195696">
    <w:abstractNumId w:val="7"/>
  </w:num>
  <w:num w:numId="7" w16cid:durableId="837159492">
    <w:abstractNumId w:val="18"/>
  </w:num>
  <w:num w:numId="8" w16cid:durableId="603726295">
    <w:abstractNumId w:val="0"/>
  </w:num>
  <w:num w:numId="9" w16cid:durableId="976688747">
    <w:abstractNumId w:val="16"/>
  </w:num>
  <w:num w:numId="10" w16cid:durableId="439885292">
    <w:abstractNumId w:val="6"/>
  </w:num>
  <w:num w:numId="11" w16cid:durableId="1259824933">
    <w:abstractNumId w:val="12"/>
  </w:num>
  <w:num w:numId="12" w16cid:durableId="509493279">
    <w:abstractNumId w:val="20"/>
  </w:num>
  <w:num w:numId="13" w16cid:durableId="514925931">
    <w:abstractNumId w:val="13"/>
  </w:num>
  <w:num w:numId="14" w16cid:durableId="1223833850">
    <w:abstractNumId w:val="14"/>
  </w:num>
  <w:num w:numId="15" w16cid:durableId="738331428">
    <w:abstractNumId w:val="11"/>
  </w:num>
  <w:num w:numId="16" w16cid:durableId="1739010733">
    <w:abstractNumId w:val="15"/>
  </w:num>
  <w:num w:numId="17" w16cid:durableId="1603952569">
    <w:abstractNumId w:val="5"/>
  </w:num>
  <w:num w:numId="18" w16cid:durableId="1307667597">
    <w:abstractNumId w:val="3"/>
  </w:num>
  <w:num w:numId="19" w16cid:durableId="443623151">
    <w:abstractNumId w:val="19"/>
  </w:num>
  <w:num w:numId="20" w16cid:durableId="227426740">
    <w:abstractNumId w:val="4"/>
  </w:num>
  <w:num w:numId="21" w16cid:durableId="169923310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23DB"/>
    <w:rsid w:val="00015D66"/>
    <w:rsid w:val="00017183"/>
    <w:rsid w:val="00020034"/>
    <w:rsid w:val="00022609"/>
    <w:rsid w:val="000226A4"/>
    <w:rsid w:val="0002295E"/>
    <w:rsid w:val="00023B30"/>
    <w:rsid w:val="00034E85"/>
    <w:rsid w:val="000403DC"/>
    <w:rsid w:val="00040DA7"/>
    <w:rsid w:val="000425CC"/>
    <w:rsid w:val="00043794"/>
    <w:rsid w:val="00046159"/>
    <w:rsid w:val="00051ABC"/>
    <w:rsid w:val="000528D5"/>
    <w:rsid w:val="00054451"/>
    <w:rsid w:val="000617D8"/>
    <w:rsid w:val="00065853"/>
    <w:rsid w:val="0006684D"/>
    <w:rsid w:val="00071CEB"/>
    <w:rsid w:val="00072452"/>
    <w:rsid w:val="00081079"/>
    <w:rsid w:val="0008149D"/>
    <w:rsid w:val="0008767D"/>
    <w:rsid w:val="00093C6D"/>
    <w:rsid w:val="0009563A"/>
    <w:rsid w:val="0009636A"/>
    <w:rsid w:val="00097049"/>
    <w:rsid w:val="000A27F8"/>
    <w:rsid w:val="000A31C2"/>
    <w:rsid w:val="000B2B02"/>
    <w:rsid w:val="000D07D6"/>
    <w:rsid w:val="000D56EF"/>
    <w:rsid w:val="000D7325"/>
    <w:rsid w:val="000E4057"/>
    <w:rsid w:val="000E760F"/>
    <w:rsid w:val="000F0C31"/>
    <w:rsid w:val="000F170B"/>
    <w:rsid w:val="00102444"/>
    <w:rsid w:val="00104C71"/>
    <w:rsid w:val="00107498"/>
    <w:rsid w:val="00111C24"/>
    <w:rsid w:val="001228A0"/>
    <w:rsid w:val="0012477E"/>
    <w:rsid w:val="00124993"/>
    <w:rsid w:val="001250DF"/>
    <w:rsid w:val="001253C9"/>
    <w:rsid w:val="00133D4E"/>
    <w:rsid w:val="00136C10"/>
    <w:rsid w:val="00141421"/>
    <w:rsid w:val="00144F69"/>
    <w:rsid w:val="00145914"/>
    <w:rsid w:val="00145C7E"/>
    <w:rsid w:val="00146621"/>
    <w:rsid w:val="00147038"/>
    <w:rsid w:val="0015357E"/>
    <w:rsid w:val="00154F56"/>
    <w:rsid w:val="00155A4E"/>
    <w:rsid w:val="001574FE"/>
    <w:rsid w:val="0016002C"/>
    <w:rsid w:val="00160724"/>
    <w:rsid w:val="00164469"/>
    <w:rsid w:val="00165BB2"/>
    <w:rsid w:val="00165E4F"/>
    <w:rsid w:val="001732CE"/>
    <w:rsid w:val="00176620"/>
    <w:rsid w:val="001817CB"/>
    <w:rsid w:val="0018235D"/>
    <w:rsid w:val="0018545A"/>
    <w:rsid w:val="001863CD"/>
    <w:rsid w:val="00186A1D"/>
    <w:rsid w:val="0019170E"/>
    <w:rsid w:val="00191971"/>
    <w:rsid w:val="00192B0D"/>
    <w:rsid w:val="00196069"/>
    <w:rsid w:val="001A23FA"/>
    <w:rsid w:val="001A3032"/>
    <w:rsid w:val="001B0942"/>
    <w:rsid w:val="001C159B"/>
    <w:rsid w:val="001C6363"/>
    <w:rsid w:val="001D640B"/>
    <w:rsid w:val="001D7C27"/>
    <w:rsid w:val="001E30ED"/>
    <w:rsid w:val="001E3EC9"/>
    <w:rsid w:val="001E5D53"/>
    <w:rsid w:val="001F1F02"/>
    <w:rsid w:val="001F31A4"/>
    <w:rsid w:val="001F47B9"/>
    <w:rsid w:val="00203492"/>
    <w:rsid w:val="002056A3"/>
    <w:rsid w:val="00205FBC"/>
    <w:rsid w:val="002063B8"/>
    <w:rsid w:val="002156BC"/>
    <w:rsid w:val="00215EEF"/>
    <w:rsid w:val="0022050C"/>
    <w:rsid w:val="00221A18"/>
    <w:rsid w:val="002247E8"/>
    <w:rsid w:val="00224D10"/>
    <w:rsid w:val="00231542"/>
    <w:rsid w:val="00240B13"/>
    <w:rsid w:val="002411C3"/>
    <w:rsid w:val="00244F43"/>
    <w:rsid w:val="00245C66"/>
    <w:rsid w:val="00250BAF"/>
    <w:rsid w:val="00252656"/>
    <w:rsid w:val="00254773"/>
    <w:rsid w:val="00256E5C"/>
    <w:rsid w:val="00257C58"/>
    <w:rsid w:val="00263E5C"/>
    <w:rsid w:val="00271AD6"/>
    <w:rsid w:val="00287DEB"/>
    <w:rsid w:val="002B4EEB"/>
    <w:rsid w:val="002C0513"/>
    <w:rsid w:val="002C46DC"/>
    <w:rsid w:val="002C54B8"/>
    <w:rsid w:val="002C6579"/>
    <w:rsid w:val="002D00AE"/>
    <w:rsid w:val="002D45C2"/>
    <w:rsid w:val="002D4E24"/>
    <w:rsid w:val="002E0260"/>
    <w:rsid w:val="002E596C"/>
    <w:rsid w:val="002F31F6"/>
    <w:rsid w:val="002F6B76"/>
    <w:rsid w:val="00300115"/>
    <w:rsid w:val="00301805"/>
    <w:rsid w:val="00307E34"/>
    <w:rsid w:val="00313F09"/>
    <w:rsid w:val="003168CC"/>
    <w:rsid w:val="0032087C"/>
    <w:rsid w:val="00320A47"/>
    <w:rsid w:val="00323B43"/>
    <w:rsid w:val="00323D0D"/>
    <w:rsid w:val="00324C80"/>
    <w:rsid w:val="003347A8"/>
    <w:rsid w:val="00337EF5"/>
    <w:rsid w:val="0034672D"/>
    <w:rsid w:val="00350909"/>
    <w:rsid w:val="00353433"/>
    <w:rsid w:val="00353FB4"/>
    <w:rsid w:val="003545DA"/>
    <w:rsid w:val="00354E9B"/>
    <w:rsid w:val="00355BA1"/>
    <w:rsid w:val="00355F7A"/>
    <w:rsid w:val="003605CD"/>
    <w:rsid w:val="0038134C"/>
    <w:rsid w:val="00381AFE"/>
    <w:rsid w:val="00382800"/>
    <w:rsid w:val="003852C9"/>
    <w:rsid w:val="00392165"/>
    <w:rsid w:val="003966CB"/>
    <w:rsid w:val="00397A12"/>
    <w:rsid w:val="003A0A67"/>
    <w:rsid w:val="003A7F77"/>
    <w:rsid w:val="003B0DE3"/>
    <w:rsid w:val="003B2E32"/>
    <w:rsid w:val="003B6166"/>
    <w:rsid w:val="003B6220"/>
    <w:rsid w:val="003B6D98"/>
    <w:rsid w:val="003C1583"/>
    <w:rsid w:val="003C7D5F"/>
    <w:rsid w:val="003D3815"/>
    <w:rsid w:val="003D5478"/>
    <w:rsid w:val="003D7695"/>
    <w:rsid w:val="003F0F03"/>
    <w:rsid w:val="003F1E6B"/>
    <w:rsid w:val="003F2565"/>
    <w:rsid w:val="003F3465"/>
    <w:rsid w:val="003F40AE"/>
    <w:rsid w:val="003F77F2"/>
    <w:rsid w:val="00407E47"/>
    <w:rsid w:val="00413CCD"/>
    <w:rsid w:val="0043463E"/>
    <w:rsid w:val="00440D8C"/>
    <w:rsid w:val="0044720C"/>
    <w:rsid w:val="00454287"/>
    <w:rsid w:val="00454DC2"/>
    <w:rsid w:val="00463A29"/>
    <w:rsid w:val="0046442B"/>
    <w:rsid w:val="00466B61"/>
    <w:rsid w:val="00466B91"/>
    <w:rsid w:val="004768E0"/>
    <w:rsid w:val="00486402"/>
    <w:rsid w:val="004866D2"/>
    <w:rsid w:val="00490247"/>
    <w:rsid w:val="004959F3"/>
    <w:rsid w:val="0049655F"/>
    <w:rsid w:val="00496A07"/>
    <w:rsid w:val="004A02E4"/>
    <w:rsid w:val="004A2374"/>
    <w:rsid w:val="004A351B"/>
    <w:rsid w:val="004A6E3B"/>
    <w:rsid w:val="004B0727"/>
    <w:rsid w:val="004B3195"/>
    <w:rsid w:val="004B3F2F"/>
    <w:rsid w:val="004C085F"/>
    <w:rsid w:val="004C0D17"/>
    <w:rsid w:val="004C30B1"/>
    <w:rsid w:val="004C5212"/>
    <w:rsid w:val="004D1F75"/>
    <w:rsid w:val="004D2C18"/>
    <w:rsid w:val="004D483D"/>
    <w:rsid w:val="004E0249"/>
    <w:rsid w:val="004E4662"/>
    <w:rsid w:val="004E5D14"/>
    <w:rsid w:val="004F687E"/>
    <w:rsid w:val="004F75D6"/>
    <w:rsid w:val="004F775E"/>
    <w:rsid w:val="00500432"/>
    <w:rsid w:val="00510046"/>
    <w:rsid w:val="00510147"/>
    <w:rsid w:val="00516858"/>
    <w:rsid w:val="00516D86"/>
    <w:rsid w:val="00521BE3"/>
    <w:rsid w:val="005236E9"/>
    <w:rsid w:val="00524BE8"/>
    <w:rsid w:val="005279BA"/>
    <w:rsid w:val="005321CF"/>
    <w:rsid w:val="00532E4D"/>
    <w:rsid w:val="005371B9"/>
    <w:rsid w:val="0054023C"/>
    <w:rsid w:val="00540FF6"/>
    <w:rsid w:val="00544F31"/>
    <w:rsid w:val="00545184"/>
    <w:rsid w:val="005475A8"/>
    <w:rsid w:val="005529BF"/>
    <w:rsid w:val="00553744"/>
    <w:rsid w:val="0055532E"/>
    <w:rsid w:val="00562292"/>
    <w:rsid w:val="005667DF"/>
    <w:rsid w:val="00573598"/>
    <w:rsid w:val="00575423"/>
    <w:rsid w:val="005770A9"/>
    <w:rsid w:val="00587148"/>
    <w:rsid w:val="005A0FCA"/>
    <w:rsid w:val="005A3102"/>
    <w:rsid w:val="005A4D8A"/>
    <w:rsid w:val="005A6D79"/>
    <w:rsid w:val="005B2A8C"/>
    <w:rsid w:val="005B5DD9"/>
    <w:rsid w:val="005B61EA"/>
    <w:rsid w:val="005C0391"/>
    <w:rsid w:val="005C0DC9"/>
    <w:rsid w:val="005C1D9B"/>
    <w:rsid w:val="005C32D3"/>
    <w:rsid w:val="005C3734"/>
    <w:rsid w:val="005C453B"/>
    <w:rsid w:val="005C5EA6"/>
    <w:rsid w:val="005E1A68"/>
    <w:rsid w:val="005E1D3B"/>
    <w:rsid w:val="005F1FBF"/>
    <w:rsid w:val="005F3E84"/>
    <w:rsid w:val="00600ED4"/>
    <w:rsid w:val="0060528A"/>
    <w:rsid w:val="006057CB"/>
    <w:rsid w:val="00626198"/>
    <w:rsid w:val="00631A31"/>
    <w:rsid w:val="00632FB5"/>
    <w:rsid w:val="00634C29"/>
    <w:rsid w:val="00636839"/>
    <w:rsid w:val="00636957"/>
    <w:rsid w:val="0063765E"/>
    <w:rsid w:val="006468C0"/>
    <w:rsid w:val="00646C91"/>
    <w:rsid w:val="006475B8"/>
    <w:rsid w:val="00654543"/>
    <w:rsid w:val="0065581E"/>
    <w:rsid w:val="0065585F"/>
    <w:rsid w:val="006560B4"/>
    <w:rsid w:val="00656C78"/>
    <w:rsid w:val="006570DF"/>
    <w:rsid w:val="00663B90"/>
    <w:rsid w:val="0066407F"/>
    <w:rsid w:val="00664FBC"/>
    <w:rsid w:val="00672D19"/>
    <w:rsid w:val="006764BA"/>
    <w:rsid w:val="00690A51"/>
    <w:rsid w:val="00693C5D"/>
    <w:rsid w:val="006A3C3F"/>
    <w:rsid w:val="006A7E2F"/>
    <w:rsid w:val="006B7737"/>
    <w:rsid w:val="006D00A2"/>
    <w:rsid w:val="006D7BF8"/>
    <w:rsid w:val="006E4C6E"/>
    <w:rsid w:val="006E6917"/>
    <w:rsid w:val="006E7D34"/>
    <w:rsid w:val="006F3950"/>
    <w:rsid w:val="006F5378"/>
    <w:rsid w:val="006F6396"/>
    <w:rsid w:val="006F789B"/>
    <w:rsid w:val="00700D52"/>
    <w:rsid w:val="00701DB1"/>
    <w:rsid w:val="007029F9"/>
    <w:rsid w:val="00705208"/>
    <w:rsid w:val="00713C96"/>
    <w:rsid w:val="0072067D"/>
    <w:rsid w:val="007231DF"/>
    <w:rsid w:val="00724DB6"/>
    <w:rsid w:val="00730027"/>
    <w:rsid w:val="00742BA4"/>
    <w:rsid w:val="00743D82"/>
    <w:rsid w:val="00745758"/>
    <w:rsid w:val="007521CF"/>
    <w:rsid w:val="007533CD"/>
    <w:rsid w:val="00754B07"/>
    <w:rsid w:val="00757879"/>
    <w:rsid w:val="00763AE1"/>
    <w:rsid w:val="00767CEB"/>
    <w:rsid w:val="0077253B"/>
    <w:rsid w:val="00784FFB"/>
    <w:rsid w:val="007853E5"/>
    <w:rsid w:val="00791442"/>
    <w:rsid w:val="007942B7"/>
    <w:rsid w:val="007978B8"/>
    <w:rsid w:val="007A04E2"/>
    <w:rsid w:val="007A3A32"/>
    <w:rsid w:val="007B21A0"/>
    <w:rsid w:val="007B3780"/>
    <w:rsid w:val="007C1D00"/>
    <w:rsid w:val="007C5313"/>
    <w:rsid w:val="007D037C"/>
    <w:rsid w:val="007D3CE1"/>
    <w:rsid w:val="007E07BB"/>
    <w:rsid w:val="007E69F0"/>
    <w:rsid w:val="007E71FE"/>
    <w:rsid w:val="007E74A7"/>
    <w:rsid w:val="007F1867"/>
    <w:rsid w:val="007F27DA"/>
    <w:rsid w:val="007F4B12"/>
    <w:rsid w:val="007F54F4"/>
    <w:rsid w:val="008006A9"/>
    <w:rsid w:val="008023DD"/>
    <w:rsid w:val="00804852"/>
    <w:rsid w:val="00813303"/>
    <w:rsid w:val="008165C3"/>
    <w:rsid w:val="00823052"/>
    <w:rsid w:val="0082615A"/>
    <w:rsid w:val="00837A13"/>
    <w:rsid w:val="00840E87"/>
    <w:rsid w:val="00843E71"/>
    <w:rsid w:val="00844B0A"/>
    <w:rsid w:val="00844EFD"/>
    <w:rsid w:val="00850BEB"/>
    <w:rsid w:val="00851DFA"/>
    <w:rsid w:val="00853131"/>
    <w:rsid w:val="00854255"/>
    <w:rsid w:val="0085432D"/>
    <w:rsid w:val="00854362"/>
    <w:rsid w:val="008678FD"/>
    <w:rsid w:val="00871664"/>
    <w:rsid w:val="008718F9"/>
    <w:rsid w:val="008742AF"/>
    <w:rsid w:val="0088274F"/>
    <w:rsid w:val="00886217"/>
    <w:rsid w:val="008A005F"/>
    <w:rsid w:val="008B1767"/>
    <w:rsid w:val="008B3E1A"/>
    <w:rsid w:val="008B4997"/>
    <w:rsid w:val="008B68F4"/>
    <w:rsid w:val="008C65E3"/>
    <w:rsid w:val="008D1A6A"/>
    <w:rsid w:val="008D1F39"/>
    <w:rsid w:val="008D244C"/>
    <w:rsid w:val="008D27B5"/>
    <w:rsid w:val="008D404B"/>
    <w:rsid w:val="008E4AAA"/>
    <w:rsid w:val="008E78C9"/>
    <w:rsid w:val="00903D1D"/>
    <w:rsid w:val="00904718"/>
    <w:rsid w:val="0091156C"/>
    <w:rsid w:val="0091483F"/>
    <w:rsid w:val="0091545A"/>
    <w:rsid w:val="0091704F"/>
    <w:rsid w:val="00921602"/>
    <w:rsid w:val="0092632C"/>
    <w:rsid w:val="009274EF"/>
    <w:rsid w:val="00927825"/>
    <w:rsid w:val="00930600"/>
    <w:rsid w:val="00931C9C"/>
    <w:rsid w:val="00933038"/>
    <w:rsid w:val="00935075"/>
    <w:rsid w:val="009355B7"/>
    <w:rsid w:val="00937C07"/>
    <w:rsid w:val="00937C4B"/>
    <w:rsid w:val="00940F15"/>
    <w:rsid w:val="0094411A"/>
    <w:rsid w:val="009454DE"/>
    <w:rsid w:val="00945EBD"/>
    <w:rsid w:val="00947D84"/>
    <w:rsid w:val="00954450"/>
    <w:rsid w:val="00955871"/>
    <w:rsid w:val="00956ACB"/>
    <w:rsid w:val="0096373B"/>
    <w:rsid w:val="00963E12"/>
    <w:rsid w:val="00964725"/>
    <w:rsid w:val="009721F0"/>
    <w:rsid w:val="00980CFF"/>
    <w:rsid w:val="00983947"/>
    <w:rsid w:val="00984786"/>
    <w:rsid w:val="0098744D"/>
    <w:rsid w:val="00991F89"/>
    <w:rsid w:val="0099341C"/>
    <w:rsid w:val="00993DE1"/>
    <w:rsid w:val="009953C5"/>
    <w:rsid w:val="009A4EAD"/>
    <w:rsid w:val="009A5814"/>
    <w:rsid w:val="009A5B17"/>
    <w:rsid w:val="009A5F09"/>
    <w:rsid w:val="009B260F"/>
    <w:rsid w:val="009B3F72"/>
    <w:rsid w:val="009B6724"/>
    <w:rsid w:val="009C60F1"/>
    <w:rsid w:val="009E06A4"/>
    <w:rsid w:val="009E6775"/>
    <w:rsid w:val="009F1BDF"/>
    <w:rsid w:val="009F6BDF"/>
    <w:rsid w:val="00A02925"/>
    <w:rsid w:val="00A030FF"/>
    <w:rsid w:val="00A05A71"/>
    <w:rsid w:val="00A0768B"/>
    <w:rsid w:val="00A105DC"/>
    <w:rsid w:val="00A10F50"/>
    <w:rsid w:val="00A11914"/>
    <w:rsid w:val="00A14537"/>
    <w:rsid w:val="00A20C24"/>
    <w:rsid w:val="00A2102E"/>
    <w:rsid w:val="00A27008"/>
    <w:rsid w:val="00A30444"/>
    <w:rsid w:val="00A32AC7"/>
    <w:rsid w:val="00A32C5B"/>
    <w:rsid w:val="00A37168"/>
    <w:rsid w:val="00A478DB"/>
    <w:rsid w:val="00A53E0A"/>
    <w:rsid w:val="00A56384"/>
    <w:rsid w:val="00A610B5"/>
    <w:rsid w:val="00A634C7"/>
    <w:rsid w:val="00A67CE4"/>
    <w:rsid w:val="00A723F4"/>
    <w:rsid w:val="00A731A5"/>
    <w:rsid w:val="00A73DA3"/>
    <w:rsid w:val="00A74605"/>
    <w:rsid w:val="00A85BE5"/>
    <w:rsid w:val="00A87576"/>
    <w:rsid w:val="00A87622"/>
    <w:rsid w:val="00A94AE9"/>
    <w:rsid w:val="00A95611"/>
    <w:rsid w:val="00AA03D2"/>
    <w:rsid w:val="00AA790F"/>
    <w:rsid w:val="00AB290A"/>
    <w:rsid w:val="00AC4453"/>
    <w:rsid w:val="00AC6741"/>
    <w:rsid w:val="00AD13D2"/>
    <w:rsid w:val="00AD3547"/>
    <w:rsid w:val="00AD4684"/>
    <w:rsid w:val="00AD5677"/>
    <w:rsid w:val="00AD5B39"/>
    <w:rsid w:val="00AD7DF2"/>
    <w:rsid w:val="00AF01F3"/>
    <w:rsid w:val="00AF1065"/>
    <w:rsid w:val="00B04C54"/>
    <w:rsid w:val="00B12550"/>
    <w:rsid w:val="00B14973"/>
    <w:rsid w:val="00B15E1E"/>
    <w:rsid w:val="00B214DE"/>
    <w:rsid w:val="00B33242"/>
    <w:rsid w:val="00B34F31"/>
    <w:rsid w:val="00B3638D"/>
    <w:rsid w:val="00B42591"/>
    <w:rsid w:val="00B44CA7"/>
    <w:rsid w:val="00B453B4"/>
    <w:rsid w:val="00B45FD2"/>
    <w:rsid w:val="00B46594"/>
    <w:rsid w:val="00B47BEB"/>
    <w:rsid w:val="00B514C2"/>
    <w:rsid w:val="00B51E91"/>
    <w:rsid w:val="00B55170"/>
    <w:rsid w:val="00B6629A"/>
    <w:rsid w:val="00B829DE"/>
    <w:rsid w:val="00B83D0E"/>
    <w:rsid w:val="00BA439D"/>
    <w:rsid w:val="00BA4BE3"/>
    <w:rsid w:val="00BA5040"/>
    <w:rsid w:val="00BB7F9F"/>
    <w:rsid w:val="00BC089E"/>
    <w:rsid w:val="00BC10B2"/>
    <w:rsid w:val="00BC158C"/>
    <w:rsid w:val="00BC1638"/>
    <w:rsid w:val="00BC4FE0"/>
    <w:rsid w:val="00BC6237"/>
    <w:rsid w:val="00BD0AEA"/>
    <w:rsid w:val="00BD1B59"/>
    <w:rsid w:val="00BD4FAF"/>
    <w:rsid w:val="00BE082B"/>
    <w:rsid w:val="00BE1926"/>
    <w:rsid w:val="00BE2007"/>
    <w:rsid w:val="00BE2228"/>
    <w:rsid w:val="00BE6A02"/>
    <w:rsid w:val="00BE7A4F"/>
    <w:rsid w:val="00BF5836"/>
    <w:rsid w:val="00C019D3"/>
    <w:rsid w:val="00C07098"/>
    <w:rsid w:val="00C12B83"/>
    <w:rsid w:val="00C14261"/>
    <w:rsid w:val="00C23CE5"/>
    <w:rsid w:val="00C310B9"/>
    <w:rsid w:val="00C33318"/>
    <w:rsid w:val="00C34675"/>
    <w:rsid w:val="00C404C2"/>
    <w:rsid w:val="00C40DF5"/>
    <w:rsid w:val="00C4185F"/>
    <w:rsid w:val="00C41C58"/>
    <w:rsid w:val="00C44918"/>
    <w:rsid w:val="00C46782"/>
    <w:rsid w:val="00C52BD1"/>
    <w:rsid w:val="00C562ED"/>
    <w:rsid w:val="00C579D7"/>
    <w:rsid w:val="00C60C92"/>
    <w:rsid w:val="00C67B6F"/>
    <w:rsid w:val="00C703A7"/>
    <w:rsid w:val="00C71C6A"/>
    <w:rsid w:val="00C73636"/>
    <w:rsid w:val="00C73A07"/>
    <w:rsid w:val="00C76260"/>
    <w:rsid w:val="00C809C2"/>
    <w:rsid w:val="00C85437"/>
    <w:rsid w:val="00C858B7"/>
    <w:rsid w:val="00C85FEA"/>
    <w:rsid w:val="00C87318"/>
    <w:rsid w:val="00C87BFA"/>
    <w:rsid w:val="00C91D4B"/>
    <w:rsid w:val="00C9395F"/>
    <w:rsid w:val="00C93A96"/>
    <w:rsid w:val="00CA06FF"/>
    <w:rsid w:val="00CA0925"/>
    <w:rsid w:val="00CA4D05"/>
    <w:rsid w:val="00CA4D39"/>
    <w:rsid w:val="00CB4A55"/>
    <w:rsid w:val="00CB695A"/>
    <w:rsid w:val="00CC6206"/>
    <w:rsid w:val="00CD6562"/>
    <w:rsid w:val="00CE149A"/>
    <w:rsid w:val="00CE20FE"/>
    <w:rsid w:val="00CE2D5A"/>
    <w:rsid w:val="00CE481D"/>
    <w:rsid w:val="00CE4921"/>
    <w:rsid w:val="00CF31F5"/>
    <w:rsid w:val="00CF40DB"/>
    <w:rsid w:val="00D01314"/>
    <w:rsid w:val="00D039E8"/>
    <w:rsid w:val="00D03CE7"/>
    <w:rsid w:val="00D112B6"/>
    <w:rsid w:val="00D1478B"/>
    <w:rsid w:val="00D150D6"/>
    <w:rsid w:val="00D165ED"/>
    <w:rsid w:val="00D26820"/>
    <w:rsid w:val="00D33EED"/>
    <w:rsid w:val="00D35459"/>
    <w:rsid w:val="00D410CC"/>
    <w:rsid w:val="00D51288"/>
    <w:rsid w:val="00D6735F"/>
    <w:rsid w:val="00D755F1"/>
    <w:rsid w:val="00D82749"/>
    <w:rsid w:val="00D82995"/>
    <w:rsid w:val="00D91889"/>
    <w:rsid w:val="00D96470"/>
    <w:rsid w:val="00D96E07"/>
    <w:rsid w:val="00DA3B4E"/>
    <w:rsid w:val="00DB57D6"/>
    <w:rsid w:val="00DB6CEB"/>
    <w:rsid w:val="00DC0189"/>
    <w:rsid w:val="00DC2DA3"/>
    <w:rsid w:val="00DC402C"/>
    <w:rsid w:val="00DC59AD"/>
    <w:rsid w:val="00DD5E48"/>
    <w:rsid w:val="00DD6690"/>
    <w:rsid w:val="00DE1E73"/>
    <w:rsid w:val="00DE4C94"/>
    <w:rsid w:val="00E004D4"/>
    <w:rsid w:val="00E04C67"/>
    <w:rsid w:val="00E05EEB"/>
    <w:rsid w:val="00E13095"/>
    <w:rsid w:val="00E13BAC"/>
    <w:rsid w:val="00E232D6"/>
    <w:rsid w:val="00E25628"/>
    <w:rsid w:val="00E30880"/>
    <w:rsid w:val="00E3327A"/>
    <w:rsid w:val="00E47C7D"/>
    <w:rsid w:val="00E56D9A"/>
    <w:rsid w:val="00E571AA"/>
    <w:rsid w:val="00E7014C"/>
    <w:rsid w:val="00E772DF"/>
    <w:rsid w:val="00E85349"/>
    <w:rsid w:val="00E94843"/>
    <w:rsid w:val="00E96A29"/>
    <w:rsid w:val="00E9717F"/>
    <w:rsid w:val="00EA3F06"/>
    <w:rsid w:val="00EA71C4"/>
    <w:rsid w:val="00EB191A"/>
    <w:rsid w:val="00EB5E21"/>
    <w:rsid w:val="00EB6749"/>
    <w:rsid w:val="00EC3563"/>
    <w:rsid w:val="00ED3E46"/>
    <w:rsid w:val="00ED63A9"/>
    <w:rsid w:val="00ED6B65"/>
    <w:rsid w:val="00EE04D0"/>
    <w:rsid w:val="00EE4598"/>
    <w:rsid w:val="00EE6E6E"/>
    <w:rsid w:val="00EF3047"/>
    <w:rsid w:val="00EF6D1E"/>
    <w:rsid w:val="00EF7B52"/>
    <w:rsid w:val="00F01B92"/>
    <w:rsid w:val="00F04923"/>
    <w:rsid w:val="00F1212A"/>
    <w:rsid w:val="00F150A3"/>
    <w:rsid w:val="00F171CB"/>
    <w:rsid w:val="00F23BDB"/>
    <w:rsid w:val="00F307B6"/>
    <w:rsid w:val="00F30EB8"/>
    <w:rsid w:val="00F334C9"/>
    <w:rsid w:val="00F3521B"/>
    <w:rsid w:val="00F3599C"/>
    <w:rsid w:val="00F401F8"/>
    <w:rsid w:val="00F42366"/>
    <w:rsid w:val="00F42650"/>
    <w:rsid w:val="00F427ED"/>
    <w:rsid w:val="00F47358"/>
    <w:rsid w:val="00F47FFB"/>
    <w:rsid w:val="00F52180"/>
    <w:rsid w:val="00F63913"/>
    <w:rsid w:val="00F64305"/>
    <w:rsid w:val="00F66F3F"/>
    <w:rsid w:val="00F720F0"/>
    <w:rsid w:val="00F7328B"/>
    <w:rsid w:val="00F76964"/>
    <w:rsid w:val="00F80982"/>
    <w:rsid w:val="00F81251"/>
    <w:rsid w:val="00F859EC"/>
    <w:rsid w:val="00F9239F"/>
    <w:rsid w:val="00F934E1"/>
    <w:rsid w:val="00F9787E"/>
    <w:rsid w:val="00FA40E9"/>
    <w:rsid w:val="00FA523D"/>
    <w:rsid w:val="00FA53FF"/>
    <w:rsid w:val="00FA5E82"/>
    <w:rsid w:val="00FB737E"/>
    <w:rsid w:val="00FC0CEE"/>
    <w:rsid w:val="00FC32D4"/>
    <w:rsid w:val="00FC46A5"/>
    <w:rsid w:val="00FC501E"/>
    <w:rsid w:val="00FC7199"/>
    <w:rsid w:val="00FC76E7"/>
    <w:rsid w:val="00FD19B3"/>
    <w:rsid w:val="00FE5044"/>
    <w:rsid w:val="00FE7B0E"/>
    <w:rsid w:val="00FF2BCC"/>
    <w:rsid w:val="00FF49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BC158C"/>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BC158C"/>
    <w:pPr>
      <w:spacing w:after="100"/>
    </w:pPr>
  </w:style>
  <w:style w:type="paragraph" w:styleId="TOC2">
    <w:name w:val="toc 2"/>
    <w:basedOn w:val="Normal"/>
    <w:next w:val="Normal"/>
    <w:autoRedefine/>
    <w:uiPriority w:val="39"/>
    <w:unhideWhenUsed/>
    <w:rsid w:val="00BC158C"/>
    <w:pPr>
      <w:spacing w:after="100"/>
      <w:ind w:left="240"/>
    </w:pPr>
  </w:style>
  <w:style w:type="paragraph" w:styleId="TOC3">
    <w:name w:val="toc 3"/>
    <w:basedOn w:val="Normal"/>
    <w:next w:val="Normal"/>
    <w:autoRedefine/>
    <w:uiPriority w:val="39"/>
    <w:unhideWhenUsed/>
    <w:rsid w:val="00BC158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pga/2010/15/contents" TargetMode="External"/><Relationship Id="rId18" Type="http://schemas.openxmlformats.org/officeDocument/2006/relationships/hyperlink" Target="https://www.ons.gov.uk/peoplepopulationandcommunity/healthandsocialcare/disability/articles/outcomesfordisabledpeopleintheuk/2021"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yperlink" Target="https://digital.nhs.uk/services/national-child-measurement-programme/" TargetMode="External"/><Relationship Id="rId7" Type="http://schemas.openxmlformats.org/officeDocument/2006/relationships/settings" Target="settings.xml"/><Relationship Id="rId12" Type="http://schemas.openxmlformats.org/officeDocument/2006/relationships/hyperlink" Target="https://www.gov.uk/government/statistics/the-employment-of-disabled-people-2025/the-employment-of-disabled-people-2025" TargetMode="External"/><Relationship Id="rId17" Type="http://schemas.openxmlformats.org/officeDocument/2006/relationships/hyperlink" Target="https://www.england.nhs.uk/accessible-information-standard/"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igital.nhs.uk/data-and-information/publications/statistical/health-and-care-of-people-with-learning-disabilities/experimental-statistics-2023-to-2024" TargetMode="External"/><Relationship Id="rId20" Type="http://schemas.openxmlformats.org/officeDocument/2006/relationships/hyperlink" Target="https://www.who.int/health-topics/social-determinants-of-health"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qc.org.uk/publications/major-report/state-care/2022-2023/inequalities" TargetMode="External"/><Relationship Id="rId24" Type="http://schemas.openxmlformats.org/officeDocument/2006/relationships/hyperlink" Target="https://www.who.int/news-room/fact-sheets/detail/obesity-and-overweight"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jrf.org.uk/uk-poverty-statistics/disability" TargetMode="External"/><Relationship Id="rId23" Type="http://schemas.openxmlformats.org/officeDocument/2006/relationships/hyperlink" Target="https://www.towerhamlets.gov.uk/Documents/Public-Health/TowerHamletsPublicHealthReport2022.pdf" TargetMode="External"/><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publications.parliament.uk/pa/cm5804/cmselect/cmcomloc/63/report.html"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overnment/statistics/the-employment-of-disabled-people-2023/employment-of-disabled-people-2023" TargetMode="External"/><Relationship Id="rId22" Type="http://schemas.openxmlformats.org/officeDocument/2006/relationships/hyperlink" Target="https://www.england.nhs.uk/rightcare/wp-content/uploads/sites/40/2016/08/act-for-diabetes-31-01.pdf"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0" ma:contentTypeDescription="Create a new document." ma:contentTypeScope="" ma:versionID="2b03f78e7b68149a2ba41569ac967026">
  <xsd:schema xmlns:xsd="http://www.w3.org/2001/XMLSchema" xmlns:xs="http://www.w3.org/2001/XMLSchema" xmlns:p="http://schemas.microsoft.com/office/2006/metadata/properties" xmlns:ns3="ad7316b1-23f1-480c-8fa6-cbf037f4db9c" targetNamespace="http://schemas.microsoft.com/office/2006/metadata/properties" ma:root="true" ma:fieldsID="2b28b906acf21f2c39cac988a11cf035"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1389A62F-1177-4949-8505-7850C96AC5ED}">
  <ds:schemaRefs>
    <ds:schemaRef ds:uri="http://schemas.openxmlformats.org/officeDocument/2006/bibliography"/>
  </ds:schemaRefs>
</ds:datastoreItem>
</file>

<file path=customXml/itemProps2.xml><?xml version="1.0" encoding="utf-8"?>
<ds:datastoreItem xmlns:ds="http://schemas.openxmlformats.org/officeDocument/2006/customXml" ds:itemID="{B0695ADD-E98B-4D0D-BB31-3A405F3A22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09F9D73-6CAF-4D62-94B8-A359C7E86D21}">
  <ds:schemaRefs>
    <ds:schemaRef ds:uri="http://schemas.microsoft.com/sharepoint/v3/contenttype/forms"/>
  </ds:schemaRefs>
</ds:datastoreItem>
</file>

<file path=customXml/itemProps4.xml><?xml version="1.0" encoding="utf-8"?>
<ds:datastoreItem xmlns:ds="http://schemas.openxmlformats.org/officeDocument/2006/customXml" ds:itemID="{6230C551-3E4C-4582-A20C-6AD05EB7E115}">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4681</Words>
  <Characters>26684</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Samina Kousar (2244901)</cp:lastModifiedBy>
  <cp:revision>4</cp:revision>
  <dcterms:created xsi:type="dcterms:W3CDTF">2026-10-21T09:19:00Z</dcterms:created>
  <dcterms:modified xsi:type="dcterms:W3CDTF">2026-10-21T09:20:00Z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