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5D5C2CBA" w:rsidR="000264A1" w:rsidRDefault="000264A1" w:rsidP="000264A1">
      <w:r>
        <w:fldChar w:fldCharType="begin"/>
      </w:r>
      <w:r w:rsidR="00685AD5">
        <w:instrText xml:space="preserve"> INCLUDEPICTURE "https://d.docs.live.net/Users/biancasanfilippo/Library/Group%20Containers/UBF8T346G9.ms/WebArchiveCopyPasteTempFiles/com.microsoft.Word/UWTSD-Logo.jpg"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cs="Arial"/>
          <w:color w:val="1D2125"/>
          <w:sz w:val="36"/>
          <w:szCs w:val="36"/>
        </w:rPr>
      </w:pPr>
    </w:p>
    <w:p w14:paraId="63EE22A3" w14:textId="77777777" w:rsidR="000264A1" w:rsidRPr="000264A1" w:rsidRDefault="000264A1" w:rsidP="000264A1">
      <w:pPr>
        <w:jc w:val="center"/>
        <w:rPr>
          <w:rStyle w:val="Strong"/>
          <w:rFonts w:cs="Arial"/>
          <w:color w:val="1D2125"/>
          <w:sz w:val="36"/>
          <w:szCs w:val="36"/>
        </w:rPr>
      </w:pPr>
    </w:p>
    <w:p w14:paraId="195602A5" w14:textId="1473614C" w:rsidR="00722ABC" w:rsidRPr="000264A1" w:rsidRDefault="000264A1" w:rsidP="000264A1">
      <w:pPr>
        <w:jc w:val="center"/>
        <w:rPr>
          <w:rStyle w:val="Strong"/>
          <w:rFonts w:cs="Arial"/>
          <w:color w:val="1D2125"/>
          <w:sz w:val="36"/>
          <w:szCs w:val="36"/>
        </w:rPr>
      </w:pPr>
      <w:r w:rsidRPr="000264A1">
        <w:rPr>
          <w:rStyle w:val="Strong"/>
          <w:rFonts w:cs="Arial"/>
          <w:color w:val="1D2125"/>
          <w:sz w:val="36"/>
          <w:szCs w:val="36"/>
        </w:rPr>
        <w:t>BMHP6029-Psychopathological Classifications and Provisions</w:t>
      </w:r>
    </w:p>
    <w:p w14:paraId="2A88E453" w14:textId="77777777" w:rsidR="000264A1" w:rsidRDefault="000264A1" w:rsidP="000264A1">
      <w:pPr>
        <w:jc w:val="center"/>
        <w:rPr>
          <w:rStyle w:val="Strong"/>
          <w:rFonts w:cs="Arial"/>
          <w:color w:val="1D2125"/>
          <w:sz w:val="36"/>
          <w:szCs w:val="36"/>
        </w:rPr>
      </w:pPr>
    </w:p>
    <w:p w14:paraId="34AAAB14" w14:textId="77777777" w:rsidR="000264A1" w:rsidRDefault="000264A1" w:rsidP="000264A1">
      <w:pPr>
        <w:jc w:val="center"/>
        <w:rPr>
          <w:rStyle w:val="Strong"/>
          <w:rFonts w:cs="Arial"/>
          <w:color w:val="1D2125"/>
          <w:sz w:val="36"/>
          <w:szCs w:val="36"/>
        </w:rPr>
      </w:pPr>
    </w:p>
    <w:p w14:paraId="723DF23E" w14:textId="77777777" w:rsidR="000264A1" w:rsidRPr="000264A1" w:rsidRDefault="000264A1" w:rsidP="000264A1">
      <w:pPr>
        <w:jc w:val="center"/>
        <w:rPr>
          <w:rStyle w:val="Strong"/>
          <w:rFonts w:cs="Arial"/>
          <w:color w:val="1D2125"/>
          <w:sz w:val="36"/>
          <w:szCs w:val="36"/>
        </w:rPr>
      </w:pPr>
    </w:p>
    <w:p w14:paraId="25159706" w14:textId="77777777" w:rsidR="000264A1" w:rsidRDefault="000264A1" w:rsidP="000264A1">
      <w:pPr>
        <w:rPr>
          <w:rStyle w:val="Strong"/>
          <w:rFonts w:cs="Arial"/>
          <w:b w:val="0"/>
          <w:bCs w:val="0"/>
          <w:color w:val="1D2125"/>
          <w:sz w:val="32"/>
          <w:szCs w:val="32"/>
        </w:rPr>
      </w:pPr>
      <w:r w:rsidRPr="000264A1">
        <w:rPr>
          <w:rFonts w:cs="Arial"/>
          <w:b/>
          <w:bCs/>
          <w:color w:val="000000"/>
          <w:sz w:val="32"/>
          <w:szCs w:val="32"/>
        </w:rPr>
        <w:t>Component 2: Written Assignment (Report)</w:t>
      </w:r>
      <w:r w:rsidRPr="000264A1">
        <w:rPr>
          <w:rStyle w:val="Strong"/>
          <w:rFonts w:cs="Arial"/>
          <w:b w:val="0"/>
          <w:bCs w:val="0"/>
          <w:color w:val="1D2125"/>
          <w:sz w:val="32"/>
          <w:szCs w:val="32"/>
        </w:rPr>
        <w:t xml:space="preserve"> </w:t>
      </w:r>
    </w:p>
    <w:p w14:paraId="3DB89340" w14:textId="29EA6A13" w:rsidR="000264A1" w:rsidRPr="000806C6" w:rsidRDefault="000264A1" w:rsidP="000264A1">
      <w:pPr>
        <w:rPr>
          <w:rStyle w:val="Strong"/>
          <w:rFonts w:cs="Arial"/>
          <w:color w:val="1D2125"/>
          <w:sz w:val="32"/>
          <w:szCs w:val="32"/>
        </w:rPr>
      </w:pPr>
      <w:r w:rsidRPr="000806C6">
        <w:rPr>
          <w:rStyle w:val="Strong"/>
          <w:rFonts w:cs="Arial"/>
          <w:color w:val="1D2125"/>
          <w:sz w:val="32"/>
          <w:szCs w:val="32"/>
        </w:rPr>
        <w:t>Student name</w:t>
      </w:r>
      <w:r w:rsidR="00CE5F5B" w:rsidRPr="000806C6">
        <w:rPr>
          <w:rStyle w:val="Strong"/>
          <w:rFonts w:cs="Arial"/>
          <w:color w:val="1D2125"/>
          <w:sz w:val="32"/>
          <w:szCs w:val="32"/>
        </w:rPr>
        <w:t>: Petra Stankova</w:t>
      </w:r>
    </w:p>
    <w:p w14:paraId="3F25C99D" w14:textId="28D16FCE" w:rsidR="000264A1" w:rsidRPr="000806C6" w:rsidRDefault="000264A1" w:rsidP="000264A1">
      <w:pPr>
        <w:rPr>
          <w:rStyle w:val="Strong"/>
          <w:rFonts w:cs="Arial"/>
          <w:color w:val="1D2125"/>
          <w:sz w:val="32"/>
          <w:szCs w:val="32"/>
        </w:rPr>
      </w:pPr>
      <w:r w:rsidRPr="000806C6">
        <w:rPr>
          <w:rStyle w:val="Strong"/>
          <w:rFonts w:cs="Arial"/>
          <w:color w:val="1D2125"/>
          <w:sz w:val="32"/>
          <w:szCs w:val="32"/>
        </w:rPr>
        <w:t>Student number</w:t>
      </w:r>
      <w:r w:rsidR="00CE5F5B" w:rsidRPr="000806C6">
        <w:rPr>
          <w:rStyle w:val="Strong"/>
          <w:rFonts w:cs="Arial"/>
          <w:color w:val="1D2125"/>
          <w:sz w:val="32"/>
          <w:szCs w:val="32"/>
        </w:rPr>
        <w:t>: 2216986</w:t>
      </w:r>
    </w:p>
    <w:p w14:paraId="08CE9EE8" w14:textId="77777777" w:rsidR="00CE5F5B" w:rsidRPr="000806C6" w:rsidRDefault="00CE5F5B" w:rsidP="000264A1">
      <w:pPr>
        <w:rPr>
          <w:rStyle w:val="Strong"/>
          <w:rFonts w:cs="Arial"/>
          <w:color w:val="1D2125"/>
          <w:sz w:val="32"/>
          <w:szCs w:val="32"/>
        </w:rPr>
      </w:pPr>
    </w:p>
    <w:p w14:paraId="5C0F42E0" w14:textId="77777777" w:rsidR="00CE5F5B" w:rsidRPr="000806C6" w:rsidRDefault="00CE5F5B" w:rsidP="000264A1">
      <w:pPr>
        <w:rPr>
          <w:rStyle w:val="Strong"/>
          <w:rFonts w:cs="Arial"/>
          <w:color w:val="1D2125"/>
          <w:sz w:val="32"/>
          <w:szCs w:val="32"/>
        </w:rPr>
      </w:pPr>
    </w:p>
    <w:p w14:paraId="7DD82387" w14:textId="77777777" w:rsidR="000264A1" w:rsidRPr="000806C6" w:rsidRDefault="000264A1" w:rsidP="000264A1">
      <w:pPr>
        <w:rPr>
          <w:rFonts w:cs="Arial"/>
          <w:sz w:val="36"/>
          <w:szCs w:val="36"/>
        </w:rPr>
      </w:pPr>
    </w:p>
    <w:p w14:paraId="563A7395" w14:textId="77777777" w:rsidR="000264A1" w:rsidRPr="000806C6" w:rsidRDefault="000264A1" w:rsidP="000264A1">
      <w:pPr>
        <w:rPr>
          <w:rFonts w:cs="Arial"/>
          <w:sz w:val="36"/>
          <w:szCs w:val="36"/>
        </w:rPr>
      </w:pPr>
    </w:p>
    <w:p w14:paraId="5805392B" w14:textId="77777777" w:rsidR="000264A1" w:rsidRPr="000806C6" w:rsidRDefault="000264A1" w:rsidP="000264A1">
      <w:pPr>
        <w:rPr>
          <w:rFonts w:cs="Arial"/>
          <w:sz w:val="36"/>
          <w:szCs w:val="36"/>
        </w:rPr>
      </w:pPr>
    </w:p>
    <w:p w14:paraId="4F5FBEC9" w14:textId="77777777" w:rsidR="000264A1" w:rsidRPr="000806C6" w:rsidRDefault="000264A1" w:rsidP="000264A1">
      <w:pPr>
        <w:rPr>
          <w:rFonts w:cs="Arial"/>
          <w:sz w:val="36"/>
          <w:szCs w:val="36"/>
        </w:rPr>
      </w:pPr>
    </w:p>
    <w:p w14:paraId="1DC432D4" w14:textId="77777777" w:rsidR="000264A1" w:rsidRPr="000806C6" w:rsidRDefault="000264A1" w:rsidP="000264A1">
      <w:pPr>
        <w:rPr>
          <w:rFonts w:cs="Arial"/>
          <w:sz w:val="36"/>
          <w:szCs w:val="36"/>
        </w:rPr>
      </w:pPr>
    </w:p>
    <w:p w14:paraId="6B65CDD9" w14:textId="77777777" w:rsidR="008A6D32" w:rsidRPr="000806C6" w:rsidRDefault="008A6D32" w:rsidP="000264A1">
      <w:pPr>
        <w:rPr>
          <w:rFonts w:cs="Arial"/>
          <w:sz w:val="36"/>
          <w:szCs w:val="36"/>
        </w:rPr>
      </w:pPr>
    </w:p>
    <w:p w14:paraId="432AEE04" w14:textId="1F267175" w:rsidR="000264A1" w:rsidRDefault="00CE5F5B" w:rsidP="000264A1">
      <w:pPr>
        <w:rPr>
          <w:rFonts w:ascii="Arial" w:hAnsi="Arial" w:cs="Arial"/>
          <w:b/>
          <w:bCs/>
          <w:sz w:val="36"/>
          <w:szCs w:val="36"/>
          <w:u w:val="single"/>
        </w:rPr>
      </w:pPr>
      <w:r w:rsidRPr="000806C6">
        <w:rPr>
          <w:rFonts w:cs="Arial"/>
          <w:sz w:val="36"/>
          <w:szCs w:val="36"/>
        </w:rPr>
        <w:t xml:space="preserve">                          </w:t>
      </w:r>
      <w:r w:rsidRPr="00F126C1">
        <w:rPr>
          <w:rFonts w:ascii="Arial" w:hAnsi="Arial" w:cs="Arial"/>
          <w:b/>
          <w:bCs/>
          <w:sz w:val="36"/>
          <w:szCs w:val="36"/>
          <w:u w:val="single"/>
        </w:rPr>
        <w:t>Anorexia Nervosa</w:t>
      </w:r>
    </w:p>
    <w:p w14:paraId="529A074F" w14:textId="77777777" w:rsidR="00F126C1" w:rsidRPr="00F126C1" w:rsidRDefault="00F126C1" w:rsidP="000264A1">
      <w:pPr>
        <w:rPr>
          <w:rFonts w:ascii="Arial" w:hAnsi="Arial" w:cs="Arial"/>
          <w:b/>
          <w:bCs/>
          <w:sz w:val="36"/>
          <w:szCs w:val="36"/>
          <w:u w:val="single"/>
        </w:rPr>
      </w:pPr>
    </w:p>
    <w:p w14:paraId="196E8122" w14:textId="7894E3D0" w:rsidR="00CE5F5B" w:rsidRPr="00851059" w:rsidRDefault="00CE5F5B" w:rsidP="00364E4A">
      <w:pPr>
        <w:rPr>
          <w:rFonts w:ascii="Arial" w:hAnsi="Arial" w:cs="Arial"/>
          <w:b/>
          <w:bCs/>
        </w:rPr>
      </w:pPr>
      <w:r w:rsidRPr="00851059">
        <w:rPr>
          <w:rFonts w:ascii="Arial" w:hAnsi="Arial" w:cs="Arial"/>
          <w:b/>
          <w:bCs/>
        </w:rPr>
        <w:t xml:space="preserve">Content: </w:t>
      </w:r>
    </w:p>
    <w:p w14:paraId="7FC1579A" w14:textId="40475E6C" w:rsidR="00CE5F5B" w:rsidRPr="00851059" w:rsidRDefault="00CE5F5B" w:rsidP="00364E4A">
      <w:pPr>
        <w:rPr>
          <w:rFonts w:ascii="Arial" w:hAnsi="Arial" w:cs="Arial"/>
          <w:b/>
          <w:bCs/>
        </w:rPr>
      </w:pPr>
      <w:r w:rsidRPr="00851059">
        <w:rPr>
          <w:rFonts w:ascii="Arial" w:hAnsi="Arial" w:cs="Arial"/>
          <w:b/>
          <w:bCs/>
        </w:rPr>
        <w:t>Classification and Diagnosis</w:t>
      </w:r>
    </w:p>
    <w:p w14:paraId="0DC58490" w14:textId="277F8436" w:rsidR="00CE5F5B" w:rsidRPr="00851059" w:rsidRDefault="00CE5F5B" w:rsidP="00364E4A">
      <w:pPr>
        <w:rPr>
          <w:rFonts w:ascii="Arial" w:hAnsi="Arial" w:cs="Arial"/>
          <w:b/>
          <w:bCs/>
        </w:rPr>
      </w:pPr>
      <w:r w:rsidRPr="00851059">
        <w:rPr>
          <w:rFonts w:ascii="Arial" w:hAnsi="Arial" w:cs="Arial"/>
          <w:b/>
          <w:bCs/>
        </w:rPr>
        <w:t xml:space="preserve">Treatment and </w:t>
      </w:r>
      <w:r w:rsidR="00364E4A" w:rsidRPr="00851059">
        <w:rPr>
          <w:rFonts w:ascii="Arial" w:hAnsi="Arial" w:cs="Arial"/>
          <w:b/>
          <w:bCs/>
        </w:rPr>
        <w:t>Rehabilitation</w:t>
      </w:r>
    </w:p>
    <w:p w14:paraId="38E9BC9D" w14:textId="4E592C2F" w:rsidR="00CE5F5B" w:rsidRPr="00851059" w:rsidRDefault="00CE5F5B" w:rsidP="00364E4A">
      <w:pPr>
        <w:rPr>
          <w:rFonts w:ascii="Arial" w:hAnsi="Arial" w:cs="Arial"/>
          <w:b/>
          <w:bCs/>
        </w:rPr>
      </w:pPr>
      <w:r w:rsidRPr="00851059">
        <w:rPr>
          <w:rFonts w:ascii="Arial" w:hAnsi="Arial" w:cs="Arial"/>
          <w:b/>
          <w:bCs/>
        </w:rPr>
        <w:t>Current Debates and Emerging Issues</w:t>
      </w:r>
    </w:p>
    <w:p w14:paraId="2C33034E" w14:textId="4D45ED85" w:rsidR="00364E4A" w:rsidRPr="00851059" w:rsidRDefault="00364E4A" w:rsidP="00364E4A">
      <w:pPr>
        <w:rPr>
          <w:rFonts w:ascii="Arial" w:hAnsi="Arial" w:cs="Arial"/>
          <w:b/>
          <w:bCs/>
        </w:rPr>
      </w:pPr>
      <w:r w:rsidRPr="00851059">
        <w:rPr>
          <w:rFonts w:ascii="Arial" w:hAnsi="Arial" w:cs="Arial"/>
          <w:b/>
          <w:bCs/>
        </w:rPr>
        <w:t>Recommendation</w:t>
      </w:r>
    </w:p>
    <w:p w14:paraId="41DDA0CD" w14:textId="088CF5F9" w:rsidR="00364E4A" w:rsidRPr="00851059" w:rsidRDefault="00364E4A" w:rsidP="00364E4A">
      <w:pPr>
        <w:rPr>
          <w:rFonts w:ascii="Arial" w:hAnsi="Arial" w:cs="Arial"/>
          <w:b/>
          <w:bCs/>
        </w:rPr>
      </w:pPr>
      <w:r w:rsidRPr="00851059">
        <w:rPr>
          <w:rFonts w:ascii="Arial" w:hAnsi="Arial" w:cs="Arial"/>
          <w:b/>
          <w:bCs/>
        </w:rPr>
        <w:t>Conclusion</w:t>
      </w:r>
    </w:p>
    <w:p w14:paraId="3B5DC120" w14:textId="77777777" w:rsidR="00364E4A" w:rsidRDefault="00364E4A" w:rsidP="00364E4A">
      <w:pPr>
        <w:rPr>
          <w:rFonts w:cs="Arial"/>
          <w:b/>
          <w:bCs/>
        </w:rPr>
      </w:pPr>
    </w:p>
    <w:p w14:paraId="61AC2613" w14:textId="77777777" w:rsidR="00364E4A" w:rsidRPr="00364E4A" w:rsidRDefault="00364E4A" w:rsidP="00364E4A">
      <w:pPr>
        <w:rPr>
          <w:rFonts w:cs="Arial"/>
          <w:b/>
          <w:bCs/>
        </w:rPr>
      </w:pPr>
    </w:p>
    <w:p w14:paraId="682477D0" w14:textId="77777777" w:rsidR="00364E4A" w:rsidRPr="005A03C0" w:rsidRDefault="008A6D32" w:rsidP="00364E4A">
      <w:pPr>
        <w:pStyle w:val="NormalWeb"/>
        <w:rPr>
          <w:rFonts w:ascii="Arial" w:hAnsi="Arial" w:cs="Arial"/>
          <w:b/>
          <w:bCs/>
          <w:color w:val="000000"/>
        </w:rPr>
      </w:pPr>
      <w:r w:rsidRPr="005A03C0">
        <w:rPr>
          <w:rFonts w:ascii="Arial" w:hAnsi="Arial" w:cs="Arial"/>
          <w:b/>
          <w:bCs/>
          <w:color w:val="000000"/>
        </w:rPr>
        <w:t>Classification and Diagnosis:</w:t>
      </w:r>
    </w:p>
    <w:p w14:paraId="5EE2B90E" w14:textId="243D8BAF" w:rsidR="00364E4A" w:rsidRPr="005A03C0" w:rsidRDefault="008A6D32" w:rsidP="00364E4A">
      <w:pPr>
        <w:pStyle w:val="NormalWeb"/>
        <w:rPr>
          <w:rFonts w:ascii="Arial" w:eastAsiaTheme="majorEastAsia" w:hAnsi="Arial" w:cs="Arial"/>
          <w:color w:val="000000"/>
        </w:rPr>
      </w:pPr>
      <w:r w:rsidRPr="005A03C0">
        <w:rPr>
          <w:rStyle w:val="apple-converted-space"/>
          <w:rFonts w:ascii="Arial" w:eastAsiaTheme="majorEastAsia" w:hAnsi="Arial" w:cs="Arial"/>
          <w:color w:val="000000"/>
        </w:rPr>
        <w:t> </w:t>
      </w:r>
      <w:r w:rsidR="00364E4A" w:rsidRPr="005A03C0">
        <w:rPr>
          <w:rFonts w:ascii="Arial" w:eastAsiaTheme="majorEastAsia" w:hAnsi="Arial" w:cs="Arial"/>
          <w:color w:val="000000"/>
        </w:rPr>
        <w:t>In ICD-11, anorexia nervosa is classified as a feeding and eating disorder and is given the code 6B80. It is placed in the section on mental, behavioural and neurodevelopmental disorders, which shows that it is understood as a mental health disorder that affects eating behaviour, thoughts about weight and shape, and physical health (World Health Organization, 2019). ICD-11 also includes two sub-types: the restricting type, where the person mainly limits food intake, and the binge-purging type, where the person also engages in behaviours such as vomiting or misuse of laxatives (Claudino et al., 2019).</w:t>
      </w:r>
    </w:p>
    <w:p w14:paraId="613E9A34" w14:textId="321FE6F0" w:rsidR="00364E4A" w:rsidRPr="005A03C0" w:rsidRDefault="00364E4A" w:rsidP="00364E4A">
      <w:pPr>
        <w:pStyle w:val="NormalWeb"/>
        <w:rPr>
          <w:rFonts w:ascii="Arial" w:eastAsiaTheme="majorEastAsia" w:hAnsi="Arial" w:cs="Arial"/>
          <w:color w:val="000000"/>
        </w:rPr>
      </w:pPr>
      <w:r w:rsidRPr="005A03C0">
        <w:rPr>
          <w:rFonts w:ascii="Arial" w:eastAsiaTheme="majorEastAsia" w:hAnsi="Arial" w:cs="Arial"/>
          <w:color w:val="000000"/>
        </w:rPr>
        <w:t xml:space="preserve">The ICD-11 diagnostic criteria focus on several key areas. </w:t>
      </w:r>
      <w:r w:rsidR="00543AD7" w:rsidRPr="005A03C0">
        <w:rPr>
          <w:rFonts w:ascii="Arial" w:eastAsiaTheme="majorEastAsia" w:hAnsi="Arial" w:cs="Arial"/>
          <w:color w:val="000000"/>
        </w:rPr>
        <w:t xml:space="preserve">                                                              </w:t>
      </w:r>
      <w:r w:rsidRPr="005A03C0">
        <w:rPr>
          <w:rFonts w:ascii="Arial" w:eastAsiaTheme="majorEastAsia" w:hAnsi="Arial" w:cs="Arial"/>
          <w:color w:val="000000"/>
        </w:rPr>
        <w:t xml:space="preserve">First, the person must have a significantly low body weight for their age, sex and stage of development. ICD-11 does not require a specific number such as a </w:t>
      </w:r>
      <w:r w:rsidR="00543AD7" w:rsidRPr="005A03C0">
        <w:rPr>
          <w:rFonts w:ascii="Arial" w:eastAsiaTheme="majorEastAsia" w:hAnsi="Arial" w:cs="Arial"/>
          <w:color w:val="000000"/>
        </w:rPr>
        <w:t>BMI but</w:t>
      </w:r>
      <w:r w:rsidRPr="005A03C0">
        <w:rPr>
          <w:rFonts w:ascii="Arial" w:eastAsiaTheme="majorEastAsia" w:hAnsi="Arial" w:cs="Arial"/>
          <w:color w:val="000000"/>
        </w:rPr>
        <w:t xml:space="preserve"> instead asks clinicians to use their judgement based on the person’s growth pattern, health risks and clinical presentation (World Health Organization, 2019)</w:t>
      </w:r>
      <w:r w:rsidR="00543AD7" w:rsidRPr="005A03C0">
        <w:rPr>
          <w:rFonts w:ascii="Arial" w:eastAsiaTheme="majorEastAsia" w:hAnsi="Arial" w:cs="Arial"/>
          <w:color w:val="000000"/>
        </w:rPr>
        <w:t xml:space="preserve">.                                                          </w:t>
      </w:r>
      <w:r w:rsidRPr="005A03C0">
        <w:rPr>
          <w:rFonts w:ascii="Arial" w:eastAsiaTheme="majorEastAsia" w:hAnsi="Arial" w:cs="Arial"/>
          <w:color w:val="000000"/>
        </w:rPr>
        <w:t>Second, there must be ongoing behaviours that prevent weight gain. These behaviours can include severe dieting, avoiding food, exercising excessively, or using methods to get rid of food such as vomiting. These actions continue even when the person is already underweight.</w:t>
      </w:r>
      <w:r w:rsidR="00543AD7" w:rsidRPr="005A03C0">
        <w:rPr>
          <w:rFonts w:ascii="Arial" w:eastAsiaTheme="majorEastAsia" w:hAnsi="Arial" w:cs="Arial"/>
          <w:color w:val="000000"/>
        </w:rPr>
        <w:t xml:space="preserve">                                                                                                                                                      </w:t>
      </w:r>
      <w:r w:rsidRPr="005A03C0">
        <w:rPr>
          <w:rFonts w:ascii="Arial" w:eastAsiaTheme="majorEastAsia" w:hAnsi="Arial" w:cs="Arial"/>
          <w:color w:val="000000"/>
        </w:rPr>
        <w:t xml:space="preserve">Third, the person must show a strong fear of gaining weight or a distorted view of their body size or shape. This means they may see themselves as larger than they really </w:t>
      </w:r>
      <w:r w:rsidR="00543AD7" w:rsidRPr="005A03C0">
        <w:rPr>
          <w:rFonts w:ascii="Arial" w:eastAsiaTheme="majorEastAsia" w:hAnsi="Arial" w:cs="Arial"/>
          <w:color w:val="000000"/>
        </w:rPr>
        <w:t>are or</w:t>
      </w:r>
      <w:r w:rsidRPr="005A03C0">
        <w:rPr>
          <w:rFonts w:ascii="Arial" w:eastAsiaTheme="majorEastAsia" w:hAnsi="Arial" w:cs="Arial"/>
          <w:color w:val="000000"/>
        </w:rPr>
        <w:t xml:space="preserve"> may not recognise how seriously underweight they are. A key point in ICD-11 is that this disturbance in self-perception plays a major role in keeping the condition going (Claudino et al., 2019).</w:t>
      </w:r>
    </w:p>
    <w:p w14:paraId="39AEAA83" w14:textId="77777777" w:rsidR="00364E4A" w:rsidRPr="005A03C0" w:rsidRDefault="00364E4A" w:rsidP="00364E4A">
      <w:pPr>
        <w:pStyle w:val="NormalWeb"/>
        <w:rPr>
          <w:rFonts w:ascii="Arial" w:eastAsiaTheme="majorEastAsia" w:hAnsi="Arial" w:cs="Arial"/>
          <w:color w:val="000000"/>
        </w:rPr>
      </w:pPr>
      <w:r w:rsidRPr="005A03C0">
        <w:rPr>
          <w:rFonts w:ascii="Arial" w:eastAsiaTheme="majorEastAsia" w:hAnsi="Arial" w:cs="Arial"/>
          <w:color w:val="000000"/>
        </w:rPr>
        <w:t xml:space="preserve">Although anorexia nervosa often causes physical problems—such as low blood pressure, slow heart rate, or loss of menstrual periods—ICD-11 does not require these symptoms to </w:t>
      </w:r>
      <w:r w:rsidRPr="005A03C0">
        <w:rPr>
          <w:rFonts w:ascii="Arial" w:eastAsiaTheme="majorEastAsia" w:hAnsi="Arial" w:cs="Arial"/>
          <w:color w:val="000000"/>
        </w:rPr>
        <w:lastRenderedPageBreak/>
        <w:t>be present to make a diagnosis. This is to make sure that people who show the main psychological and behavioural signs are not excluded from receiving help (World Health Organization, 2019).</w:t>
      </w:r>
    </w:p>
    <w:p w14:paraId="7CD03376" w14:textId="77777777" w:rsidR="00364E4A" w:rsidRPr="005A03C0" w:rsidRDefault="00364E4A" w:rsidP="00364E4A">
      <w:pPr>
        <w:pStyle w:val="NormalWeb"/>
        <w:rPr>
          <w:rFonts w:ascii="Arial" w:eastAsiaTheme="majorEastAsia" w:hAnsi="Arial" w:cs="Arial"/>
          <w:color w:val="000000"/>
        </w:rPr>
      </w:pPr>
      <w:r w:rsidRPr="005A03C0">
        <w:rPr>
          <w:rFonts w:ascii="Arial" w:eastAsiaTheme="majorEastAsia" w:hAnsi="Arial" w:cs="Arial"/>
          <w:color w:val="000000"/>
        </w:rPr>
        <w:t>The diagnostic process usually involves several steps. A clinician will take a detailed history of eating habits, weight changes, thoughts about body image, and any compensatory behaviours. A physical examination and relevant medical tests help rule out other causes of weight loss and check for medical risks. Information from family members can be helpful, especially for children and teenagers. The clinician will also consider other possible diagnoses such as ARFID, depression-related appetite loss, or medical illnesses (</w:t>
      </w:r>
      <w:proofErr w:type="spellStart"/>
      <w:r w:rsidRPr="005A03C0">
        <w:rPr>
          <w:rFonts w:ascii="Arial" w:eastAsiaTheme="majorEastAsia" w:hAnsi="Arial" w:cs="Arial"/>
          <w:color w:val="000000"/>
        </w:rPr>
        <w:t>MRCPsych</w:t>
      </w:r>
      <w:proofErr w:type="spellEnd"/>
      <w:r w:rsidRPr="005A03C0">
        <w:rPr>
          <w:rFonts w:ascii="Arial" w:eastAsiaTheme="majorEastAsia" w:hAnsi="Arial" w:cs="Arial"/>
          <w:color w:val="000000"/>
        </w:rPr>
        <w:t>, 2022).</w:t>
      </w:r>
    </w:p>
    <w:p w14:paraId="094393A8" w14:textId="7CA01A71" w:rsidR="00364E4A" w:rsidRPr="005A03C0" w:rsidRDefault="00364E4A" w:rsidP="00364E4A">
      <w:pPr>
        <w:pStyle w:val="NormalWeb"/>
        <w:rPr>
          <w:rFonts w:ascii="Arial" w:eastAsiaTheme="majorEastAsia" w:hAnsi="Arial" w:cs="Arial"/>
          <w:color w:val="000000"/>
        </w:rPr>
      </w:pPr>
      <w:r w:rsidRPr="005A03C0">
        <w:rPr>
          <w:rFonts w:ascii="Arial" w:eastAsiaTheme="majorEastAsia" w:hAnsi="Arial" w:cs="Arial"/>
          <w:color w:val="000000"/>
        </w:rPr>
        <w:t>In terms of language, ICD-11 mainly uses the word “disorder” when referring to anorexia nervosa. This fits with its broader category of “feeding and eating disorders”. Sometimes ICD-11 uses the word “condition”, but “disorder” is the formal and consistent term used throughout the classification system (World Health Organization, 2019).</w:t>
      </w:r>
    </w:p>
    <w:p w14:paraId="07BB80D1" w14:textId="77777777" w:rsidR="00AA25A2" w:rsidRPr="005A03C0" w:rsidRDefault="00AA25A2" w:rsidP="00364E4A">
      <w:pPr>
        <w:pStyle w:val="NormalWeb"/>
        <w:rPr>
          <w:rFonts w:ascii="Arial" w:eastAsiaTheme="majorEastAsia" w:hAnsi="Arial" w:cs="Arial"/>
          <w:color w:val="000000"/>
        </w:rPr>
      </w:pPr>
    </w:p>
    <w:p w14:paraId="049BB53E" w14:textId="1DF1BBA7" w:rsidR="00AA30FD" w:rsidRPr="00AA30FD" w:rsidRDefault="00AA30FD" w:rsidP="00AA30FD">
      <w:pPr>
        <w:pStyle w:val="NormalWeb"/>
        <w:rPr>
          <w:rFonts w:ascii="Arial" w:eastAsiaTheme="majorEastAsia" w:hAnsi="Arial" w:cs="Arial"/>
          <w:b/>
          <w:bCs/>
          <w:color w:val="000000"/>
        </w:rPr>
      </w:pPr>
      <w:r w:rsidRPr="005A03C0">
        <w:rPr>
          <w:rFonts w:ascii="Arial" w:eastAsiaTheme="majorEastAsia" w:hAnsi="Arial" w:cs="Arial"/>
          <w:b/>
          <w:bCs/>
          <w:color w:val="000000"/>
        </w:rPr>
        <w:t>T</w:t>
      </w:r>
      <w:r w:rsidRPr="00AA30FD">
        <w:rPr>
          <w:rFonts w:ascii="Arial" w:eastAsiaTheme="majorEastAsia" w:hAnsi="Arial" w:cs="Arial"/>
          <w:b/>
          <w:bCs/>
          <w:color w:val="000000"/>
        </w:rPr>
        <w:t>reatment and Rehabilitation of Anorexia Nervosa</w:t>
      </w:r>
    </w:p>
    <w:p w14:paraId="54BFA7BD" w14:textId="270CFF0F" w:rsidR="00AA30FD" w:rsidRPr="00AA30FD" w:rsidRDefault="00AA30FD" w:rsidP="00AA30FD">
      <w:pPr>
        <w:pStyle w:val="NormalWeb"/>
        <w:rPr>
          <w:rFonts w:ascii="Arial" w:eastAsiaTheme="majorEastAsia" w:hAnsi="Arial" w:cs="Arial"/>
          <w:color w:val="000000"/>
        </w:rPr>
      </w:pPr>
      <w:r w:rsidRPr="00AA30FD">
        <w:rPr>
          <w:rFonts w:ascii="Arial" w:eastAsiaTheme="majorEastAsia" w:hAnsi="Arial" w:cs="Arial"/>
          <w:color w:val="000000"/>
        </w:rPr>
        <w:t>Treatment for anorexia nervosa is often difficult because the condition affects a person’s body, thoughts, emotions, and behaviours at the same time. Standard treatment usually includes psychological therapy, medical care, and nutritional rehabilitation. ICD-11 recognises anorexia nervosa as a serious eating disorder and recommends a broad, team-based treatment approach that focuses on physical recovery and psychological change (World Health Organization, 2019).</w:t>
      </w:r>
    </w:p>
    <w:p w14:paraId="3B165EF9" w14:textId="170DBB57" w:rsidR="00576E42" w:rsidRPr="005A03C0" w:rsidRDefault="00AA30FD" w:rsidP="00576E42">
      <w:pPr>
        <w:pStyle w:val="NormalWeb"/>
        <w:rPr>
          <w:rFonts w:ascii="Arial" w:eastAsiaTheme="majorEastAsia" w:hAnsi="Arial" w:cs="Arial"/>
          <w:color w:val="000000"/>
        </w:rPr>
      </w:pPr>
      <w:r w:rsidRPr="00AA30FD">
        <w:rPr>
          <w:rFonts w:ascii="Arial" w:eastAsiaTheme="majorEastAsia" w:hAnsi="Arial" w:cs="Arial"/>
          <w:color w:val="000000"/>
        </w:rPr>
        <w:t>Psychological therapy is the main treatment</w:t>
      </w:r>
      <w:r w:rsidR="00EB41D0" w:rsidRPr="005A03C0">
        <w:rPr>
          <w:rFonts w:ascii="Arial" w:eastAsiaTheme="majorEastAsia" w:hAnsi="Arial" w:cs="Arial"/>
          <w:color w:val="000000"/>
        </w:rPr>
        <w:t xml:space="preserve"> of </w:t>
      </w:r>
      <w:r w:rsidR="003C58D6" w:rsidRPr="005A03C0">
        <w:rPr>
          <w:rFonts w:ascii="Arial" w:eastAsiaTheme="majorEastAsia" w:hAnsi="Arial" w:cs="Arial"/>
          <w:color w:val="000000"/>
        </w:rPr>
        <w:t>Anorexia Nervosa</w:t>
      </w:r>
      <w:r w:rsidRPr="00AA30FD">
        <w:rPr>
          <w:rFonts w:ascii="Arial" w:eastAsiaTheme="majorEastAsia" w:hAnsi="Arial" w:cs="Arial"/>
          <w:color w:val="000000"/>
        </w:rPr>
        <w:t>. One of the most common methods for adults is Cognitive Behavioural Therapy – Enhanced (CBT-E). This therapy helps people understand the thoughts and feelings that keep the disorder going, such as fear of weight gain or negative body image. Studies show that CBT-E can help adults gain weight and reduce eating-disorder symptoms (Claudino et al., 2019).</w:t>
      </w:r>
      <w:r w:rsidR="00F07674" w:rsidRPr="005A03C0">
        <w:rPr>
          <w:rFonts w:ascii="Arial" w:eastAsiaTheme="majorEastAsia" w:hAnsi="Arial" w:cs="Arial"/>
          <w:color w:val="000000"/>
        </w:rPr>
        <w:t xml:space="preserve"> </w:t>
      </w:r>
      <w:r w:rsidR="00BD1B1C" w:rsidRPr="005A03C0">
        <w:rPr>
          <w:rFonts w:ascii="Arial" w:eastAsiaTheme="majorEastAsia" w:hAnsi="Arial" w:cs="Arial"/>
          <w:color w:val="000000"/>
        </w:rPr>
        <w:t>Strength</w:t>
      </w:r>
      <w:r w:rsidR="0065644F" w:rsidRPr="005A03C0">
        <w:rPr>
          <w:rFonts w:ascii="Arial" w:eastAsiaTheme="majorEastAsia" w:hAnsi="Arial" w:cs="Arial"/>
          <w:color w:val="000000"/>
        </w:rPr>
        <w:t xml:space="preserve"> of CBT-E is</w:t>
      </w:r>
      <w:r w:rsidR="007D032D" w:rsidRPr="005A03C0">
        <w:rPr>
          <w:rFonts w:ascii="Arial" w:eastAsiaTheme="majorEastAsia" w:hAnsi="Arial" w:cs="Arial"/>
          <w:color w:val="000000"/>
        </w:rPr>
        <w:t xml:space="preserve"> that it </w:t>
      </w:r>
      <w:r w:rsidR="007D032D" w:rsidRPr="00AA30FD">
        <w:rPr>
          <w:rFonts w:ascii="Arial" w:eastAsiaTheme="majorEastAsia" w:hAnsi="Arial" w:cs="Arial"/>
          <w:color w:val="000000"/>
        </w:rPr>
        <w:t>focuses directly on changing behaviours and beliefs</w:t>
      </w:r>
      <w:r w:rsidR="00747700" w:rsidRPr="005A03C0">
        <w:rPr>
          <w:rFonts w:ascii="Arial" w:eastAsiaTheme="majorEastAsia" w:hAnsi="Arial" w:cs="Arial"/>
          <w:color w:val="000000"/>
        </w:rPr>
        <w:t>, li</w:t>
      </w:r>
      <w:r w:rsidR="002301D7" w:rsidRPr="005A03C0">
        <w:rPr>
          <w:rFonts w:ascii="Arial" w:eastAsiaTheme="majorEastAsia" w:hAnsi="Arial" w:cs="Arial"/>
          <w:color w:val="000000"/>
        </w:rPr>
        <w:t xml:space="preserve">mitation is </w:t>
      </w:r>
      <w:r w:rsidR="000947A9" w:rsidRPr="005A03C0">
        <w:rPr>
          <w:rFonts w:ascii="Arial" w:eastAsiaTheme="majorEastAsia" w:hAnsi="Arial" w:cs="Arial"/>
          <w:color w:val="000000"/>
        </w:rPr>
        <w:t>that i</w:t>
      </w:r>
      <w:r w:rsidR="002301D7" w:rsidRPr="00AA30FD">
        <w:rPr>
          <w:rFonts w:ascii="Arial" w:eastAsiaTheme="majorEastAsia" w:hAnsi="Arial" w:cs="Arial"/>
          <w:color w:val="000000"/>
        </w:rPr>
        <w:t>t works best when the person is medically stable and willing to participate.</w:t>
      </w:r>
      <w:r w:rsidRPr="00AA30FD">
        <w:rPr>
          <w:rFonts w:ascii="Arial" w:eastAsiaTheme="majorEastAsia" w:hAnsi="Arial" w:cs="Arial"/>
          <w:color w:val="000000"/>
        </w:rPr>
        <w:br/>
        <w:t>For children and teenagers, the standard approach is Family-Based Therapy (FBT). In FBT, parents take the lead in helping their child eat regular meals and regain weight. Research suggests FBT is one of the most effective treatments for young people with anorexia nervosa (Lock &amp; Le Grange, 2020).</w:t>
      </w:r>
      <w:r w:rsidR="006D5068" w:rsidRPr="005A03C0">
        <w:rPr>
          <w:rFonts w:ascii="Arial" w:eastAsiaTheme="majorEastAsia" w:hAnsi="Arial" w:cs="Arial"/>
          <w:color w:val="000000"/>
        </w:rPr>
        <w:t xml:space="preserve"> Good on this approach is </w:t>
      </w:r>
      <w:r w:rsidR="00DE18C5" w:rsidRPr="005A03C0">
        <w:rPr>
          <w:rFonts w:ascii="Arial" w:eastAsiaTheme="majorEastAsia" w:hAnsi="Arial" w:cs="Arial"/>
          <w:color w:val="000000"/>
        </w:rPr>
        <w:t xml:space="preserve">that is </w:t>
      </w:r>
      <w:r w:rsidR="00DE18C5" w:rsidRPr="00AA30FD">
        <w:rPr>
          <w:rFonts w:ascii="Arial" w:eastAsiaTheme="majorEastAsia" w:hAnsi="Arial" w:cs="Arial"/>
          <w:color w:val="000000"/>
        </w:rPr>
        <w:t>uses family support, which can improve motivation</w:t>
      </w:r>
      <w:r w:rsidR="006B6471" w:rsidRPr="005A03C0">
        <w:rPr>
          <w:rFonts w:ascii="Arial" w:eastAsiaTheme="majorEastAsia" w:hAnsi="Arial" w:cs="Arial"/>
          <w:color w:val="000000"/>
        </w:rPr>
        <w:t>.</w:t>
      </w:r>
      <w:r w:rsidR="00576E42" w:rsidRPr="005A03C0">
        <w:rPr>
          <w:rFonts w:ascii="Arial" w:eastAsiaTheme="majorEastAsia" w:hAnsi="Arial" w:cs="Arial"/>
          <w:color w:val="000000"/>
        </w:rPr>
        <w:t xml:space="preserve"> </w:t>
      </w:r>
      <w:r w:rsidR="00197629" w:rsidRPr="005A03C0">
        <w:rPr>
          <w:rFonts w:ascii="Arial" w:eastAsiaTheme="majorEastAsia" w:hAnsi="Arial" w:cs="Arial"/>
          <w:color w:val="000000"/>
        </w:rPr>
        <w:t>Bu</w:t>
      </w:r>
      <w:r w:rsidR="00576E42" w:rsidRPr="00AA30FD">
        <w:rPr>
          <w:rFonts w:ascii="Arial" w:eastAsiaTheme="majorEastAsia" w:hAnsi="Arial" w:cs="Arial"/>
          <w:color w:val="000000"/>
        </w:rPr>
        <w:t xml:space="preserve">t </w:t>
      </w:r>
      <w:r w:rsidR="00197629" w:rsidRPr="005A03C0">
        <w:rPr>
          <w:rFonts w:ascii="Arial" w:eastAsiaTheme="majorEastAsia" w:hAnsi="Arial" w:cs="Arial"/>
          <w:color w:val="000000"/>
        </w:rPr>
        <w:t xml:space="preserve">it </w:t>
      </w:r>
      <w:r w:rsidR="00576E42" w:rsidRPr="00AA30FD">
        <w:rPr>
          <w:rFonts w:ascii="Arial" w:eastAsiaTheme="majorEastAsia" w:hAnsi="Arial" w:cs="Arial"/>
          <w:color w:val="000000"/>
        </w:rPr>
        <w:t xml:space="preserve">is less effective if family relationships are </w:t>
      </w:r>
      <w:r w:rsidR="00DA035D" w:rsidRPr="005A03C0">
        <w:rPr>
          <w:rFonts w:ascii="Arial" w:eastAsiaTheme="majorEastAsia" w:hAnsi="Arial" w:cs="Arial"/>
          <w:color w:val="000000"/>
        </w:rPr>
        <w:t xml:space="preserve">not </w:t>
      </w:r>
      <w:r w:rsidR="00C63B06" w:rsidRPr="005A03C0">
        <w:rPr>
          <w:rFonts w:ascii="Arial" w:eastAsiaTheme="majorEastAsia" w:hAnsi="Arial" w:cs="Arial"/>
          <w:color w:val="000000"/>
        </w:rPr>
        <w:t>good</w:t>
      </w:r>
      <w:r w:rsidR="00576E42" w:rsidRPr="00AA30FD">
        <w:rPr>
          <w:rFonts w:ascii="Arial" w:eastAsiaTheme="majorEastAsia" w:hAnsi="Arial" w:cs="Arial"/>
          <w:color w:val="000000"/>
        </w:rPr>
        <w:t xml:space="preserve"> or if parents cannot be fully involved.</w:t>
      </w:r>
    </w:p>
    <w:p w14:paraId="2714BEB1" w14:textId="34A33DAD" w:rsidR="00AA30FD" w:rsidRPr="00AA30FD" w:rsidRDefault="003E07D0" w:rsidP="00AA30FD">
      <w:pPr>
        <w:pStyle w:val="NormalWeb"/>
        <w:rPr>
          <w:rFonts w:ascii="Arial" w:eastAsiaTheme="majorEastAsia" w:hAnsi="Arial" w:cs="Arial"/>
          <w:color w:val="000000"/>
        </w:rPr>
      </w:pPr>
      <w:r w:rsidRPr="005A03C0">
        <w:rPr>
          <w:rFonts w:ascii="Arial" w:eastAsiaTheme="majorEastAsia" w:hAnsi="Arial" w:cs="Arial"/>
          <w:color w:val="000000"/>
        </w:rPr>
        <w:t>M</w:t>
      </w:r>
      <w:r w:rsidR="00AA30FD" w:rsidRPr="00AA30FD">
        <w:rPr>
          <w:rFonts w:ascii="Arial" w:eastAsiaTheme="majorEastAsia" w:hAnsi="Arial" w:cs="Arial"/>
          <w:color w:val="000000"/>
        </w:rPr>
        <w:t>edical treatment is essential because anorexia nervosa can cause serious health problems, such as low heart rate, dehydration, and vitamin deficiencies. Regular check-ups help monitor the person’s physical safety (</w:t>
      </w:r>
      <w:proofErr w:type="spellStart"/>
      <w:r w:rsidR="00AA30FD" w:rsidRPr="00AA30FD">
        <w:rPr>
          <w:rFonts w:ascii="Arial" w:eastAsiaTheme="majorEastAsia" w:hAnsi="Arial" w:cs="Arial"/>
          <w:color w:val="000000"/>
        </w:rPr>
        <w:t>MRCPsych</w:t>
      </w:r>
      <w:proofErr w:type="spellEnd"/>
      <w:r w:rsidR="00AA30FD" w:rsidRPr="00AA30FD">
        <w:rPr>
          <w:rFonts w:ascii="Arial" w:eastAsiaTheme="majorEastAsia" w:hAnsi="Arial" w:cs="Arial"/>
          <w:color w:val="000000"/>
        </w:rPr>
        <w:t>, 2022). Nutritional rehabilitation aims to restore healthy weight through structured meal plans and support from dietitians.</w:t>
      </w:r>
      <w:r w:rsidR="00F13EDF" w:rsidRPr="005A03C0">
        <w:rPr>
          <w:rFonts w:ascii="Arial" w:eastAsiaTheme="majorEastAsia" w:hAnsi="Arial" w:cs="Arial"/>
          <w:color w:val="000000"/>
        </w:rPr>
        <w:t xml:space="preserve"> </w:t>
      </w:r>
      <w:r w:rsidR="00AA30FD" w:rsidRPr="00AA30FD">
        <w:rPr>
          <w:rFonts w:ascii="Arial" w:eastAsiaTheme="majorEastAsia" w:hAnsi="Arial" w:cs="Arial"/>
          <w:color w:val="000000"/>
        </w:rPr>
        <w:t>Medical and nutritional care reduce dangerous health risks.</w:t>
      </w:r>
      <w:r w:rsidR="00AA30FD" w:rsidRPr="00AA30FD">
        <w:rPr>
          <w:rFonts w:ascii="Arial" w:eastAsiaTheme="majorEastAsia" w:hAnsi="Arial" w:cs="Arial"/>
          <w:color w:val="000000"/>
        </w:rPr>
        <w:br/>
      </w:r>
      <w:r w:rsidR="00AA30FD" w:rsidRPr="00AA30FD">
        <w:rPr>
          <w:rFonts w:ascii="Arial" w:eastAsiaTheme="majorEastAsia" w:hAnsi="Arial" w:cs="Arial"/>
          <w:b/>
          <w:bCs/>
          <w:color w:val="000000"/>
        </w:rPr>
        <w:t>Limitation:</w:t>
      </w:r>
      <w:r w:rsidR="00AA30FD" w:rsidRPr="00AA30FD">
        <w:rPr>
          <w:rFonts w:ascii="Arial" w:eastAsiaTheme="majorEastAsia" w:hAnsi="Arial" w:cs="Arial"/>
          <w:color w:val="000000"/>
        </w:rPr>
        <w:t xml:space="preserve"> Weight gain alone does not solve the emotional and psychological parts of the disorder, so relapse is common without therapy.</w:t>
      </w:r>
    </w:p>
    <w:p w14:paraId="61E464B7" w14:textId="77777777" w:rsidR="00AA30FD" w:rsidRPr="00AA30FD" w:rsidRDefault="00AA30FD" w:rsidP="00AA30FD">
      <w:pPr>
        <w:pStyle w:val="NormalWeb"/>
        <w:rPr>
          <w:rFonts w:ascii="Arial" w:eastAsiaTheme="majorEastAsia" w:hAnsi="Arial" w:cs="Arial"/>
          <w:color w:val="000000"/>
        </w:rPr>
      </w:pPr>
      <w:r w:rsidRPr="00AA30FD">
        <w:rPr>
          <w:rFonts w:ascii="Arial" w:eastAsiaTheme="majorEastAsia" w:hAnsi="Arial" w:cs="Arial"/>
          <w:color w:val="000000"/>
        </w:rPr>
        <w:t>In very severe cases, hospital admission or specialist inpatient treatment is needed. This may involve supervised meals, therapy sessions, and 24-hour medical care.</w:t>
      </w:r>
    </w:p>
    <w:p w14:paraId="003252CA" w14:textId="77777777" w:rsidR="00CD5035" w:rsidRDefault="00CD5035" w:rsidP="00AA30FD">
      <w:pPr>
        <w:pStyle w:val="NormalWeb"/>
        <w:rPr>
          <w:rFonts w:ascii="Arial" w:eastAsiaTheme="majorEastAsia" w:hAnsi="Arial" w:cs="Arial"/>
          <w:b/>
          <w:bCs/>
          <w:color w:val="000000"/>
        </w:rPr>
      </w:pPr>
    </w:p>
    <w:p w14:paraId="11F8BE37" w14:textId="4FA82222" w:rsidR="00AA30FD" w:rsidRPr="00AA30FD" w:rsidRDefault="00AA30FD" w:rsidP="00AA30FD">
      <w:pPr>
        <w:pStyle w:val="NormalWeb"/>
        <w:rPr>
          <w:rFonts w:ascii="Arial" w:eastAsiaTheme="majorEastAsia" w:hAnsi="Arial" w:cs="Arial"/>
          <w:b/>
          <w:bCs/>
          <w:color w:val="000000"/>
        </w:rPr>
      </w:pPr>
      <w:r w:rsidRPr="00AA30FD">
        <w:rPr>
          <w:rFonts w:ascii="Arial" w:eastAsiaTheme="majorEastAsia" w:hAnsi="Arial" w:cs="Arial"/>
          <w:b/>
          <w:bCs/>
          <w:color w:val="000000"/>
        </w:rPr>
        <w:lastRenderedPageBreak/>
        <w:t>Rehabilitation in ICD-11 and in Practice</w:t>
      </w:r>
    </w:p>
    <w:p w14:paraId="0EA5EF84" w14:textId="77777777" w:rsidR="00AA30FD" w:rsidRPr="00AA30FD" w:rsidRDefault="00AA30FD" w:rsidP="00AA30FD">
      <w:pPr>
        <w:pStyle w:val="NormalWeb"/>
        <w:rPr>
          <w:rFonts w:ascii="Arial" w:eastAsiaTheme="majorEastAsia" w:hAnsi="Arial" w:cs="Arial"/>
          <w:color w:val="000000"/>
        </w:rPr>
      </w:pPr>
      <w:r w:rsidRPr="00AA30FD">
        <w:rPr>
          <w:rFonts w:ascii="Arial" w:eastAsiaTheme="majorEastAsia" w:hAnsi="Arial" w:cs="Arial"/>
          <w:color w:val="000000"/>
        </w:rPr>
        <w:t>ICD-11 does not give strict treatment rules, but it explains that rehabilitation should include restoring weight, normalising eating behaviour, and treating the underlying psychological issues (World Health Organization, 2019).</w:t>
      </w:r>
    </w:p>
    <w:p w14:paraId="27ECFB28" w14:textId="191C36D4" w:rsidR="00AA30FD" w:rsidRPr="005A03C0" w:rsidRDefault="00AA30FD" w:rsidP="00AA30FD">
      <w:pPr>
        <w:pStyle w:val="NormalWeb"/>
        <w:rPr>
          <w:rFonts w:ascii="Arial" w:eastAsiaTheme="majorEastAsia" w:hAnsi="Arial" w:cs="Arial"/>
          <w:color w:val="000000"/>
        </w:rPr>
      </w:pPr>
      <w:r w:rsidRPr="00AA30FD">
        <w:rPr>
          <w:rFonts w:ascii="Arial" w:eastAsiaTheme="majorEastAsia" w:hAnsi="Arial" w:cs="Arial"/>
          <w:color w:val="000000"/>
        </w:rPr>
        <w:t xml:space="preserve">In practice, rehabilitation programmes often </w:t>
      </w:r>
      <w:proofErr w:type="gramStart"/>
      <w:r w:rsidR="00AD1CF4" w:rsidRPr="005A03C0">
        <w:rPr>
          <w:rFonts w:ascii="Arial" w:eastAsiaTheme="majorEastAsia" w:hAnsi="Arial" w:cs="Arial"/>
          <w:color w:val="000000"/>
        </w:rPr>
        <w:t>include</w:t>
      </w:r>
      <w:r w:rsidR="00BD1623" w:rsidRPr="005A03C0">
        <w:rPr>
          <w:rFonts w:ascii="Arial" w:eastAsiaTheme="majorEastAsia" w:hAnsi="Arial" w:cs="Arial"/>
          <w:color w:val="000000"/>
        </w:rPr>
        <w:t>:</w:t>
      </w:r>
      <w:proofErr w:type="gramEnd"/>
      <w:r w:rsidR="00BD1623" w:rsidRPr="005A03C0">
        <w:rPr>
          <w:rFonts w:ascii="Arial" w:eastAsiaTheme="majorEastAsia" w:hAnsi="Arial" w:cs="Arial"/>
          <w:color w:val="000000"/>
        </w:rPr>
        <w:t xml:space="preserve"> </w:t>
      </w:r>
      <w:r w:rsidRPr="00AA30FD">
        <w:rPr>
          <w:rFonts w:ascii="Arial" w:eastAsiaTheme="majorEastAsia" w:hAnsi="Arial" w:cs="Arial"/>
          <w:color w:val="000000"/>
        </w:rPr>
        <w:t>education about health and nutrition</w:t>
      </w:r>
      <w:r w:rsidR="00F02B21" w:rsidRPr="005A03C0">
        <w:rPr>
          <w:rFonts w:ascii="Arial" w:eastAsiaTheme="majorEastAsia" w:hAnsi="Arial" w:cs="Arial"/>
          <w:color w:val="000000"/>
        </w:rPr>
        <w:t xml:space="preserve">, </w:t>
      </w:r>
      <w:r w:rsidRPr="00AA30FD">
        <w:rPr>
          <w:rFonts w:ascii="Arial" w:eastAsiaTheme="majorEastAsia" w:hAnsi="Arial" w:cs="Arial"/>
          <w:color w:val="000000"/>
        </w:rPr>
        <w:t>support for building coping skills</w:t>
      </w:r>
      <w:r w:rsidR="00684A9F" w:rsidRPr="005A03C0">
        <w:rPr>
          <w:rFonts w:ascii="Arial" w:eastAsiaTheme="majorEastAsia" w:hAnsi="Arial" w:cs="Arial"/>
          <w:color w:val="000000"/>
        </w:rPr>
        <w:t xml:space="preserve">, </w:t>
      </w:r>
      <w:r w:rsidRPr="00AA30FD">
        <w:rPr>
          <w:rFonts w:ascii="Arial" w:eastAsiaTheme="majorEastAsia" w:hAnsi="Arial" w:cs="Arial"/>
          <w:color w:val="000000"/>
        </w:rPr>
        <w:t>relapse-prevention planning</w:t>
      </w:r>
      <w:r w:rsidR="00684A9F" w:rsidRPr="005A03C0">
        <w:rPr>
          <w:rFonts w:ascii="Arial" w:eastAsiaTheme="majorEastAsia" w:hAnsi="Arial" w:cs="Arial"/>
          <w:color w:val="000000"/>
        </w:rPr>
        <w:t xml:space="preserve">, </w:t>
      </w:r>
      <w:r w:rsidRPr="00AA30FD">
        <w:rPr>
          <w:rFonts w:ascii="Arial" w:eastAsiaTheme="majorEastAsia" w:hAnsi="Arial" w:cs="Arial"/>
          <w:color w:val="000000"/>
        </w:rPr>
        <w:t>group therapy or skills workshops</w:t>
      </w:r>
      <w:r w:rsidR="00684A9F" w:rsidRPr="005A03C0">
        <w:rPr>
          <w:rFonts w:ascii="Arial" w:eastAsiaTheme="majorEastAsia" w:hAnsi="Arial" w:cs="Arial"/>
          <w:color w:val="000000"/>
        </w:rPr>
        <w:t xml:space="preserve">, </w:t>
      </w:r>
      <w:r w:rsidRPr="00AA30FD">
        <w:rPr>
          <w:rFonts w:ascii="Arial" w:eastAsiaTheme="majorEastAsia" w:hAnsi="Arial" w:cs="Arial"/>
          <w:color w:val="000000"/>
        </w:rPr>
        <w:t>support with returning to school, work, or social activities</w:t>
      </w:r>
      <w:r w:rsidR="00684A9F" w:rsidRPr="005A03C0">
        <w:rPr>
          <w:rFonts w:ascii="Arial" w:eastAsiaTheme="majorEastAsia" w:hAnsi="Arial" w:cs="Arial"/>
          <w:color w:val="000000"/>
        </w:rPr>
        <w:t xml:space="preserve">. </w:t>
      </w:r>
      <w:r w:rsidRPr="00AA30FD">
        <w:rPr>
          <w:rFonts w:ascii="Arial" w:eastAsiaTheme="majorEastAsia" w:hAnsi="Arial" w:cs="Arial"/>
          <w:color w:val="000000"/>
        </w:rPr>
        <w:t>These steps help the person rebuild daily functioning, not just weight.</w:t>
      </w:r>
    </w:p>
    <w:p w14:paraId="182CA341" w14:textId="77777777" w:rsidR="00AA64CA" w:rsidRPr="00AA30FD" w:rsidRDefault="00AA64CA" w:rsidP="00AA30FD">
      <w:pPr>
        <w:pStyle w:val="NormalWeb"/>
        <w:rPr>
          <w:rFonts w:ascii="Arial" w:eastAsiaTheme="majorEastAsia" w:hAnsi="Arial" w:cs="Arial"/>
          <w:color w:val="000000"/>
        </w:rPr>
      </w:pPr>
    </w:p>
    <w:p w14:paraId="496BF670" w14:textId="77777777" w:rsidR="00AA30FD" w:rsidRPr="00AA30FD" w:rsidRDefault="00AA30FD" w:rsidP="00AA30FD">
      <w:pPr>
        <w:pStyle w:val="NormalWeb"/>
        <w:rPr>
          <w:rFonts w:ascii="Arial" w:eastAsiaTheme="majorEastAsia" w:hAnsi="Arial" w:cs="Arial"/>
          <w:b/>
          <w:bCs/>
          <w:color w:val="000000"/>
        </w:rPr>
      </w:pPr>
      <w:r w:rsidRPr="00AA30FD">
        <w:rPr>
          <w:rFonts w:ascii="Arial" w:eastAsiaTheme="majorEastAsia" w:hAnsi="Arial" w:cs="Arial"/>
          <w:b/>
          <w:bCs/>
          <w:color w:val="000000"/>
        </w:rPr>
        <w:t>Effectiveness and Limitations</w:t>
      </w:r>
    </w:p>
    <w:p w14:paraId="07685627" w14:textId="5F37B465" w:rsidR="00240E69" w:rsidRPr="00240E69" w:rsidRDefault="00AA30FD" w:rsidP="00240E69">
      <w:pPr>
        <w:pStyle w:val="NormalWeb"/>
        <w:rPr>
          <w:rFonts w:ascii="Arial" w:eastAsiaTheme="majorEastAsia" w:hAnsi="Arial" w:cs="Arial"/>
          <w:color w:val="000000"/>
        </w:rPr>
      </w:pPr>
      <w:r w:rsidRPr="00AA30FD">
        <w:rPr>
          <w:rFonts w:ascii="Arial" w:eastAsiaTheme="majorEastAsia" w:hAnsi="Arial" w:cs="Arial"/>
          <w:color w:val="000000"/>
        </w:rPr>
        <w:t>Treatment can be effective, especially when started early. Many young people recover well when they receive FBT. Adults often improve with CBT-E and medical support. However, there are important limitations</w:t>
      </w:r>
      <w:r w:rsidR="00DF728E" w:rsidRPr="005A03C0">
        <w:rPr>
          <w:rFonts w:ascii="Arial" w:eastAsiaTheme="majorEastAsia" w:hAnsi="Arial" w:cs="Arial"/>
          <w:color w:val="000000"/>
        </w:rPr>
        <w:t xml:space="preserve">: </w:t>
      </w:r>
      <w:r w:rsidR="00B01CAD" w:rsidRPr="005A03C0">
        <w:rPr>
          <w:rFonts w:ascii="Arial" w:eastAsiaTheme="majorEastAsia" w:hAnsi="Arial" w:cs="Arial"/>
          <w:color w:val="000000"/>
        </w:rPr>
        <w:t xml:space="preserve">                                                                                                                                                </w:t>
      </w:r>
      <w:r w:rsidR="00240E69" w:rsidRPr="00240E69">
        <w:rPr>
          <w:rFonts w:ascii="Arial" w:eastAsiaTheme="majorEastAsia" w:hAnsi="Arial" w:cs="Arial"/>
          <w:color w:val="000000"/>
        </w:rPr>
        <w:t xml:space="preserve"> Relapse rates are high; reviews estimate relapse around 30–50% depending on follow-up and definitions (Berends et al., 2018; Sala et al., 2023). </w:t>
      </w:r>
      <w:r w:rsidR="00B01CAD" w:rsidRPr="005A03C0">
        <w:rPr>
          <w:rFonts w:ascii="Arial" w:eastAsiaTheme="majorEastAsia" w:hAnsi="Arial" w:cs="Arial"/>
          <w:color w:val="000000"/>
        </w:rPr>
        <w:t xml:space="preserve">                                                                </w:t>
      </w:r>
      <w:r w:rsidR="00F71414" w:rsidRPr="005A03C0">
        <w:rPr>
          <w:rFonts w:ascii="Arial" w:eastAsiaTheme="majorEastAsia" w:hAnsi="Arial" w:cs="Arial"/>
          <w:color w:val="000000"/>
        </w:rPr>
        <w:t>Many people</w:t>
      </w:r>
      <w:r w:rsidR="00240E69" w:rsidRPr="00240E69">
        <w:rPr>
          <w:rFonts w:ascii="Arial" w:eastAsiaTheme="majorEastAsia" w:hAnsi="Arial" w:cs="Arial"/>
          <w:color w:val="000000"/>
        </w:rPr>
        <w:t xml:space="preserve"> deny illness, making therapy engagement difficult</w:t>
      </w:r>
      <w:r w:rsidR="00E7625B" w:rsidRPr="005A03C0">
        <w:rPr>
          <w:rFonts w:ascii="Arial" w:eastAsiaTheme="majorEastAsia" w:hAnsi="Arial" w:cs="Arial"/>
          <w:color w:val="000000"/>
        </w:rPr>
        <w:t xml:space="preserve">, they </w:t>
      </w:r>
      <w:r w:rsidR="007C6D13" w:rsidRPr="005A03C0">
        <w:rPr>
          <w:rFonts w:ascii="Arial" w:eastAsiaTheme="majorEastAsia" w:hAnsi="Arial" w:cs="Arial"/>
          <w:color w:val="000000"/>
        </w:rPr>
        <w:t>are not motivated</w:t>
      </w:r>
      <w:r w:rsidR="00FF2266" w:rsidRPr="005A03C0">
        <w:rPr>
          <w:rFonts w:ascii="Arial" w:eastAsiaTheme="majorEastAsia" w:hAnsi="Arial" w:cs="Arial"/>
          <w:color w:val="000000"/>
        </w:rPr>
        <w:t xml:space="preserve"> improve their health.</w:t>
      </w:r>
      <w:r w:rsidR="00222D04" w:rsidRPr="005A03C0">
        <w:rPr>
          <w:rFonts w:ascii="Arial" w:eastAsiaTheme="majorEastAsia" w:hAnsi="Arial" w:cs="Arial"/>
          <w:color w:val="000000"/>
        </w:rPr>
        <w:t xml:space="preserve">                                                                                                                                     </w:t>
      </w:r>
      <w:r w:rsidR="00240E69" w:rsidRPr="00240E69">
        <w:rPr>
          <w:rFonts w:ascii="Arial" w:eastAsiaTheme="majorEastAsia" w:hAnsi="Arial" w:cs="Arial"/>
          <w:color w:val="000000"/>
        </w:rPr>
        <w:t xml:space="preserve"> A minority develop long-term, hard-to-treat anorexia.</w:t>
      </w:r>
      <w:r w:rsidR="006A0711" w:rsidRPr="005A03C0">
        <w:rPr>
          <w:rFonts w:ascii="Arial" w:eastAsiaTheme="majorEastAsia" w:hAnsi="Arial" w:cs="Arial"/>
          <w:color w:val="000000"/>
        </w:rPr>
        <w:t xml:space="preserve"> </w:t>
      </w:r>
      <w:r w:rsidR="001B2BC2" w:rsidRPr="005A03C0">
        <w:rPr>
          <w:rFonts w:ascii="Arial" w:eastAsiaTheme="majorEastAsia" w:hAnsi="Arial" w:cs="Arial"/>
          <w:color w:val="000000"/>
        </w:rPr>
        <w:t xml:space="preserve">                                                                                                 </w:t>
      </w:r>
      <w:r w:rsidR="00240E69" w:rsidRPr="00240E69">
        <w:rPr>
          <w:rFonts w:ascii="Arial" w:eastAsiaTheme="majorEastAsia" w:hAnsi="Arial" w:cs="Arial"/>
          <w:color w:val="000000"/>
        </w:rPr>
        <w:t>Specialist services and early intervention are unevenly available, producing long waits and delayed treatment (NICE, 2017).</w:t>
      </w:r>
      <w:r w:rsidR="008C7F82" w:rsidRPr="005A03C0">
        <w:rPr>
          <w:rFonts w:ascii="Arial" w:eastAsiaTheme="majorEastAsia" w:hAnsi="Arial" w:cs="Arial"/>
          <w:color w:val="000000"/>
        </w:rPr>
        <w:t xml:space="preserve"> </w:t>
      </w:r>
      <w:r w:rsidR="001B2BC2" w:rsidRPr="005A03C0">
        <w:rPr>
          <w:rFonts w:ascii="Arial" w:eastAsiaTheme="majorEastAsia" w:hAnsi="Arial" w:cs="Arial"/>
          <w:color w:val="000000"/>
        </w:rPr>
        <w:t xml:space="preserve">                                                                                                           </w:t>
      </w:r>
      <w:r w:rsidR="00240E69" w:rsidRPr="00240E69">
        <w:rPr>
          <w:rFonts w:ascii="Arial" w:eastAsiaTheme="majorEastAsia" w:hAnsi="Arial" w:cs="Arial"/>
          <w:color w:val="000000"/>
        </w:rPr>
        <w:t>Standard therapies may not suit autistic or otherwise neurodivergent people without adaptation (Westwood &amp; Tchanturia, 2017).</w:t>
      </w:r>
    </w:p>
    <w:p w14:paraId="1DF406B3" w14:textId="2832D9B3" w:rsidR="00AA30FD" w:rsidRPr="005A03C0" w:rsidRDefault="00AA30FD" w:rsidP="00395708">
      <w:pPr>
        <w:pStyle w:val="NormalWeb"/>
        <w:rPr>
          <w:rFonts w:ascii="Arial" w:eastAsiaTheme="majorEastAsia" w:hAnsi="Arial" w:cs="Arial"/>
          <w:color w:val="000000"/>
        </w:rPr>
      </w:pPr>
      <w:r w:rsidRPr="00AA30FD">
        <w:rPr>
          <w:rFonts w:ascii="Arial" w:eastAsiaTheme="majorEastAsia" w:hAnsi="Arial" w:cs="Arial"/>
          <w:color w:val="000000"/>
        </w:rPr>
        <w:t>Overall, treatment and rehabilitation for anorexia nervosa can help many people recover, but challenges remain, especially around relapse, motivation, and access to proper ca</w:t>
      </w:r>
      <w:r w:rsidR="00553BD4" w:rsidRPr="005A03C0">
        <w:rPr>
          <w:rFonts w:ascii="Arial" w:eastAsiaTheme="majorEastAsia" w:hAnsi="Arial" w:cs="Arial"/>
          <w:color w:val="000000"/>
        </w:rPr>
        <w:t>re.</w:t>
      </w:r>
    </w:p>
    <w:p w14:paraId="61D92877" w14:textId="77777777" w:rsidR="00764D5A" w:rsidRPr="005A03C0" w:rsidRDefault="00764D5A" w:rsidP="005778D2">
      <w:pPr>
        <w:pStyle w:val="NormalWeb"/>
        <w:rPr>
          <w:rFonts w:ascii="Arial" w:eastAsiaTheme="majorEastAsia" w:hAnsi="Arial" w:cs="Arial"/>
          <w:b/>
          <w:bCs/>
          <w:color w:val="000000"/>
        </w:rPr>
      </w:pPr>
    </w:p>
    <w:p w14:paraId="21158B64" w14:textId="1922A9CF" w:rsidR="005778D2" w:rsidRPr="005778D2" w:rsidRDefault="005778D2" w:rsidP="005778D2">
      <w:pPr>
        <w:pStyle w:val="NormalWeb"/>
        <w:rPr>
          <w:rFonts w:ascii="Arial" w:eastAsiaTheme="majorEastAsia" w:hAnsi="Arial" w:cs="Arial"/>
          <w:b/>
          <w:bCs/>
          <w:color w:val="000000"/>
        </w:rPr>
      </w:pPr>
      <w:r w:rsidRPr="005778D2">
        <w:rPr>
          <w:rFonts w:ascii="Arial" w:eastAsiaTheme="majorEastAsia" w:hAnsi="Arial" w:cs="Arial"/>
          <w:b/>
          <w:bCs/>
          <w:color w:val="000000"/>
        </w:rPr>
        <w:t>Current Debates and Emerging Issues</w:t>
      </w:r>
    </w:p>
    <w:p w14:paraId="52912E5A" w14:textId="77777777" w:rsidR="005778D2" w:rsidRPr="005778D2" w:rsidRDefault="005778D2" w:rsidP="005778D2">
      <w:pPr>
        <w:pStyle w:val="NormalWeb"/>
        <w:rPr>
          <w:rFonts w:ascii="Arial" w:eastAsiaTheme="majorEastAsia" w:hAnsi="Arial" w:cs="Arial"/>
          <w:b/>
          <w:bCs/>
          <w:color w:val="000000"/>
        </w:rPr>
      </w:pPr>
      <w:r w:rsidRPr="005778D2">
        <w:rPr>
          <w:rFonts w:ascii="Arial" w:eastAsiaTheme="majorEastAsia" w:hAnsi="Arial" w:cs="Arial"/>
          <w:b/>
          <w:bCs/>
          <w:color w:val="000000"/>
        </w:rPr>
        <w:t>Is anorexia primarily psychological, biological, or both?</w:t>
      </w:r>
    </w:p>
    <w:p w14:paraId="26AC2749" w14:textId="77777777" w:rsidR="005778D2" w:rsidRPr="005778D2" w:rsidRDefault="005778D2" w:rsidP="005778D2">
      <w:pPr>
        <w:pStyle w:val="NormalWeb"/>
        <w:rPr>
          <w:rFonts w:ascii="Arial" w:eastAsiaTheme="majorEastAsia" w:hAnsi="Arial" w:cs="Arial"/>
          <w:color w:val="000000"/>
        </w:rPr>
      </w:pPr>
      <w:r w:rsidRPr="005778D2">
        <w:rPr>
          <w:rFonts w:ascii="Arial" w:eastAsiaTheme="majorEastAsia" w:hAnsi="Arial" w:cs="Arial"/>
          <w:color w:val="000000"/>
        </w:rPr>
        <w:t>There is an ongoing debate about whether anorexia nervosa should be seen mainly as a psychological disorder or as a condition with strong biological roots. Recent research points to genetic risk, brain differences, and metabolic changes that may make some people more likely to develop anorexia (Treasure, Duarte &amp; Schmidt, 2020). This suggests a mixed model: psychological factors interact with biological vulnerability. Some experts say ICD and treatment systems should reflect this complexity, not just focus on behaviour and thinking.</w:t>
      </w:r>
    </w:p>
    <w:p w14:paraId="356BE746" w14:textId="77777777" w:rsidR="005778D2" w:rsidRPr="005778D2" w:rsidRDefault="005778D2" w:rsidP="005778D2">
      <w:pPr>
        <w:pStyle w:val="NormalWeb"/>
        <w:rPr>
          <w:rFonts w:ascii="Arial" w:eastAsiaTheme="majorEastAsia" w:hAnsi="Arial" w:cs="Arial"/>
          <w:b/>
          <w:bCs/>
          <w:color w:val="000000"/>
        </w:rPr>
      </w:pPr>
      <w:r w:rsidRPr="005778D2">
        <w:rPr>
          <w:rFonts w:ascii="Arial" w:eastAsiaTheme="majorEastAsia" w:hAnsi="Arial" w:cs="Arial"/>
          <w:b/>
          <w:bCs/>
          <w:color w:val="000000"/>
        </w:rPr>
        <w:t>Weight-based diagnosis and atypical cases</w:t>
      </w:r>
    </w:p>
    <w:p w14:paraId="07943469" w14:textId="77777777" w:rsidR="005778D2" w:rsidRPr="005778D2" w:rsidRDefault="005778D2" w:rsidP="005778D2">
      <w:pPr>
        <w:pStyle w:val="NormalWeb"/>
        <w:rPr>
          <w:rFonts w:ascii="Arial" w:eastAsiaTheme="majorEastAsia" w:hAnsi="Arial" w:cs="Arial"/>
          <w:color w:val="000000"/>
        </w:rPr>
      </w:pPr>
      <w:r w:rsidRPr="005778D2">
        <w:rPr>
          <w:rFonts w:ascii="Arial" w:eastAsiaTheme="majorEastAsia" w:hAnsi="Arial" w:cs="Arial"/>
          <w:color w:val="000000"/>
        </w:rPr>
        <w:t>Another debate concerns the emphasis on low body weight. Some people have severe eating-disorder thoughts and dangerous behaviours but are not underweight; these cases may be labelled “atypical anorexia nervosa” or fall under other categories. Critics argue that strict focus on weight can delay diagnosis and care for these people (Harrop et al., 2021). ICD-11’s flexible approach helps, but practice still often prioritises low BMI for access to services.</w:t>
      </w:r>
    </w:p>
    <w:p w14:paraId="5BAB5AAA" w14:textId="77777777" w:rsidR="005778D2" w:rsidRPr="005778D2" w:rsidRDefault="005778D2" w:rsidP="005778D2">
      <w:pPr>
        <w:pStyle w:val="NormalWeb"/>
        <w:rPr>
          <w:rFonts w:ascii="Arial" w:eastAsiaTheme="majorEastAsia" w:hAnsi="Arial" w:cs="Arial"/>
          <w:b/>
          <w:bCs/>
          <w:color w:val="000000"/>
        </w:rPr>
      </w:pPr>
      <w:r w:rsidRPr="005778D2">
        <w:rPr>
          <w:rFonts w:ascii="Arial" w:eastAsiaTheme="majorEastAsia" w:hAnsi="Arial" w:cs="Arial"/>
          <w:b/>
          <w:bCs/>
          <w:color w:val="000000"/>
        </w:rPr>
        <w:lastRenderedPageBreak/>
        <w:t>Neurodivergence and reclassification issues</w:t>
      </w:r>
    </w:p>
    <w:p w14:paraId="57C20047" w14:textId="77777777" w:rsidR="005778D2" w:rsidRPr="005A03C0" w:rsidRDefault="005778D2" w:rsidP="005778D2">
      <w:pPr>
        <w:pStyle w:val="NormalWeb"/>
        <w:rPr>
          <w:rFonts w:ascii="Arial" w:eastAsiaTheme="majorEastAsia" w:hAnsi="Arial" w:cs="Arial"/>
          <w:color w:val="000000"/>
        </w:rPr>
      </w:pPr>
      <w:r w:rsidRPr="005778D2">
        <w:rPr>
          <w:rFonts w:ascii="Arial" w:eastAsiaTheme="majorEastAsia" w:hAnsi="Arial" w:cs="Arial"/>
          <w:color w:val="000000"/>
        </w:rPr>
        <w:t>Interest is rising in the link between anorexia nervosa and neurodivergence, especially autism spectrum traits. Studies find higher rates of autistic traits among people with anorexia, including rigid thinking, sensory sensitivity, and social-communication differences (Westwood &amp; Tchanturia, 2017). Clinicians and researchers debate how this should affect diagnosis and treatment. Some argue that neurodivergent people need adapted therapies (for example, clear structure, sensory adjustments, and different approaches to motivation). Others worry that splitting diagnoses could reduce access to eating-disorder services or lead to inconsistent care (Treasure et al., 2020). Overall, there is a clear call for treatments to be neurodiversity-informed, not necessarily for wholesale reclassification.</w:t>
      </w:r>
    </w:p>
    <w:p w14:paraId="29601E42" w14:textId="77777777" w:rsidR="004569E0" w:rsidRPr="005A03C0" w:rsidRDefault="004569E0" w:rsidP="004569E0">
      <w:pPr>
        <w:pStyle w:val="NormalWeb"/>
        <w:rPr>
          <w:rFonts w:ascii="Arial" w:eastAsiaTheme="majorEastAsia" w:hAnsi="Arial" w:cs="Arial"/>
          <w:b/>
          <w:bCs/>
          <w:color w:val="000000"/>
        </w:rPr>
      </w:pPr>
    </w:p>
    <w:p w14:paraId="4D18512D" w14:textId="17E78EDB" w:rsidR="004569E0" w:rsidRPr="004569E0" w:rsidRDefault="004569E0" w:rsidP="004569E0">
      <w:pPr>
        <w:pStyle w:val="NormalWeb"/>
        <w:rPr>
          <w:rFonts w:ascii="Arial" w:eastAsiaTheme="majorEastAsia" w:hAnsi="Arial" w:cs="Arial"/>
          <w:b/>
          <w:bCs/>
          <w:color w:val="000000"/>
        </w:rPr>
      </w:pPr>
      <w:r w:rsidRPr="004569E0">
        <w:rPr>
          <w:rFonts w:ascii="Arial" w:eastAsiaTheme="majorEastAsia" w:hAnsi="Arial" w:cs="Arial"/>
          <w:b/>
          <w:bCs/>
          <w:color w:val="000000"/>
        </w:rPr>
        <w:t>Impact of Debates on Practice and Policy</w:t>
      </w:r>
    </w:p>
    <w:p w14:paraId="38EF14C6" w14:textId="77777777" w:rsidR="004569E0" w:rsidRPr="004569E0" w:rsidRDefault="004569E0" w:rsidP="004569E0">
      <w:pPr>
        <w:pStyle w:val="NormalWeb"/>
        <w:rPr>
          <w:rFonts w:ascii="Arial" w:eastAsiaTheme="majorEastAsia" w:hAnsi="Arial" w:cs="Arial"/>
          <w:color w:val="000000"/>
        </w:rPr>
      </w:pPr>
      <w:r w:rsidRPr="004569E0">
        <w:rPr>
          <w:rFonts w:ascii="Arial" w:eastAsiaTheme="majorEastAsia" w:hAnsi="Arial" w:cs="Arial"/>
          <w:color w:val="000000"/>
        </w:rPr>
        <w:t>Debates about biological causes, weight-focused diagnosis, and neurodivergence are changing practice slowly. Policy bodies (like NICE) recommend early detection and family involvement; clinicians are increasingly asked to screen for autistic traits and adapt care. However, systems struggle to fund specialist services or to change access rules that rely on BMI thresholds. Clearer guidance is needed to ensure people with atypical presentations or neurodivergent needs get timely, appropriate care (NICE, 2017; Treasure et al., 2020).</w:t>
      </w:r>
    </w:p>
    <w:p w14:paraId="43D10117" w14:textId="77777777" w:rsidR="004569E0" w:rsidRPr="005778D2" w:rsidRDefault="004569E0" w:rsidP="005778D2">
      <w:pPr>
        <w:pStyle w:val="NormalWeb"/>
        <w:rPr>
          <w:rFonts w:ascii="Arial" w:eastAsiaTheme="majorEastAsia" w:hAnsi="Arial" w:cs="Arial"/>
          <w:color w:val="000000"/>
        </w:rPr>
      </w:pPr>
    </w:p>
    <w:p w14:paraId="663F265C" w14:textId="180F6D95" w:rsidR="008A6D32" w:rsidRPr="005A03C0" w:rsidRDefault="008A6D32" w:rsidP="00364E4A">
      <w:pPr>
        <w:pStyle w:val="NormalWeb"/>
        <w:rPr>
          <w:rFonts w:ascii="Arial" w:hAnsi="Arial" w:cs="Arial"/>
          <w:b/>
          <w:bCs/>
          <w:color w:val="000000"/>
        </w:rPr>
      </w:pPr>
      <w:r w:rsidRPr="005A03C0">
        <w:rPr>
          <w:rFonts w:ascii="Arial" w:hAnsi="Arial" w:cs="Arial"/>
          <w:b/>
          <w:bCs/>
          <w:color w:val="000000"/>
        </w:rPr>
        <w:t>Recommendations:</w:t>
      </w:r>
      <w:r w:rsidRPr="005A03C0">
        <w:rPr>
          <w:rStyle w:val="apple-converted-space"/>
          <w:rFonts w:ascii="Arial" w:eastAsiaTheme="majorEastAsia" w:hAnsi="Arial" w:cs="Arial"/>
          <w:b/>
          <w:bCs/>
          <w:color w:val="000000"/>
        </w:rPr>
        <w:t> </w:t>
      </w:r>
    </w:p>
    <w:p w14:paraId="157B7EB0" w14:textId="4E9F61E0" w:rsidR="00490DC2" w:rsidRPr="00490DC2" w:rsidRDefault="00490DC2" w:rsidP="00490DC2">
      <w:pPr>
        <w:pStyle w:val="NormalWeb"/>
        <w:rPr>
          <w:rFonts w:ascii="Arial" w:hAnsi="Arial" w:cs="Arial"/>
          <w:color w:val="000000"/>
        </w:rPr>
      </w:pPr>
      <w:r w:rsidRPr="00490DC2">
        <w:rPr>
          <w:rFonts w:ascii="Arial" w:hAnsi="Arial" w:cs="Arial"/>
          <w:color w:val="000000"/>
        </w:rPr>
        <w:t xml:space="preserve">To improve outcomes for people with anorexia nervosa, several changes </w:t>
      </w:r>
      <w:r w:rsidR="00110CBE" w:rsidRPr="005A03C0">
        <w:rPr>
          <w:rFonts w:ascii="Arial" w:hAnsi="Arial" w:cs="Arial"/>
          <w:color w:val="000000"/>
        </w:rPr>
        <w:t xml:space="preserve">should be done. </w:t>
      </w:r>
      <w:r w:rsidR="00CF318D" w:rsidRPr="005A03C0">
        <w:rPr>
          <w:rFonts w:ascii="Arial" w:hAnsi="Arial" w:cs="Arial"/>
          <w:color w:val="000000"/>
        </w:rPr>
        <w:t>C</w:t>
      </w:r>
      <w:r w:rsidRPr="00490DC2">
        <w:rPr>
          <w:rFonts w:ascii="Arial" w:hAnsi="Arial" w:cs="Arial"/>
          <w:color w:val="000000"/>
        </w:rPr>
        <w:t>lassification systems should reduce their reliance on weight alone and place more emphasis on psychological distress and functional impairment, so that people who are seriously unwell but not underweight can be diagnosed and treated earlier (Harrop et al., 2021). Diagnostic pathways should also support early detection, especially for atypical presentations of the disorder where dangerous eating behaviours and thoughts are present without very low body weight (WHO, 2019). Treatment services should adopt neurodiversity-informed approaches by offering sensory-friendly environments, clear structure, and therapies adapted to individual cognitive and sensory needs, particularly for autistic individuals or others with neurodivergent traits (Westwood &amp; Tchanturia, 2017; Treasure et al., 2020). Policy makers should invest in early intervention services and reduce waiting times so that people can access specialist care before illness becomes chronic (NICE, 2017). Finally, more research is needed into the biological factors that contribute to anorexia nervosa, into factors that support long-term recovery, and into ways to deliver personalised treatment approaches that meet the needs of diverse individuals (Treasure, Duarte &amp; Schmidt, 2020).</w:t>
      </w:r>
    </w:p>
    <w:p w14:paraId="1AECE137" w14:textId="77777777" w:rsidR="008A6D32" w:rsidRPr="005A03C0" w:rsidRDefault="008A6D32" w:rsidP="00364E4A">
      <w:pPr>
        <w:pStyle w:val="NormalWeb"/>
        <w:rPr>
          <w:rFonts w:ascii="Arial" w:hAnsi="Arial" w:cs="Arial"/>
          <w:color w:val="000000"/>
        </w:rPr>
      </w:pPr>
    </w:p>
    <w:p w14:paraId="5360767F" w14:textId="3576BA58" w:rsidR="00293966" w:rsidRPr="00293966" w:rsidRDefault="008A6D32" w:rsidP="00293966">
      <w:pPr>
        <w:pStyle w:val="NormalWeb"/>
        <w:rPr>
          <w:rFonts w:ascii="Arial" w:hAnsi="Arial" w:cs="Arial"/>
          <w:b/>
          <w:bCs/>
          <w:color w:val="000000"/>
        </w:rPr>
      </w:pPr>
      <w:r w:rsidRPr="005A03C0">
        <w:rPr>
          <w:rFonts w:ascii="Arial" w:hAnsi="Arial" w:cs="Arial"/>
          <w:b/>
          <w:bCs/>
          <w:color w:val="000000"/>
        </w:rPr>
        <w:t>Conclusi</w:t>
      </w:r>
      <w:r w:rsidR="00C07E4E" w:rsidRPr="005A03C0">
        <w:rPr>
          <w:rFonts w:ascii="Arial" w:hAnsi="Arial" w:cs="Arial"/>
          <w:b/>
          <w:bCs/>
          <w:color w:val="000000"/>
        </w:rPr>
        <w:t>on</w:t>
      </w:r>
    </w:p>
    <w:p w14:paraId="36AECAFE" w14:textId="77777777" w:rsidR="00293966" w:rsidRPr="00293966" w:rsidRDefault="00293966" w:rsidP="00293966">
      <w:pPr>
        <w:pStyle w:val="NormalWeb"/>
        <w:rPr>
          <w:rFonts w:ascii="Arial" w:hAnsi="Arial" w:cs="Arial"/>
          <w:color w:val="000000"/>
        </w:rPr>
      </w:pPr>
      <w:r w:rsidRPr="00293966">
        <w:rPr>
          <w:rFonts w:ascii="Arial" w:hAnsi="Arial" w:cs="Arial"/>
          <w:color w:val="000000"/>
        </w:rPr>
        <w:t>Anorexia nervosa is a serious and complex eating disorder that affects a person’s physical health, mental wellbeing, and daily functioning. In ICD-11, it is classified as a feeding and eating disorder, with diagnostic criteria that allow clinicians to consider developmental stage, behaviours, and psychological features rather than relying only on strict weight cut-offs (World Health Organization, 2019). This flexible approach reflects a better understanding of the disorder, but challenges remain in how diagnosis and treatment are applied in practice.</w:t>
      </w:r>
    </w:p>
    <w:p w14:paraId="6AAE387B" w14:textId="77777777" w:rsidR="00293966" w:rsidRPr="00293966" w:rsidRDefault="00293966" w:rsidP="00293966">
      <w:pPr>
        <w:pStyle w:val="NormalWeb"/>
        <w:rPr>
          <w:rFonts w:ascii="Arial" w:hAnsi="Arial" w:cs="Arial"/>
          <w:color w:val="000000"/>
        </w:rPr>
      </w:pPr>
      <w:r w:rsidRPr="00293966">
        <w:rPr>
          <w:rFonts w:ascii="Arial" w:hAnsi="Arial" w:cs="Arial"/>
          <w:color w:val="000000"/>
        </w:rPr>
        <w:lastRenderedPageBreak/>
        <w:t>Current debates show that an over-focus on low body weight can delay diagnosis and treatment, particularly for people with atypical anorexia nervosa who experience severe distress without being underweight (Harrop et al., 2021). There is also increasing evidence that neurodivergent traits, especially autism, are more common in people with anorexia nervosa. Standard treatment models may not fully meet the needs of these individuals, highlighting the importance of neurodiversity-informed care (Westwood and Tchanturia, 2017).</w:t>
      </w:r>
    </w:p>
    <w:p w14:paraId="38B9A817" w14:textId="77777777" w:rsidR="00293966" w:rsidRPr="00293966" w:rsidRDefault="00293966" w:rsidP="00293966">
      <w:pPr>
        <w:pStyle w:val="NormalWeb"/>
        <w:rPr>
          <w:rFonts w:ascii="Arial" w:hAnsi="Arial" w:cs="Arial"/>
          <w:color w:val="000000"/>
        </w:rPr>
      </w:pPr>
      <w:r w:rsidRPr="00293966">
        <w:rPr>
          <w:rFonts w:ascii="Arial" w:hAnsi="Arial" w:cs="Arial"/>
          <w:color w:val="000000"/>
        </w:rPr>
        <w:t>Evidence-based treatments such as Family-Based Therapy for adolescents and Cognitive Behavioural Therapy-Enhanced for adults are effective for many people, especially when treatment starts early (NICE, 2017; Fairburn, 2008). However, high relapse rates, limited motivation, and unequal access to specialist services remain significant barriers to long-term recovery (Berends et al., 2018). Rehabilitation that focuses only on weight restoration is often not enough without continued psychological support and relapse-prevention planning.</w:t>
      </w:r>
    </w:p>
    <w:p w14:paraId="4572594A" w14:textId="77777777" w:rsidR="00293966" w:rsidRPr="00293966" w:rsidRDefault="00293966" w:rsidP="00293966">
      <w:pPr>
        <w:pStyle w:val="NormalWeb"/>
        <w:rPr>
          <w:rFonts w:ascii="Arial" w:hAnsi="Arial" w:cs="Arial"/>
          <w:color w:val="000000"/>
        </w:rPr>
      </w:pPr>
      <w:r w:rsidRPr="00293966">
        <w:rPr>
          <w:rFonts w:ascii="Arial" w:hAnsi="Arial" w:cs="Arial"/>
          <w:color w:val="000000"/>
        </w:rPr>
        <w:t>In conclusion, improving outcomes for anorexia nervosa requires changes in classification, diagnosis, treatment, and policy. Greater emphasis on psychological distress, early intervention, neurodiversity-informed care, and long-term support is essential. Continued research into biological factors and personalised treatment approaches will further strengthen care and improve recovery outcomes for individuals affected by this disorder (Treasure et al., 2020).</w:t>
      </w:r>
    </w:p>
    <w:p w14:paraId="22FC90D3" w14:textId="77777777" w:rsidR="00293966" w:rsidRPr="005A03C0" w:rsidRDefault="00293966" w:rsidP="00364E4A">
      <w:pPr>
        <w:pStyle w:val="NormalWeb"/>
        <w:rPr>
          <w:rFonts w:ascii="Arial" w:hAnsi="Arial" w:cs="Arial"/>
          <w:color w:val="000000"/>
        </w:rPr>
      </w:pPr>
    </w:p>
    <w:p w14:paraId="45A36524" w14:textId="77777777" w:rsidR="008A6D32" w:rsidRPr="005A03C0" w:rsidRDefault="008A6D32" w:rsidP="00364E4A">
      <w:pPr>
        <w:pStyle w:val="NormalWeb"/>
        <w:rPr>
          <w:rFonts w:ascii="Arial" w:hAnsi="Arial" w:cs="Arial"/>
          <w:color w:val="000000"/>
        </w:rPr>
      </w:pPr>
    </w:p>
    <w:p w14:paraId="4F7597D5" w14:textId="77777777" w:rsidR="008A6D32" w:rsidRDefault="008A6D32" w:rsidP="00364E4A">
      <w:pPr>
        <w:pStyle w:val="NormalWeb"/>
        <w:rPr>
          <w:rFonts w:ascii="Arial" w:hAnsi="Arial" w:cs="Arial"/>
          <w:color w:val="000000"/>
        </w:rPr>
      </w:pPr>
    </w:p>
    <w:p w14:paraId="01ACAC88" w14:textId="77777777" w:rsidR="007D0C66" w:rsidRDefault="007D0C66" w:rsidP="00364E4A">
      <w:pPr>
        <w:pStyle w:val="NormalWeb"/>
        <w:rPr>
          <w:rFonts w:ascii="Arial" w:hAnsi="Arial" w:cs="Arial"/>
          <w:color w:val="000000"/>
        </w:rPr>
      </w:pPr>
    </w:p>
    <w:p w14:paraId="7FB41485" w14:textId="77777777" w:rsidR="007D0C66" w:rsidRDefault="007D0C66" w:rsidP="00364E4A">
      <w:pPr>
        <w:pStyle w:val="NormalWeb"/>
        <w:rPr>
          <w:rFonts w:ascii="Arial" w:hAnsi="Arial" w:cs="Arial"/>
          <w:color w:val="000000"/>
        </w:rPr>
      </w:pPr>
    </w:p>
    <w:p w14:paraId="7DF75A06" w14:textId="77777777" w:rsidR="007D0C66" w:rsidRDefault="007D0C66" w:rsidP="00364E4A">
      <w:pPr>
        <w:pStyle w:val="NormalWeb"/>
        <w:rPr>
          <w:rFonts w:ascii="Arial" w:hAnsi="Arial" w:cs="Arial"/>
          <w:color w:val="000000"/>
        </w:rPr>
      </w:pPr>
    </w:p>
    <w:p w14:paraId="29166362" w14:textId="77777777" w:rsidR="007D0C66" w:rsidRDefault="007D0C66" w:rsidP="00364E4A">
      <w:pPr>
        <w:pStyle w:val="NormalWeb"/>
        <w:rPr>
          <w:rFonts w:ascii="Arial" w:hAnsi="Arial" w:cs="Arial"/>
          <w:color w:val="000000"/>
        </w:rPr>
      </w:pPr>
    </w:p>
    <w:p w14:paraId="2EF479AF" w14:textId="77777777" w:rsidR="007D0C66" w:rsidRDefault="007D0C66" w:rsidP="00364E4A">
      <w:pPr>
        <w:pStyle w:val="NormalWeb"/>
        <w:rPr>
          <w:rFonts w:ascii="Arial" w:hAnsi="Arial" w:cs="Arial"/>
          <w:color w:val="000000"/>
        </w:rPr>
      </w:pPr>
    </w:p>
    <w:p w14:paraId="65CD8EAC" w14:textId="77777777" w:rsidR="007D0C66" w:rsidRDefault="007D0C66" w:rsidP="00364E4A">
      <w:pPr>
        <w:pStyle w:val="NormalWeb"/>
        <w:rPr>
          <w:rFonts w:ascii="Arial" w:hAnsi="Arial" w:cs="Arial"/>
          <w:color w:val="000000"/>
        </w:rPr>
      </w:pPr>
    </w:p>
    <w:p w14:paraId="5821488B" w14:textId="77777777" w:rsidR="007D0C66" w:rsidRDefault="007D0C66" w:rsidP="00364E4A">
      <w:pPr>
        <w:pStyle w:val="NormalWeb"/>
        <w:rPr>
          <w:rFonts w:ascii="Arial" w:hAnsi="Arial" w:cs="Arial"/>
          <w:color w:val="000000"/>
        </w:rPr>
      </w:pPr>
    </w:p>
    <w:p w14:paraId="763387B7" w14:textId="77777777" w:rsidR="007D0C66" w:rsidRDefault="007D0C66" w:rsidP="00364E4A">
      <w:pPr>
        <w:pStyle w:val="NormalWeb"/>
        <w:rPr>
          <w:rFonts w:ascii="Arial" w:hAnsi="Arial" w:cs="Arial"/>
          <w:color w:val="000000"/>
        </w:rPr>
      </w:pPr>
    </w:p>
    <w:p w14:paraId="0B9F3F15" w14:textId="77777777" w:rsidR="007D0C66" w:rsidRDefault="007D0C66" w:rsidP="00364E4A">
      <w:pPr>
        <w:pStyle w:val="NormalWeb"/>
        <w:rPr>
          <w:rFonts w:ascii="Arial" w:hAnsi="Arial" w:cs="Arial"/>
          <w:color w:val="000000"/>
        </w:rPr>
      </w:pPr>
    </w:p>
    <w:p w14:paraId="7D773F43" w14:textId="77777777" w:rsidR="007D0C66" w:rsidRDefault="007D0C66" w:rsidP="00364E4A">
      <w:pPr>
        <w:pStyle w:val="NormalWeb"/>
        <w:rPr>
          <w:rFonts w:ascii="Arial" w:hAnsi="Arial" w:cs="Arial"/>
          <w:color w:val="000000"/>
        </w:rPr>
      </w:pPr>
    </w:p>
    <w:p w14:paraId="6845A017" w14:textId="77777777" w:rsidR="007D0C66" w:rsidRDefault="007D0C66" w:rsidP="00364E4A">
      <w:pPr>
        <w:pStyle w:val="NormalWeb"/>
        <w:rPr>
          <w:rFonts w:ascii="Arial" w:hAnsi="Arial" w:cs="Arial"/>
          <w:color w:val="000000"/>
        </w:rPr>
      </w:pPr>
    </w:p>
    <w:p w14:paraId="03B04DB5" w14:textId="77777777" w:rsidR="007D0C66" w:rsidRDefault="007D0C66" w:rsidP="00364E4A">
      <w:pPr>
        <w:pStyle w:val="NormalWeb"/>
        <w:rPr>
          <w:rFonts w:ascii="Arial" w:hAnsi="Arial" w:cs="Arial"/>
          <w:color w:val="000000"/>
        </w:rPr>
      </w:pPr>
    </w:p>
    <w:p w14:paraId="62E867D2" w14:textId="77777777" w:rsidR="007D0C66" w:rsidRDefault="007D0C66" w:rsidP="00364E4A">
      <w:pPr>
        <w:pStyle w:val="NormalWeb"/>
        <w:rPr>
          <w:rFonts w:ascii="Arial" w:hAnsi="Arial" w:cs="Arial"/>
          <w:color w:val="000000"/>
        </w:rPr>
      </w:pPr>
    </w:p>
    <w:p w14:paraId="464E4062" w14:textId="02CAC658" w:rsidR="008A6D32" w:rsidRPr="005A03C0" w:rsidRDefault="008A6D32" w:rsidP="00364E4A">
      <w:pPr>
        <w:pStyle w:val="NormalWeb"/>
        <w:rPr>
          <w:rFonts w:ascii="Arial" w:hAnsi="Arial" w:cs="Arial"/>
          <w:b/>
          <w:bCs/>
          <w:color w:val="000000"/>
        </w:rPr>
      </w:pPr>
      <w:r w:rsidRPr="005A03C0">
        <w:rPr>
          <w:rFonts w:ascii="Arial" w:hAnsi="Arial" w:cs="Arial"/>
          <w:b/>
          <w:bCs/>
          <w:color w:val="000000"/>
        </w:rPr>
        <w:lastRenderedPageBreak/>
        <w:t xml:space="preserve">References </w:t>
      </w:r>
    </w:p>
    <w:p w14:paraId="3C5DB422" w14:textId="77777777" w:rsidR="00A91959" w:rsidRPr="00866EDC" w:rsidRDefault="00A91959" w:rsidP="00A91959">
      <w:pPr>
        <w:pStyle w:val="NormalWeb"/>
        <w:rPr>
          <w:rFonts w:ascii="Arial" w:hAnsi="Arial" w:cs="Arial"/>
          <w:color w:val="000000"/>
        </w:rPr>
      </w:pPr>
      <w:r w:rsidRPr="00866EDC">
        <w:rPr>
          <w:rFonts w:ascii="Arial" w:hAnsi="Arial" w:cs="Arial"/>
          <w:color w:val="000000"/>
        </w:rPr>
        <w:t xml:space="preserve">Berends, T., Boonstra, N., van Elburg, A.A. and van den Berg, L. (2018) ‘Relapse in anorexia nervosa: A systematic review and meta-analysis’, </w:t>
      </w:r>
      <w:r w:rsidRPr="00866EDC">
        <w:rPr>
          <w:rFonts w:ascii="Arial" w:hAnsi="Arial" w:cs="Arial"/>
          <w:i/>
          <w:iCs/>
          <w:color w:val="000000"/>
        </w:rPr>
        <w:t>European Eating Disorders Review</w:t>
      </w:r>
      <w:r w:rsidRPr="00866EDC">
        <w:rPr>
          <w:rFonts w:ascii="Arial" w:hAnsi="Arial" w:cs="Arial"/>
          <w:color w:val="000000"/>
        </w:rPr>
        <w:t xml:space="preserve">. Available at: </w:t>
      </w:r>
      <w:hyperlink r:id="rId8" w:tgtFrame="_new" w:history="1">
        <w:r w:rsidRPr="00866EDC">
          <w:rPr>
            <w:rStyle w:val="Hyperlink"/>
            <w:rFonts w:ascii="Arial" w:hAnsi="Arial" w:cs="Arial"/>
          </w:rPr>
          <w:t>https://pubmed.ncbi.nlm.nih.gov/30113325/</w:t>
        </w:r>
      </w:hyperlink>
      <w:r w:rsidRPr="00866EDC">
        <w:rPr>
          <w:rFonts w:ascii="Arial" w:hAnsi="Arial" w:cs="Arial"/>
          <w:color w:val="000000"/>
        </w:rPr>
        <w:t xml:space="preserve"> (Accessed: 16 December 2025).</w:t>
      </w:r>
    </w:p>
    <w:p w14:paraId="4AF2D3EC" w14:textId="77777777" w:rsidR="00395708" w:rsidRPr="005A03C0" w:rsidRDefault="00395708" w:rsidP="00395708">
      <w:pPr>
        <w:pStyle w:val="NormalWeb"/>
        <w:rPr>
          <w:rFonts w:ascii="Arial" w:hAnsi="Arial" w:cs="Arial"/>
          <w:color w:val="000000"/>
        </w:rPr>
      </w:pPr>
      <w:r w:rsidRPr="00395708">
        <w:rPr>
          <w:rFonts w:ascii="Arial" w:hAnsi="Arial" w:cs="Arial"/>
          <w:color w:val="000000"/>
        </w:rPr>
        <w:t xml:space="preserve">Claudino, A.M. et al. (2019) ‘The classification of feeding and eating disorders in the ICD-11’. </w:t>
      </w:r>
      <w:r w:rsidRPr="00395708">
        <w:rPr>
          <w:rFonts w:ascii="Arial" w:hAnsi="Arial" w:cs="Arial"/>
          <w:i/>
          <w:iCs/>
          <w:color w:val="000000"/>
        </w:rPr>
        <w:t>BMC Medicine</w:t>
      </w:r>
      <w:r w:rsidRPr="00395708">
        <w:rPr>
          <w:rFonts w:ascii="Arial" w:hAnsi="Arial" w:cs="Arial"/>
          <w:color w:val="000000"/>
        </w:rPr>
        <w:t xml:space="preserve">. Available at: </w:t>
      </w:r>
      <w:hyperlink r:id="rId9" w:tgtFrame="_new" w:history="1">
        <w:r w:rsidRPr="00395708">
          <w:rPr>
            <w:rStyle w:val="Hyperlink"/>
            <w:rFonts w:ascii="Arial" w:hAnsi="Arial" w:cs="Arial"/>
          </w:rPr>
          <w:t>https://bmcmedicine.biomedcentral.com/articles/10.1186/s12916-019-1327-4</w:t>
        </w:r>
      </w:hyperlink>
      <w:r w:rsidRPr="00395708">
        <w:rPr>
          <w:rFonts w:ascii="Arial" w:hAnsi="Arial" w:cs="Arial"/>
          <w:color w:val="000000"/>
        </w:rPr>
        <w:t xml:space="preserve"> (Accessed: 9 December 2025).</w:t>
      </w:r>
    </w:p>
    <w:p w14:paraId="065B982D" w14:textId="77777777" w:rsidR="0046619E" w:rsidRPr="00866EDC" w:rsidRDefault="0046619E" w:rsidP="0046619E">
      <w:pPr>
        <w:pStyle w:val="NormalWeb"/>
        <w:rPr>
          <w:rFonts w:ascii="Arial" w:hAnsi="Arial" w:cs="Arial"/>
          <w:color w:val="000000"/>
        </w:rPr>
      </w:pPr>
      <w:r w:rsidRPr="00866EDC">
        <w:rPr>
          <w:rFonts w:ascii="Arial" w:hAnsi="Arial" w:cs="Arial"/>
          <w:color w:val="000000"/>
        </w:rPr>
        <w:t xml:space="preserve">Fairburn, C.G. (2008) </w:t>
      </w:r>
      <w:r w:rsidRPr="00866EDC">
        <w:rPr>
          <w:rFonts w:ascii="Arial" w:hAnsi="Arial" w:cs="Arial"/>
          <w:i/>
          <w:iCs/>
          <w:color w:val="000000"/>
        </w:rPr>
        <w:t xml:space="preserve">Cognitive </w:t>
      </w:r>
      <w:proofErr w:type="spellStart"/>
      <w:r w:rsidRPr="00866EDC">
        <w:rPr>
          <w:rFonts w:ascii="Arial" w:hAnsi="Arial" w:cs="Arial"/>
          <w:i/>
          <w:iCs/>
          <w:color w:val="000000"/>
        </w:rPr>
        <w:t>Behavior</w:t>
      </w:r>
      <w:proofErr w:type="spellEnd"/>
      <w:r w:rsidRPr="00866EDC">
        <w:rPr>
          <w:rFonts w:ascii="Arial" w:hAnsi="Arial" w:cs="Arial"/>
          <w:i/>
          <w:iCs/>
          <w:color w:val="000000"/>
        </w:rPr>
        <w:t xml:space="preserve"> Therapy and Eating Disorders</w:t>
      </w:r>
      <w:r w:rsidRPr="00866EDC">
        <w:rPr>
          <w:rFonts w:ascii="Arial" w:hAnsi="Arial" w:cs="Arial"/>
          <w:color w:val="000000"/>
        </w:rPr>
        <w:t>. New York: Guilford Press. Available at: https://www.guilford.com/books/Cognitive-Behavior-Therapy-and-Eating-Disorders/Christopher-Fairburn/9781609184964 (Accessed: 16 December 2025).</w:t>
      </w:r>
    </w:p>
    <w:p w14:paraId="02E9A495" w14:textId="77777777" w:rsidR="0046619E" w:rsidRPr="00866EDC" w:rsidRDefault="0046619E" w:rsidP="0046619E">
      <w:pPr>
        <w:pStyle w:val="NormalWeb"/>
        <w:rPr>
          <w:rFonts w:ascii="Arial" w:hAnsi="Arial" w:cs="Arial"/>
          <w:color w:val="000000"/>
        </w:rPr>
      </w:pPr>
      <w:r w:rsidRPr="00866EDC">
        <w:rPr>
          <w:rFonts w:ascii="Arial" w:hAnsi="Arial" w:cs="Arial"/>
          <w:color w:val="000000"/>
          <w:lang w:val="nl-NL"/>
        </w:rPr>
        <w:t xml:space="preserve">Harrop, E.N., Mensinger, J.L. and et al. </w:t>
      </w:r>
      <w:r w:rsidRPr="00866EDC">
        <w:rPr>
          <w:rFonts w:ascii="Arial" w:hAnsi="Arial" w:cs="Arial"/>
          <w:color w:val="000000"/>
        </w:rPr>
        <w:t xml:space="preserve">(2021) ‘Restrictive eating disorders in higher weight persons: A systematic review of atypical anorexia nervosa’, </w:t>
      </w:r>
      <w:r w:rsidRPr="00866EDC">
        <w:rPr>
          <w:rFonts w:ascii="Arial" w:hAnsi="Arial" w:cs="Arial"/>
          <w:i/>
          <w:iCs/>
          <w:color w:val="000000"/>
        </w:rPr>
        <w:t>International Journal of Eating Disorders</w:t>
      </w:r>
      <w:r w:rsidRPr="00866EDC">
        <w:rPr>
          <w:rFonts w:ascii="Arial" w:hAnsi="Arial" w:cs="Arial"/>
          <w:color w:val="000000"/>
        </w:rPr>
        <w:t>. Available at: https://www.ncbi.nlm.nih.gov/pmc/articles/PMC9035356/ (Accessed: 16 December 2025).</w:t>
      </w:r>
    </w:p>
    <w:p w14:paraId="60B8DD00" w14:textId="77777777" w:rsidR="00395708" w:rsidRPr="00395708" w:rsidRDefault="00395708" w:rsidP="00395708">
      <w:pPr>
        <w:pStyle w:val="NormalWeb"/>
        <w:rPr>
          <w:rFonts w:ascii="Arial" w:hAnsi="Arial" w:cs="Arial"/>
          <w:color w:val="000000"/>
        </w:rPr>
      </w:pPr>
      <w:r w:rsidRPr="00395708">
        <w:rPr>
          <w:rFonts w:ascii="Arial" w:hAnsi="Arial" w:cs="Arial"/>
          <w:color w:val="000000"/>
        </w:rPr>
        <w:t xml:space="preserve">Lock, J. and Le Grange, D. (2020) </w:t>
      </w:r>
      <w:r w:rsidRPr="00395708">
        <w:rPr>
          <w:rFonts w:ascii="Arial" w:hAnsi="Arial" w:cs="Arial"/>
          <w:i/>
          <w:iCs/>
          <w:color w:val="000000"/>
        </w:rPr>
        <w:t>Family-Based Treatment for Eating Disorders</w:t>
      </w:r>
      <w:r w:rsidRPr="00395708">
        <w:rPr>
          <w:rFonts w:ascii="Arial" w:hAnsi="Arial" w:cs="Arial"/>
          <w:color w:val="000000"/>
        </w:rPr>
        <w:t>. Guilford Press. Available at: https://www.guilford.com/books/Family-Based-Treatment-for-Eating-Disorders/Janet-Treasure/9781462546890 (Accessed: 9 December 2025).</w:t>
      </w:r>
    </w:p>
    <w:p w14:paraId="2F0321CB" w14:textId="77777777" w:rsidR="00395708" w:rsidRPr="00395708" w:rsidRDefault="00395708" w:rsidP="00395708">
      <w:pPr>
        <w:pStyle w:val="NormalWeb"/>
        <w:rPr>
          <w:rFonts w:ascii="Arial" w:hAnsi="Arial" w:cs="Arial"/>
          <w:color w:val="000000"/>
        </w:rPr>
      </w:pPr>
      <w:proofErr w:type="spellStart"/>
      <w:r w:rsidRPr="00395708">
        <w:rPr>
          <w:rFonts w:ascii="Arial" w:hAnsi="Arial" w:cs="Arial"/>
          <w:color w:val="000000"/>
        </w:rPr>
        <w:t>MRCPsych</w:t>
      </w:r>
      <w:proofErr w:type="spellEnd"/>
      <w:r w:rsidRPr="00395708">
        <w:rPr>
          <w:rFonts w:ascii="Arial" w:hAnsi="Arial" w:cs="Arial"/>
          <w:color w:val="000000"/>
        </w:rPr>
        <w:t xml:space="preserve"> (Royal College of Psychiatrists) (2022) ‘ICD-11 criteria and treatment guidance for anorexia nervosa’. Available at: </w:t>
      </w:r>
      <w:hyperlink r:id="rId10" w:tgtFrame="_new" w:history="1">
        <w:r w:rsidRPr="00395708">
          <w:rPr>
            <w:rStyle w:val="Hyperlink"/>
            <w:rFonts w:ascii="Arial" w:hAnsi="Arial" w:cs="Arial"/>
          </w:rPr>
          <w:t>https://www.mrcpsych.uk/2022/05/icd-11-criteria-for-anorexia-nervosa.html</w:t>
        </w:r>
      </w:hyperlink>
      <w:r w:rsidRPr="00395708">
        <w:rPr>
          <w:rFonts w:ascii="Arial" w:hAnsi="Arial" w:cs="Arial"/>
          <w:color w:val="000000"/>
        </w:rPr>
        <w:t xml:space="preserve"> (Accessed: 9 December 2025).</w:t>
      </w:r>
    </w:p>
    <w:p w14:paraId="26DF6A3A"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 xml:space="preserve">Murphy, R. (2010) ‘Cognitive behavioural therapy for eating disorders’, </w:t>
      </w:r>
      <w:r w:rsidRPr="00866EDC">
        <w:rPr>
          <w:rFonts w:ascii="Arial" w:hAnsi="Arial" w:cs="Arial"/>
          <w:i/>
          <w:iCs/>
          <w:color w:val="000000"/>
        </w:rPr>
        <w:t>Advances in Psychiatric Treatment</w:t>
      </w:r>
      <w:r w:rsidRPr="00866EDC">
        <w:rPr>
          <w:rFonts w:ascii="Arial" w:hAnsi="Arial" w:cs="Arial"/>
          <w:color w:val="000000"/>
        </w:rPr>
        <w:t xml:space="preserve">. Available at: </w:t>
      </w:r>
      <w:hyperlink r:id="rId11" w:tgtFrame="_new" w:history="1">
        <w:r w:rsidRPr="00866EDC">
          <w:rPr>
            <w:rStyle w:val="Hyperlink"/>
            <w:rFonts w:ascii="Arial" w:hAnsi="Arial" w:cs="Arial"/>
          </w:rPr>
          <w:t>https://www.ncbi.nlm.nih.gov/pmc/articles/PMC2928448/</w:t>
        </w:r>
      </w:hyperlink>
      <w:r w:rsidRPr="00866EDC">
        <w:rPr>
          <w:rFonts w:ascii="Arial" w:hAnsi="Arial" w:cs="Arial"/>
          <w:color w:val="000000"/>
        </w:rPr>
        <w:t xml:space="preserve"> (Accessed: 16 December 2025).</w:t>
      </w:r>
    </w:p>
    <w:p w14:paraId="63FAEF29"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NICE (National Institute for Health and Care Excellence) (2017) ‘</w:t>
      </w:r>
      <w:proofErr w:type="gramStart"/>
      <w:r w:rsidRPr="00866EDC">
        <w:rPr>
          <w:rFonts w:ascii="Arial" w:hAnsi="Arial" w:cs="Arial"/>
          <w:color w:val="000000"/>
        </w:rPr>
        <w:t>Eating disorders</w:t>
      </w:r>
      <w:proofErr w:type="gramEnd"/>
      <w:r w:rsidRPr="00866EDC">
        <w:rPr>
          <w:rFonts w:ascii="Arial" w:hAnsi="Arial" w:cs="Arial"/>
          <w:color w:val="000000"/>
        </w:rPr>
        <w:t xml:space="preserve">: recognition and treatment (NG69)’. Available at: </w:t>
      </w:r>
      <w:hyperlink r:id="rId12" w:tgtFrame="_new" w:history="1">
        <w:r w:rsidRPr="00866EDC">
          <w:rPr>
            <w:rStyle w:val="Hyperlink"/>
            <w:rFonts w:ascii="Arial" w:hAnsi="Arial" w:cs="Arial"/>
          </w:rPr>
          <w:t>https://www.nice.org.uk/guidance/ng69</w:t>
        </w:r>
      </w:hyperlink>
      <w:r w:rsidRPr="00866EDC">
        <w:rPr>
          <w:rFonts w:ascii="Arial" w:hAnsi="Arial" w:cs="Arial"/>
          <w:color w:val="000000"/>
        </w:rPr>
        <w:t xml:space="preserve"> (Accessed: 16 December 2025).</w:t>
      </w:r>
    </w:p>
    <w:p w14:paraId="2CB5EBA9"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 xml:space="preserve">Rienecke, R.D. (2017) ‘Family-based treatment of eating disorders in adolescents: Current findings and future directions’, </w:t>
      </w:r>
      <w:r w:rsidRPr="00866EDC">
        <w:rPr>
          <w:rFonts w:ascii="Arial" w:hAnsi="Arial" w:cs="Arial"/>
          <w:i/>
          <w:iCs/>
          <w:color w:val="000000"/>
        </w:rPr>
        <w:t>Adolescent Health, Medicine and Therapeutics</w:t>
      </w:r>
      <w:r w:rsidRPr="00866EDC">
        <w:rPr>
          <w:rFonts w:ascii="Arial" w:hAnsi="Arial" w:cs="Arial"/>
          <w:color w:val="000000"/>
        </w:rPr>
        <w:t>. Available at: https://www.dovepress.com/family-based-treatment-of-eating-disorders-in-adolescents-current-ins-peer-reviewed-fulltext-article-AHMT (Accessed: 16 December 2025).</w:t>
      </w:r>
    </w:p>
    <w:p w14:paraId="5A1E7E38"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 xml:space="preserve">Sala, M., et al. (2023) ‘Predictors of relapse in eating disorders: A meta-analysis’, </w:t>
      </w:r>
      <w:r w:rsidRPr="00866EDC">
        <w:rPr>
          <w:rFonts w:ascii="Arial" w:hAnsi="Arial" w:cs="Arial"/>
          <w:i/>
          <w:iCs/>
          <w:color w:val="000000"/>
        </w:rPr>
        <w:t>Journal of Psychiatric Research</w:t>
      </w:r>
      <w:r w:rsidRPr="00866EDC">
        <w:rPr>
          <w:rFonts w:ascii="Arial" w:hAnsi="Arial" w:cs="Arial"/>
          <w:color w:val="000000"/>
        </w:rPr>
        <w:t xml:space="preserve">. Available at: </w:t>
      </w:r>
      <w:hyperlink r:id="rId13" w:tgtFrame="_new" w:history="1">
        <w:r w:rsidRPr="00866EDC">
          <w:rPr>
            <w:rStyle w:val="Hyperlink"/>
            <w:rFonts w:ascii="Arial" w:hAnsi="Arial" w:cs="Arial"/>
          </w:rPr>
          <w:t>https://www.sciencedirect.com/science/article/abs/pii/S002239562300002X</w:t>
        </w:r>
      </w:hyperlink>
      <w:r w:rsidRPr="00866EDC">
        <w:rPr>
          <w:rFonts w:ascii="Arial" w:hAnsi="Arial" w:cs="Arial"/>
          <w:color w:val="000000"/>
        </w:rPr>
        <w:t xml:space="preserve"> (Accessed: 16 December 2025).</w:t>
      </w:r>
    </w:p>
    <w:p w14:paraId="5EDD23A7"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 xml:space="preserve">Treasure, J., Duarte, T.A. and Schmidt, U. (2020) ‘Eating disorders’, </w:t>
      </w:r>
      <w:r w:rsidRPr="00866EDC">
        <w:rPr>
          <w:rFonts w:ascii="Arial" w:hAnsi="Arial" w:cs="Arial"/>
          <w:i/>
          <w:iCs/>
          <w:color w:val="000000"/>
        </w:rPr>
        <w:t>The Lancet</w:t>
      </w:r>
      <w:r w:rsidRPr="00866EDC">
        <w:rPr>
          <w:rFonts w:ascii="Arial" w:hAnsi="Arial" w:cs="Arial"/>
          <w:color w:val="000000"/>
        </w:rPr>
        <w:t>. Available at: https://www.thelancet.com/journals/lancet/article/PIIS0140-6736(20)30059-3/fulltext (Accessed: 16 December 2025).</w:t>
      </w:r>
    </w:p>
    <w:p w14:paraId="64AD9A6D" w14:textId="77777777" w:rsidR="00866EDC" w:rsidRPr="00866EDC" w:rsidRDefault="00866EDC" w:rsidP="00866EDC">
      <w:pPr>
        <w:pStyle w:val="NormalWeb"/>
        <w:rPr>
          <w:rFonts w:ascii="Arial" w:hAnsi="Arial" w:cs="Arial"/>
          <w:color w:val="000000"/>
        </w:rPr>
      </w:pPr>
      <w:r w:rsidRPr="00866EDC">
        <w:rPr>
          <w:rFonts w:ascii="Arial" w:hAnsi="Arial" w:cs="Arial"/>
          <w:color w:val="000000"/>
        </w:rPr>
        <w:lastRenderedPageBreak/>
        <w:t>Westwood, H. and Tchanturia, K. (2017) ‘</w:t>
      </w:r>
      <w:proofErr w:type="gramStart"/>
      <w:r w:rsidRPr="00866EDC">
        <w:rPr>
          <w:rFonts w:ascii="Arial" w:hAnsi="Arial" w:cs="Arial"/>
          <w:color w:val="000000"/>
        </w:rPr>
        <w:t>Autism spectrum disorder</w:t>
      </w:r>
      <w:proofErr w:type="gramEnd"/>
      <w:r w:rsidRPr="00866EDC">
        <w:rPr>
          <w:rFonts w:ascii="Arial" w:hAnsi="Arial" w:cs="Arial"/>
          <w:color w:val="000000"/>
        </w:rPr>
        <w:t xml:space="preserve"> in anorexia nervosa’, </w:t>
      </w:r>
      <w:r w:rsidRPr="00866EDC">
        <w:rPr>
          <w:rFonts w:ascii="Arial" w:hAnsi="Arial" w:cs="Arial"/>
          <w:i/>
          <w:iCs/>
          <w:color w:val="000000"/>
        </w:rPr>
        <w:t>European Eating Disorders Review</w:t>
      </w:r>
      <w:r w:rsidRPr="00866EDC">
        <w:rPr>
          <w:rFonts w:ascii="Arial" w:hAnsi="Arial" w:cs="Arial"/>
          <w:color w:val="000000"/>
        </w:rPr>
        <w:t xml:space="preserve">. Available at: </w:t>
      </w:r>
      <w:hyperlink r:id="rId14" w:tgtFrame="_new" w:history="1">
        <w:r w:rsidRPr="00866EDC">
          <w:rPr>
            <w:rStyle w:val="Hyperlink"/>
            <w:rFonts w:ascii="Arial" w:hAnsi="Arial" w:cs="Arial"/>
          </w:rPr>
          <w:t>https://pubmed.ncbi.nlm.nih.gov/28540593/</w:t>
        </w:r>
      </w:hyperlink>
      <w:r w:rsidRPr="00866EDC">
        <w:rPr>
          <w:rFonts w:ascii="Arial" w:hAnsi="Arial" w:cs="Arial"/>
          <w:color w:val="000000"/>
        </w:rPr>
        <w:t xml:space="preserve"> (Accessed: 16 December 2025).</w:t>
      </w:r>
    </w:p>
    <w:p w14:paraId="730A42DA" w14:textId="77777777" w:rsidR="00866EDC" w:rsidRPr="00866EDC" w:rsidRDefault="00866EDC" w:rsidP="00866EDC">
      <w:pPr>
        <w:pStyle w:val="NormalWeb"/>
        <w:rPr>
          <w:rFonts w:ascii="Arial" w:hAnsi="Arial" w:cs="Arial"/>
          <w:color w:val="000000"/>
        </w:rPr>
      </w:pPr>
      <w:r w:rsidRPr="00866EDC">
        <w:rPr>
          <w:rFonts w:ascii="Arial" w:hAnsi="Arial" w:cs="Arial"/>
          <w:color w:val="000000"/>
        </w:rPr>
        <w:t xml:space="preserve">World Health Organization (2019) </w:t>
      </w:r>
      <w:r w:rsidRPr="00866EDC">
        <w:rPr>
          <w:rFonts w:ascii="Arial" w:hAnsi="Arial" w:cs="Arial"/>
          <w:i/>
          <w:iCs/>
          <w:color w:val="000000"/>
        </w:rPr>
        <w:t>ICD-11: International Classification of Diseases 11th Revision</w:t>
      </w:r>
      <w:r w:rsidRPr="00866EDC">
        <w:rPr>
          <w:rFonts w:ascii="Arial" w:hAnsi="Arial" w:cs="Arial"/>
          <w:color w:val="000000"/>
        </w:rPr>
        <w:t xml:space="preserve"> (online browser). Available at: </w:t>
      </w:r>
      <w:hyperlink r:id="rId15" w:tgtFrame="_new" w:history="1">
        <w:r w:rsidRPr="00866EDC">
          <w:rPr>
            <w:rStyle w:val="Hyperlink"/>
            <w:rFonts w:ascii="Arial" w:hAnsi="Arial" w:cs="Arial"/>
          </w:rPr>
          <w:t>https://icd.who.int/</w:t>
        </w:r>
      </w:hyperlink>
      <w:r w:rsidRPr="00866EDC">
        <w:rPr>
          <w:rFonts w:ascii="Arial" w:hAnsi="Arial" w:cs="Arial"/>
          <w:color w:val="000000"/>
        </w:rPr>
        <w:t xml:space="preserve"> (Accessed: 16 December 2025).</w:t>
      </w:r>
    </w:p>
    <w:p w14:paraId="6BB39DAD" w14:textId="77777777" w:rsidR="00866EDC" w:rsidRPr="005A03C0" w:rsidRDefault="00866EDC" w:rsidP="00866EDC">
      <w:pPr>
        <w:pStyle w:val="NormalWeb"/>
        <w:rPr>
          <w:rFonts w:ascii="Arial" w:hAnsi="Arial" w:cs="Arial"/>
          <w:color w:val="000000"/>
        </w:rPr>
      </w:pPr>
      <w:r w:rsidRPr="00866EDC">
        <w:rPr>
          <w:rFonts w:ascii="Arial" w:hAnsi="Arial" w:cs="Arial"/>
          <w:color w:val="000000"/>
        </w:rPr>
        <w:t xml:space="preserve">World Health Organization (2024) </w:t>
      </w:r>
      <w:r w:rsidRPr="00866EDC">
        <w:rPr>
          <w:rFonts w:ascii="Arial" w:hAnsi="Arial" w:cs="Arial"/>
          <w:i/>
          <w:iCs/>
          <w:color w:val="000000"/>
        </w:rPr>
        <w:t>Clinical descriptions and diagnostic requirements for ICD-11 mental, behavioural and neurodevelopmental disorders</w:t>
      </w:r>
      <w:r w:rsidRPr="00866EDC">
        <w:rPr>
          <w:rFonts w:ascii="Arial" w:hAnsi="Arial" w:cs="Arial"/>
          <w:color w:val="000000"/>
        </w:rPr>
        <w:t xml:space="preserve"> (CDDR). Available at: </w:t>
      </w:r>
      <w:hyperlink r:id="rId16" w:tgtFrame="_new" w:history="1">
        <w:r w:rsidRPr="00866EDC">
          <w:rPr>
            <w:rStyle w:val="Hyperlink"/>
            <w:rFonts w:ascii="Arial" w:hAnsi="Arial" w:cs="Arial"/>
          </w:rPr>
          <w:t>https://www.who.int/publications/i/item/9789240077263</w:t>
        </w:r>
      </w:hyperlink>
      <w:r w:rsidRPr="00866EDC">
        <w:rPr>
          <w:rFonts w:ascii="Arial" w:hAnsi="Arial" w:cs="Arial"/>
          <w:color w:val="000000"/>
        </w:rPr>
        <w:t xml:space="preserve"> (Accessed: 16 December 2025).</w:t>
      </w:r>
    </w:p>
    <w:p w14:paraId="3C87949E" w14:textId="77777777" w:rsidR="00A24D46" w:rsidRPr="00866EDC" w:rsidRDefault="00A24D46" w:rsidP="00866EDC">
      <w:pPr>
        <w:pStyle w:val="NormalWeb"/>
        <w:rPr>
          <w:rFonts w:ascii="Arial" w:hAnsi="Arial" w:cs="Arial"/>
          <w:color w:val="000000"/>
        </w:rPr>
      </w:pPr>
    </w:p>
    <w:p w14:paraId="64B4F90C" w14:textId="3D2B1D94" w:rsidR="00866EDC" w:rsidRPr="00866EDC" w:rsidRDefault="00866EDC" w:rsidP="00866EDC">
      <w:pPr>
        <w:pStyle w:val="NormalWeb"/>
        <w:rPr>
          <w:rFonts w:ascii="Arial" w:hAnsi="Arial" w:cs="Arial"/>
          <w:color w:val="000000"/>
        </w:rPr>
      </w:pPr>
    </w:p>
    <w:p w14:paraId="3992D837" w14:textId="77777777" w:rsidR="00395708" w:rsidRPr="00395708" w:rsidRDefault="00395708" w:rsidP="00395708">
      <w:pPr>
        <w:pStyle w:val="NormalWeb"/>
        <w:rPr>
          <w:rFonts w:ascii="Arial" w:hAnsi="Arial" w:cs="Arial"/>
          <w:b/>
          <w:bCs/>
          <w:vanish/>
          <w:color w:val="000000"/>
        </w:rPr>
      </w:pPr>
      <w:r w:rsidRPr="00395708">
        <w:rPr>
          <w:rFonts w:ascii="Arial" w:hAnsi="Arial" w:cs="Arial"/>
          <w:b/>
          <w:bCs/>
          <w:vanish/>
          <w:color w:val="000000"/>
        </w:rPr>
        <w:t>Top of Form</w:t>
      </w:r>
    </w:p>
    <w:p w14:paraId="517D7EF6" w14:textId="77777777" w:rsidR="00395708" w:rsidRPr="00395708" w:rsidRDefault="00395708" w:rsidP="00395708">
      <w:pPr>
        <w:pStyle w:val="NormalWeb"/>
        <w:rPr>
          <w:rFonts w:ascii="Arial" w:hAnsi="Arial" w:cs="Arial"/>
          <w:b/>
          <w:bCs/>
          <w:vanish/>
          <w:color w:val="000000"/>
        </w:rPr>
      </w:pPr>
      <w:r w:rsidRPr="00395708">
        <w:rPr>
          <w:rFonts w:ascii="Arial" w:hAnsi="Arial" w:cs="Arial"/>
          <w:b/>
          <w:bCs/>
          <w:vanish/>
          <w:color w:val="000000"/>
        </w:rPr>
        <w:t>Bottom of Form</w:t>
      </w:r>
    </w:p>
    <w:p w14:paraId="55FE8B68" w14:textId="77777777" w:rsidR="00395708" w:rsidRPr="005A03C0" w:rsidRDefault="00395708" w:rsidP="00364E4A">
      <w:pPr>
        <w:pStyle w:val="NormalWeb"/>
        <w:rPr>
          <w:rFonts w:ascii="Arial" w:hAnsi="Arial" w:cs="Arial"/>
          <w:b/>
          <w:bCs/>
          <w:color w:val="000000"/>
        </w:rPr>
      </w:pPr>
    </w:p>
    <w:sectPr w:rsidR="00395708" w:rsidRPr="005A03C0">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84553" w14:textId="77777777" w:rsidR="00685AD5" w:rsidRDefault="00685AD5" w:rsidP="000264A1">
      <w:pPr>
        <w:spacing w:after="0" w:line="240" w:lineRule="auto"/>
      </w:pPr>
      <w:r>
        <w:separator/>
      </w:r>
    </w:p>
  </w:endnote>
  <w:endnote w:type="continuationSeparator" w:id="0">
    <w:p w14:paraId="556172C8" w14:textId="77777777" w:rsidR="00685AD5" w:rsidRDefault="00685AD5"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93485" w14:textId="77777777" w:rsidR="00685AD5" w:rsidRDefault="00685AD5" w:rsidP="000264A1">
      <w:pPr>
        <w:spacing w:after="0" w:line="240" w:lineRule="auto"/>
      </w:pPr>
      <w:r>
        <w:separator/>
      </w:r>
    </w:p>
  </w:footnote>
  <w:footnote w:type="continuationSeparator" w:id="0">
    <w:p w14:paraId="6390D219" w14:textId="77777777" w:rsidR="00685AD5" w:rsidRDefault="00685AD5"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34230"/>
    <w:multiLevelType w:val="multilevel"/>
    <w:tmpl w:val="C0AE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6B10B4"/>
    <w:multiLevelType w:val="multilevel"/>
    <w:tmpl w:val="158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317BA0"/>
    <w:multiLevelType w:val="multilevel"/>
    <w:tmpl w:val="09E8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8A2868"/>
    <w:multiLevelType w:val="multilevel"/>
    <w:tmpl w:val="D60A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B1607D"/>
    <w:multiLevelType w:val="hybridMultilevel"/>
    <w:tmpl w:val="99ACDAF0"/>
    <w:lvl w:ilvl="0" w:tplc="0809000F">
      <w:start w:val="1"/>
      <w:numFmt w:val="decimal"/>
      <w:lvlText w:val="%1."/>
      <w:lvlJc w:val="left"/>
      <w:pPr>
        <w:ind w:left="720" w:hanging="360"/>
      </w:pPr>
    </w:lvl>
    <w:lvl w:ilvl="1" w:tplc="4B1C0816">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EF6BA7"/>
    <w:multiLevelType w:val="multilevel"/>
    <w:tmpl w:val="8D4C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891116">
    <w:abstractNumId w:val="4"/>
  </w:num>
  <w:num w:numId="2" w16cid:durableId="677081268">
    <w:abstractNumId w:val="3"/>
  </w:num>
  <w:num w:numId="3" w16cid:durableId="360740722">
    <w:abstractNumId w:val="5"/>
  </w:num>
  <w:num w:numId="4" w16cid:durableId="618607295">
    <w:abstractNumId w:val="2"/>
  </w:num>
  <w:num w:numId="5" w16cid:durableId="1531454320">
    <w:abstractNumId w:val="0"/>
  </w:num>
  <w:num w:numId="6" w16cid:durableId="1972050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5EC1"/>
    <w:rsid w:val="000264A1"/>
    <w:rsid w:val="00060FB4"/>
    <w:rsid w:val="000806C6"/>
    <w:rsid w:val="000947A9"/>
    <w:rsid w:val="000F5E9E"/>
    <w:rsid w:val="00110CBE"/>
    <w:rsid w:val="00197629"/>
    <w:rsid w:val="001B2BC2"/>
    <w:rsid w:val="00222D04"/>
    <w:rsid w:val="002301D7"/>
    <w:rsid w:val="00240E69"/>
    <w:rsid w:val="00242C20"/>
    <w:rsid w:val="00282896"/>
    <w:rsid w:val="00293966"/>
    <w:rsid w:val="00364E4A"/>
    <w:rsid w:val="00395708"/>
    <w:rsid w:val="003C58D6"/>
    <w:rsid w:val="003E07D0"/>
    <w:rsid w:val="004569E0"/>
    <w:rsid w:val="00461FB6"/>
    <w:rsid w:val="0046619E"/>
    <w:rsid w:val="00490DC2"/>
    <w:rsid w:val="004A7C3E"/>
    <w:rsid w:val="004E4968"/>
    <w:rsid w:val="00543AD7"/>
    <w:rsid w:val="00553BD4"/>
    <w:rsid w:val="005553CB"/>
    <w:rsid w:val="00556503"/>
    <w:rsid w:val="00576E42"/>
    <w:rsid w:val="005778D2"/>
    <w:rsid w:val="00581008"/>
    <w:rsid w:val="005A03C0"/>
    <w:rsid w:val="00637171"/>
    <w:rsid w:val="0065644F"/>
    <w:rsid w:val="00684A9F"/>
    <w:rsid w:val="00685AD5"/>
    <w:rsid w:val="006A0711"/>
    <w:rsid w:val="006B6471"/>
    <w:rsid w:val="006D5068"/>
    <w:rsid w:val="00722ABC"/>
    <w:rsid w:val="00747700"/>
    <w:rsid w:val="00764D5A"/>
    <w:rsid w:val="007C6D13"/>
    <w:rsid w:val="007D032D"/>
    <w:rsid w:val="007D0C66"/>
    <w:rsid w:val="00830EB7"/>
    <w:rsid w:val="00843325"/>
    <w:rsid w:val="00851059"/>
    <w:rsid w:val="00866EDC"/>
    <w:rsid w:val="00877B2E"/>
    <w:rsid w:val="00881E35"/>
    <w:rsid w:val="008A6D32"/>
    <w:rsid w:val="008C7F82"/>
    <w:rsid w:val="008D112E"/>
    <w:rsid w:val="008D56EB"/>
    <w:rsid w:val="008E5900"/>
    <w:rsid w:val="008F3122"/>
    <w:rsid w:val="00922513"/>
    <w:rsid w:val="00965540"/>
    <w:rsid w:val="00967EE1"/>
    <w:rsid w:val="00982249"/>
    <w:rsid w:val="0099552C"/>
    <w:rsid w:val="00A11F5E"/>
    <w:rsid w:val="00A24D46"/>
    <w:rsid w:val="00A668C1"/>
    <w:rsid w:val="00A73DF4"/>
    <w:rsid w:val="00A82444"/>
    <w:rsid w:val="00A91959"/>
    <w:rsid w:val="00A955EF"/>
    <w:rsid w:val="00AA229B"/>
    <w:rsid w:val="00AA25A2"/>
    <w:rsid w:val="00AA30FD"/>
    <w:rsid w:val="00AA64CA"/>
    <w:rsid w:val="00AD1CF4"/>
    <w:rsid w:val="00B01CAD"/>
    <w:rsid w:val="00B461BE"/>
    <w:rsid w:val="00B67B8D"/>
    <w:rsid w:val="00B8689A"/>
    <w:rsid w:val="00BD1623"/>
    <w:rsid w:val="00BD1B1C"/>
    <w:rsid w:val="00C07E4E"/>
    <w:rsid w:val="00C61EE0"/>
    <w:rsid w:val="00C63B06"/>
    <w:rsid w:val="00C819F6"/>
    <w:rsid w:val="00CD5035"/>
    <w:rsid w:val="00CE5F5B"/>
    <w:rsid w:val="00CF318D"/>
    <w:rsid w:val="00DA035D"/>
    <w:rsid w:val="00DB0524"/>
    <w:rsid w:val="00DE18C5"/>
    <w:rsid w:val="00DE5697"/>
    <w:rsid w:val="00DF728E"/>
    <w:rsid w:val="00E75269"/>
    <w:rsid w:val="00E7625B"/>
    <w:rsid w:val="00EB3C9F"/>
    <w:rsid w:val="00EB41D0"/>
    <w:rsid w:val="00EC2FEC"/>
    <w:rsid w:val="00F02B21"/>
    <w:rsid w:val="00F07674"/>
    <w:rsid w:val="00F126C1"/>
    <w:rsid w:val="00F13EDF"/>
    <w:rsid w:val="00F309AA"/>
    <w:rsid w:val="00F5782F"/>
    <w:rsid w:val="00F71414"/>
    <w:rsid w:val="00FF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8C1"/>
  </w:style>
  <w:style w:type="paragraph" w:styleId="Heading1">
    <w:name w:val="heading 1"/>
    <w:basedOn w:val="Normal"/>
    <w:next w:val="Normal"/>
    <w:link w:val="Heading1Char"/>
    <w:uiPriority w:val="9"/>
    <w:qFormat/>
    <w:rsid w:val="00A668C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A668C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8C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8C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A668C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A668C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A668C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A668C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A668C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8C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A668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8C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8C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A668C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A668C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A668C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A668C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A668C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A668C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A668C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A668C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A668C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A668C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A668C1"/>
    <w:rPr>
      <w:color w:val="0E2841" w:themeColor="text2"/>
      <w:sz w:val="24"/>
      <w:szCs w:val="24"/>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A668C1"/>
    <w:rPr>
      <w:b/>
      <w:bCs/>
      <w:i/>
      <w:iCs/>
    </w:rPr>
  </w:style>
  <w:style w:type="paragraph" w:styleId="IntenseQuote">
    <w:name w:val="Intense Quote"/>
    <w:basedOn w:val="Normal"/>
    <w:next w:val="Normal"/>
    <w:link w:val="IntenseQuoteChar"/>
    <w:uiPriority w:val="30"/>
    <w:qFormat/>
    <w:rsid w:val="00A668C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A668C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A668C1"/>
    <w:rPr>
      <w:b/>
      <w:bCs/>
      <w:smallCaps/>
      <w:color w:val="0E2841" w:themeColor="text2"/>
      <w:u w:val="single"/>
    </w:rPr>
  </w:style>
  <w:style w:type="character" w:styleId="Strong">
    <w:name w:val="Strong"/>
    <w:basedOn w:val="DefaultParagraphFont"/>
    <w:uiPriority w:val="22"/>
    <w:qFormat/>
    <w:rsid w:val="00A668C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A6D32"/>
  </w:style>
  <w:style w:type="paragraph" w:styleId="Revision">
    <w:name w:val="Revision"/>
    <w:hidden/>
    <w:uiPriority w:val="99"/>
    <w:semiHidden/>
    <w:rsid w:val="00B8689A"/>
    <w:pPr>
      <w:spacing w:after="0" w:line="240" w:lineRule="auto"/>
    </w:pPr>
  </w:style>
  <w:style w:type="character" w:styleId="Hyperlink">
    <w:name w:val="Hyperlink"/>
    <w:basedOn w:val="DefaultParagraphFont"/>
    <w:uiPriority w:val="99"/>
    <w:unhideWhenUsed/>
    <w:rsid w:val="00B8689A"/>
    <w:rPr>
      <w:color w:val="467886" w:themeColor="hyperlink"/>
      <w:u w:val="single"/>
    </w:rPr>
  </w:style>
  <w:style w:type="character" w:styleId="UnresolvedMention">
    <w:name w:val="Unresolved Mention"/>
    <w:basedOn w:val="DefaultParagraphFont"/>
    <w:uiPriority w:val="99"/>
    <w:semiHidden/>
    <w:unhideWhenUsed/>
    <w:rsid w:val="00B8689A"/>
    <w:rPr>
      <w:color w:val="605E5C"/>
      <w:shd w:val="clear" w:color="auto" w:fill="E1DFDD"/>
    </w:rPr>
  </w:style>
  <w:style w:type="paragraph" w:styleId="Caption">
    <w:name w:val="caption"/>
    <w:basedOn w:val="Normal"/>
    <w:next w:val="Normal"/>
    <w:uiPriority w:val="35"/>
    <w:semiHidden/>
    <w:unhideWhenUsed/>
    <w:qFormat/>
    <w:rsid w:val="00A668C1"/>
    <w:pPr>
      <w:spacing w:line="240" w:lineRule="auto"/>
    </w:pPr>
    <w:rPr>
      <w:b/>
      <w:bCs/>
      <w:smallCaps/>
      <w:color w:val="0E2841" w:themeColor="text2"/>
    </w:rPr>
  </w:style>
  <w:style w:type="character" w:styleId="Emphasis">
    <w:name w:val="Emphasis"/>
    <w:basedOn w:val="DefaultParagraphFont"/>
    <w:uiPriority w:val="20"/>
    <w:qFormat/>
    <w:rsid w:val="00A668C1"/>
    <w:rPr>
      <w:i/>
      <w:iCs/>
    </w:rPr>
  </w:style>
  <w:style w:type="paragraph" w:styleId="NoSpacing">
    <w:name w:val="No Spacing"/>
    <w:uiPriority w:val="1"/>
    <w:qFormat/>
    <w:rsid w:val="00A668C1"/>
    <w:pPr>
      <w:spacing w:after="0" w:line="240" w:lineRule="auto"/>
    </w:pPr>
  </w:style>
  <w:style w:type="character" w:styleId="SubtleEmphasis">
    <w:name w:val="Subtle Emphasis"/>
    <w:basedOn w:val="DefaultParagraphFont"/>
    <w:uiPriority w:val="19"/>
    <w:qFormat/>
    <w:rsid w:val="00A668C1"/>
    <w:rPr>
      <w:i/>
      <w:iCs/>
      <w:color w:val="595959" w:themeColor="text1" w:themeTint="A6"/>
    </w:rPr>
  </w:style>
  <w:style w:type="character" w:styleId="SubtleReference">
    <w:name w:val="Subtle Reference"/>
    <w:basedOn w:val="DefaultParagraphFont"/>
    <w:uiPriority w:val="31"/>
    <w:qFormat/>
    <w:rsid w:val="00A668C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668C1"/>
    <w:rPr>
      <w:b/>
      <w:bCs/>
      <w:smallCaps/>
      <w:spacing w:val="10"/>
    </w:rPr>
  </w:style>
  <w:style w:type="paragraph" w:styleId="TOCHeading">
    <w:name w:val="TOC Heading"/>
    <w:basedOn w:val="Heading1"/>
    <w:next w:val="Normal"/>
    <w:uiPriority w:val="39"/>
    <w:semiHidden/>
    <w:unhideWhenUsed/>
    <w:qFormat/>
    <w:rsid w:val="00A668C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0113325/?utm_source=chatgpt.com" TargetMode="External"/><Relationship Id="rId13" Type="http://schemas.openxmlformats.org/officeDocument/2006/relationships/hyperlink" Target="https://www.sciencedirect.com/science/article/abs/pii/S002239562300002X?utm_source=chatgpt.co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ice.org.uk/guidance/ng69?utm_source=chatgp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publications/i/item/9789240077263?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2928448/" TargetMode="External"/><Relationship Id="rId5" Type="http://schemas.openxmlformats.org/officeDocument/2006/relationships/footnotes" Target="footnotes.xml"/><Relationship Id="rId15" Type="http://schemas.openxmlformats.org/officeDocument/2006/relationships/hyperlink" Target="https://icd.who.int/?utm_source=chatgpt.com" TargetMode="External"/><Relationship Id="rId10" Type="http://schemas.openxmlformats.org/officeDocument/2006/relationships/hyperlink" Target="https://www.mrcpsych.uk/2022/05/icd-11-criteria-for-anorexia-nervosa.html?utm_source=chatgp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mcmedicine.biomedcentral.com/articles/10.1186/s12916-019-1327-4?utm_source=chatgpt.com" TargetMode="External"/><Relationship Id="rId14" Type="http://schemas.openxmlformats.org/officeDocument/2006/relationships/hyperlink" Target="https://pubmed.ncbi.nlm.nih.gov/2854059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Petra Stankova</cp:lastModifiedBy>
  <cp:revision>2</cp:revision>
  <dcterms:created xsi:type="dcterms:W3CDTF">2025-12-19T08:21:00Z</dcterms:created>
  <dcterms:modified xsi:type="dcterms:W3CDTF">2025-12-19T08:21:00Z</dcterms:modified>
</cp:coreProperties>
</file>