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B09D4" w14:textId="51E7898E" w:rsidR="006D757D" w:rsidRDefault="006D757D" w:rsidP="006D757D">
      <w:pPr>
        <w:spacing w:line="480" w:lineRule="auto"/>
        <w:jc w:val="center"/>
        <w:rPr>
          <w:rFonts w:ascii="Times New Roman" w:eastAsia="Roboto" w:hAnsi="Times New Roman" w:cs="Times New Roman"/>
          <w:b/>
          <w:bCs/>
          <w:color w:val="1F1F1F"/>
          <w:sz w:val="36"/>
          <w:szCs w:val="36"/>
        </w:rPr>
      </w:pPr>
    </w:p>
    <w:p w14:paraId="3933F76F" w14:textId="20E93D3F" w:rsidR="001D07A5" w:rsidRPr="006269C4" w:rsidRDefault="001D07A5" w:rsidP="001D07A5">
      <w:pPr>
        <w:spacing w:line="480" w:lineRule="auto"/>
        <w:jc w:val="center"/>
        <w:rPr>
          <w:rFonts w:ascii="Times New Roman" w:eastAsia="Roboto" w:hAnsi="Times New Roman" w:cs="Times New Roman"/>
          <w:b/>
          <w:bCs/>
          <w:i/>
          <w:iCs/>
          <w:color w:val="FF0000"/>
          <w:sz w:val="28"/>
          <w:szCs w:val="28"/>
          <w:u w:val="single"/>
        </w:rPr>
      </w:pPr>
      <w:r w:rsidRPr="006269C4">
        <w:rPr>
          <w:rFonts w:ascii="Times New Roman" w:eastAsia="Roboto" w:hAnsi="Times New Roman" w:cs="Times New Roman"/>
          <w:b/>
          <w:bCs/>
          <w:i/>
          <w:iCs/>
          <w:color w:val="1F1F1F"/>
          <w:sz w:val="28"/>
          <w:szCs w:val="28"/>
          <w:u w:val="single"/>
        </w:rPr>
        <w:t xml:space="preserve"> </w:t>
      </w:r>
      <w:r w:rsidR="006269C4">
        <w:rPr>
          <w:rFonts w:ascii="Times New Roman" w:eastAsia="Roboto" w:hAnsi="Times New Roman" w:cs="Times New Roman"/>
          <w:b/>
          <w:bCs/>
          <w:i/>
          <w:iCs/>
          <w:color w:val="FF0000"/>
          <w:sz w:val="28"/>
          <w:szCs w:val="28"/>
          <w:u w:val="single"/>
        </w:rPr>
        <w:t>E</w:t>
      </w:r>
      <w:r w:rsidRPr="006269C4">
        <w:rPr>
          <w:rFonts w:ascii="Times New Roman" w:eastAsia="Roboto" w:hAnsi="Times New Roman" w:cs="Times New Roman"/>
          <w:b/>
          <w:bCs/>
          <w:i/>
          <w:iCs/>
          <w:color w:val="FF0000"/>
          <w:sz w:val="28"/>
          <w:szCs w:val="28"/>
          <w:u w:val="single"/>
        </w:rPr>
        <w:t>vidence-based Approaches to Policing Decisions</w:t>
      </w:r>
    </w:p>
    <w:p w14:paraId="79A3D8F0" w14:textId="02EC3EA7" w:rsidR="006D757D" w:rsidRPr="00546E97" w:rsidRDefault="006D757D" w:rsidP="006269C4">
      <w:pPr>
        <w:spacing w:line="480" w:lineRule="auto"/>
        <w:jc w:val="center"/>
        <w:rPr>
          <w:rFonts w:ascii="Times New Roman" w:eastAsia="Roboto" w:hAnsi="Times New Roman" w:cs="Times New Roman"/>
          <w:b/>
          <w:bCs/>
          <w:i/>
          <w:iCs/>
          <w:color w:val="FF0000"/>
          <w:sz w:val="40"/>
          <w:szCs w:val="40"/>
          <w:u w:val="single"/>
        </w:rPr>
      </w:pPr>
      <w:r w:rsidRPr="00546E97">
        <w:rPr>
          <w:rFonts w:ascii="Times New Roman" w:eastAsia="Roboto" w:hAnsi="Times New Roman" w:cs="Times New Roman"/>
          <w:b/>
          <w:bCs/>
          <w:i/>
          <w:iCs/>
          <w:color w:val="FF0000"/>
          <w:sz w:val="40"/>
          <w:szCs w:val="40"/>
          <w:u w:val="single"/>
        </w:rPr>
        <w:t>Essay</w:t>
      </w:r>
      <w:r w:rsidR="00546E97">
        <w:rPr>
          <w:rFonts w:ascii="Times New Roman" w:eastAsia="Roboto" w:hAnsi="Times New Roman" w:cs="Times New Roman"/>
          <w:b/>
          <w:bCs/>
          <w:i/>
          <w:iCs/>
          <w:color w:val="FF0000"/>
          <w:sz w:val="40"/>
          <w:szCs w:val="40"/>
          <w:u w:val="single"/>
        </w:rPr>
        <w:t>:</w:t>
      </w:r>
    </w:p>
    <w:p w14:paraId="7E37A60A" w14:textId="77777777" w:rsidR="001D07A5" w:rsidRDefault="001D07A5" w:rsidP="00546E97">
      <w:pPr>
        <w:spacing w:line="480" w:lineRule="auto"/>
      </w:pPr>
    </w:p>
    <w:p w14:paraId="21A10470" w14:textId="77777777" w:rsidR="001D07A5" w:rsidRDefault="001D07A5" w:rsidP="00546E97">
      <w:pPr>
        <w:spacing w:line="480" w:lineRule="auto"/>
      </w:pPr>
    </w:p>
    <w:p w14:paraId="65AD1320" w14:textId="2EDF6D82" w:rsidR="005816ED" w:rsidRPr="006269C4" w:rsidRDefault="005816ED" w:rsidP="00546E97">
      <w:pPr>
        <w:spacing w:line="480" w:lineRule="auto"/>
        <w:rPr>
          <w:rFonts w:ascii="Times New Roman" w:eastAsia="Roboto" w:hAnsi="Times New Roman" w:cs="Times New Roman"/>
          <w:b/>
          <w:bCs/>
          <w:i/>
          <w:iCs/>
          <w:color w:val="FF0000"/>
          <w:sz w:val="40"/>
          <w:szCs w:val="40"/>
          <w:highlight w:val="white"/>
          <w:u w:val="single"/>
        </w:rPr>
      </w:pPr>
      <w:r w:rsidRPr="006269C4">
        <w:rPr>
          <w:b/>
          <w:bCs/>
          <w:i/>
          <w:iCs/>
          <w:color w:val="FF0000"/>
          <w:u w:val="single"/>
        </w:rPr>
        <w:t>Introduction</w:t>
      </w:r>
      <w:r w:rsidR="006269C4">
        <w:rPr>
          <w:b/>
          <w:bCs/>
          <w:i/>
          <w:iCs/>
          <w:color w:val="FF0000"/>
          <w:u w:val="single"/>
        </w:rPr>
        <w:t>:</w:t>
      </w:r>
    </w:p>
    <w:p w14:paraId="3BC39B3A" w14:textId="1ED3526D" w:rsidR="005816ED" w:rsidRPr="005816ED" w:rsidRDefault="005816ED" w:rsidP="005816ED">
      <w:pPr>
        <w:spacing w:line="480" w:lineRule="auto"/>
        <w:jc w:val="both"/>
        <w:rPr>
          <w:rFonts w:ascii="Times New Roman" w:hAnsi="Times New Roman" w:cs="Times New Roman"/>
          <w:sz w:val="24"/>
          <w:szCs w:val="24"/>
        </w:rPr>
      </w:pPr>
      <w:r w:rsidRPr="005816ED">
        <w:rPr>
          <w:rFonts w:ascii="Times New Roman" w:hAnsi="Times New Roman" w:cs="Times New Roman"/>
          <w:sz w:val="24"/>
          <w:szCs w:val="24"/>
        </w:rPr>
        <w:t xml:space="preserve">The partnership approaches are developed of the large premises dealing with the complex community’s crime and safety problems which is controlled by more than one agency. The range of agencies describes the constitution of the partnership approaches that are described in a single term. The singular term cooperative relationship is between the two or more companies in achieving a goal in common. The approaches of the partnerships in tackling crimes are now embedding strength in a way that areas in local England and Wales community safety measures. </w:t>
      </w:r>
      <w:r>
        <w:rPr>
          <w:rFonts w:ascii="Times New Roman" w:hAnsi="Times New Roman" w:cs="Times New Roman"/>
          <w:sz w:val="24"/>
          <w:szCs w:val="24"/>
        </w:rPr>
        <w:t>The essay will be including a critical discussion on the evident approaches and improvement methods being used by policing decisions in impacting on the communicable skills.</w:t>
      </w:r>
    </w:p>
    <w:p w14:paraId="00000002" w14:textId="7B49C321" w:rsidR="00F85A1A" w:rsidRPr="006269C4" w:rsidRDefault="006D757D" w:rsidP="006269C4">
      <w:pPr>
        <w:rPr>
          <w:b/>
          <w:bCs/>
          <w:i/>
          <w:iCs/>
          <w:color w:val="FF0000"/>
          <w:sz w:val="32"/>
          <w:szCs w:val="32"/>
          <w:highlight w:val="white"/>
          <w:u w:val="single"/>
        </w:rPr>
      </w:pPr>
      <w:r w:rsidRPr="006269C4">
        <w:rPr>
          <w:b/>
          <w:bCs/>
          <w:i/>
          <w:iCs/>
          <w:color w:val="FF0000"/>
          <w:sz w:val="32"/>
          <w:szCs w:val="32"/>
          <w:highlight w:val="white"/>
          <w:u w:val="single"/>
        </w:rPr>
        <w:t>Discussion</w:t>
      </w:r>
      <w:r w:rsidR="006269C4" w:rsidRPr="006269C4">
        <w:rPr>
          <w:b/>
          <w:bCs/>
          <w:i/>
          <w:iCs/>
          <w:color w:val="FF0000"/>
          <w:sz w:val="32"/>
          <w:szCs w:val="32"/>
          <w:highlight w:val="white"/>
          <w:u w:val="single"/>
        </w:rPr>
        <w:t>:</w:t>
      </w:r>
    </w:p>
    <w:p w14:paraId="567AD02C" w14:textId="77777777" w:rsidR="006269C4" w:rsidRPr="006269C4" w:rsidRDefault="006269C4" w:rsidP="006269C4">
      <w:pPr>
        <w:rPr>
          <w:rFonts w:ascii="Times New Roman" w:hAnsi="Times New Roman"/>
          <w:sz w:val="28"/>
          <w:szCs w:val="40"/>
          <w:highlight w:val="white"/>
        </w:rPr>
      </w:pPr>
    </w:p>
    <w:p w14:paraId="2BC2A025" w14:textId="77777777" w:rsidR="00611885" w:rsidRDefault="00675505">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Partnership working is referred to as the collaborative efforts between law enforcement agencies and various other organisations to address crime</w:t>
      </w:r>
      <w:sdt>
        <w:sdtPr>
          <w:rPr>
            <w:rFonts w:ascii="Times New Roman" w:eastAsia="Times New Roman" w:hAnsi="Times New Roman" w:cs="Times New Roman"/>
            <w:color w:val="1F1F1F"/>
            <w:sz w:val="24"/>
            <w:szCs w:val="24"/>
            <w:highlight w:val="white"/>
          </w:rPr>
          <w:id w:val="-1343553696"/>
          <w:citation/>
        </w:sdtPr>
        <w:sdtEndPr/>
        <w:sdtContent>
          <w:r w:rsidR="006D757D">
            <w:rPr>
              <w:rFonts w:ascii="Times New Roman" w:eastAsia="Times New Roman" w:hAnsi="Times New Roman" w:cs="Times New Roman"/>
              <w:color w:val="1F1F1F"/>
              <w:sz w:val="24"/>
              <w:szCs w:val="24"/>
              <w:highlight w:val="white"/>
            </w:rPr>
            <w:fldChar w:fldCharType="begin"/>
          </w:r>
          <w:r w:rsidR="006D757D">
            <w:rPr>
              <w:rFonts w:ascii="Times New Roman" w:eastAsia="Times New Roman" w:hAnsi="Times New Roman" w:cs="Times New Roman"/>
              <w:color w:val="1F1F1F"/>
              <w:sz w:val="24"/>
              <w:szCs w:val="24"/>
              <w:highlight w:val="white"/>
              <w:lang w:val="en-US"/>
            </w:rPr>
            <w:instrText xml:space="preserve"> CITATION Car24 \l 1033 </w:instrText>
          </w:r>
          <w:r w:rsidR="006D757D">
            <w:rPr>
              <w:rFonts w:ascii="Times New Roman" w:eastAsia="Times New Roman" w:hAnsi="Times New Roman" w:cs="Times New Roman"/>
              <w:color w:val="1F1F1F"/>
              <w:sz w:val="24"/>
              <w:szCs w:val="24"/>
              <w:highlight w:val="white"/>
            </w:rPr>
            <w:fldChar w:fldCharType="separate"/>
          </w:r>
          <w:r w:rsidR="006D757D">
            <w:rPr>
              <w:rFonts w:ascii="Times New Roman" w:eastAsia="Times New Roman" w:hAnsi="Times New Roman" w:cs="Times New Roman"/>
              <w:noProof/>
              <w:color w:val="1F1F1F"/>
              <w:sz w:val="24"/>
              <w:szCs w:val="24"/>
              <w:highlight w:val="white"/>
              <w:lang w:val="en-US"/>
            </w:rPr>
            <w:t xml:space="preserve"> </w:t>
          </w:r>
          <w:r w:rsidR="006D757D" w:rsidRPr="006D757D">
            <w:rPr>
              <w:rFonts w:ascii="Times New Roman" w:eastAsia="Times New Roman" w:hAnsi="Times New Roman" w:cs="Times New Roman"/>
              <w:noProof/>
              <w:color w:val="1F1F1F"/>
              <w:sz w:val="24"/>
              <w:szCs w:val="24"/>
              <w:highlight w:val="white"/>
              <w:lang w:val="en-US"/>
            </w:rPr>
            <w:t>(Careers in Blue, 2024)</w:t>
          </w:r>
          <w:r w:rsidR="006D757D">
            <w:rPr>
              <w:rFonts w:ascii="Times New Roman" w:eastAsia="Times New Roman" w:hAnsi="Times New Roman" w:cs="Times New Roman"/>
              <w:color w:val="1F1F1F"/>
              <w:sz w:val="24"/>
              <w:szCs w:val="24"/>
              <w:highlight w:val="white"/>
            </w:rPr>
            <w:fldChar w:fldCharType="end"/>
          </w:r>
        </w:sdtContent>
      </w:sdt>
      <w:r>
        <w:rPr>
          <w:rFonts w:ascii="Times New Roman" w:eastAsia="Times New Roman" w:hAnsi="Times New Roman" w:cs="Times New Roman"/>
          <w:color w:val="1F1F1F"/>
          <w:sz w:val="24"/>
          <w:szCs w:val="24"/>
          <w:highlight w:val="white"/>
        </w:rPr>
        <w:t>. This approach recognises the importance of applying of other methods instead of traditional law enforcement for better policing practice. While information sharing can be defined as the practice of sharing relevant data and intelligence with other law enforcement agencies in the country (Aston et al., 2023).  This collaboration is essential to facilitate effective responses to criminal activities and public safety threats. It is an effective technique which allows police to take help from common people to serve justice and maintain law and order in the region. For example, police can give BCRP membership to a retailer for better policing practice</w:t>
      </w:r>
      <w:sdt>
        <w:sdtPr>
          <w:rPr>
            <w:rFonts w:ascii="Times New Roman" w:eastAsia="Times New Roman" w:hAnsi="Times New Roman" w:cs="Times New Roman"/>
            <w:color w:val="1F1F1F"/>
            <w:sz w:val="24"/>
            <w:szCs w:val="24"/>
            <w:highlight w:val="white"/>
          </w:rPr>
          <w:id w:val="1226953156"/>
          <w:citation/>
        </w:sdtPr>
        <w:sdtEndPr/>
        <w:sdtContent>
          <w:r w:rsidR="006D757D">
            <w:rPr>
              <w:rFonts w:ascii="Times New Roman" w:eastAsia="Times New Roman" w:hAnsi="Times New Roman" w:cs="Times New Roman"/>
              <w:color w:val="1F1F1F"/>
              <w:sz w:val="24"/>
              <w:szCs w:val="24"/>
              <w:highlight w:val="white"/>
            </w:rPr>
            <w:fldChar w:fldCharType="begin"/>
          </w:r>
          <w:r w:rsidR="006D757D">
            <w:rPr>
              <w:rFonts w:ascii="Times New Roman" w:eastAsia="Times New Roman" w:hAnsi="Times New Roman" w:cs="Times New Roman"/>
              <w:color w:val="1F1F1F"/>
              <w:sz w:val="24"/>
              <w:szCs w:val="24"/>
              <w:highlight w:val="white"/>
              <w:lang w:val="en-US"/>
            </w:rPr>
            <w:instrText xml:space="preserve"> CITATION BRC24 \l 1033 </w:instrText>
          </w:r>
          <w:r w:rsidR="006D757D">
            <w:rPr>
              <w:rFonts w:ascii="Times New Roman" w:eastAsia="Times New Roman" w:hAnsi="Times New Roman" w:cs="Times New Roman"/>
              <w:color w:val="1F1F1F"/>
              <w:sz w:val="24"/>
              <w:szCs w:val="24"/>
              <w:highlight w:val="white"/>
            </w:rPr>
            <w:fldChar w:fldCharType="separate"/>
          </w:r>
          <w:r w:rsidR="006D757D">
            <w:rPr>
              <w:rFonts w:ascii="Times New Roman" w:eastAsia="Times New Roman" w:hAnsi="Times New Roman" w:cs="Times New Roman"/>
              <w:noProof/>
              <w:color w:val="1F1F1F"/>
              <w:sz w:val="24"/>
              <w:szCs w:val="24"/>
              <w:highlight w:val="white"/>
              <w:lang w:val="en-US"/>
            </w:rPr>
            <w:t xml:space="preserve"> </w:t>
          </w:r>
          <w:r w:rsidR="006D757D" w:rsidRPr="006D757D">
            <w:rPr>
              <w:rFonts w:ascii="Times New Roman" w:eastAsia="Times New Roman" w:hAnsi="Times New Roman" w:cs="Times New Roman"/>
              <w:noProof/>
              <w:color w:val="1F1F1F"/>
              <w:sz w:val="24"/>
              <w:szCs w:val="24"/>
              <w:highlight w:val="white"/>
              <w:lang w:val="en-US"/>
            </w:rPr>
            <w:t>(BRC, 2024)</w:t>
          </w:r>
          <w:r w:rsidR="006D757D">
            <w:rPr>
              <w:rFonts w:ascii="Times New Roman" w:eastAsia="Times New Roman" w:hAnsi="Times New Roman" w:cs="Times New Roman"/>
              <w:color w:val="1F1F1F"/>
              <w:sz w:val="24"/>
              <w:szCs w:val="24"/>
              <w:highlight w:val="white"/>
            </w:rPr>
            <w:fldChar w:fldCharType="end"/>
          </w:r>
        </w:sdtContent>
      </w:sdt>
      <w:r>
        <w:rPr>
          <w:rFonts w:ascii="Times New Roman" w:eastAsia="Times New Roman" w:hAnsi="Times New Roman" w:cs="Times New Roman"/>
          <w:color w:val="1F1F1F"/>
          <w:sz w:val="24"/>
          <w:szCs w:val="24"/>
          <w:highlight w:val="white"/>
        </w:rPr>
        <w:t>. Through this partnership, police can effectively maintain law and order in the region.</w:t>
      </w:r>
    </w:p>
    <w:p w14:paraId="371FCAAE" w14:textId="26AF93E6" w:rsidR="005816ED" w:rsidRDefault="005816ED" w:rsidP="005816ED">
      <w:pPr>
        <w:spacing w:line="480" w:lineRule="auto"/>
        <w:jc w:val="both"/>
        <w:rPr>
          <w:rFonts w:ascii="Times New Roman" w:eastAsia="Times New Roman" w:hAnsi="Times New Roman" w:cs="Times New Roman"/>
          <w:color w:val="1F1F1F"/>
          <w:sz w:val="24"/>
          <w:szCs w:val="24"/>
          <w:highlight w:val="white"/>
        </w:rPr>
      </w:pPr>
      <w:r w:rsidRPr="005816ED">
        <w:rPr>
          <w:rFonts w:ascii="Times New Roman" w:eastAsia="Times New Roman" w:hAnsi="Times New Roman" w:cs="Times New Roman"/>
          <w:color w:val="1F1F1F"/>
          <w:sz w:val="24"/>
          <w:szCs w:val="24"/>
        </w:rPr>
        <w:t>The betterment of communicative skills is the basic block of building stronger partnerships, the tool that helps a person delve into effective communicative skills with partners or colleagues. Systematic and practical help a person considers ways to improve communication and partner with feedback mechanisms (Emerson, 2021). The undertaken review of the systematic use of communication in a partnership specifically for exploring the processes and mechanisms which are clear to achieve a targeted goal. Regularity and effective communication practices help in identifying the ways of being effective or not in working well within the partnerships. The messages among the partnerships are mostly shows efficiency and effectiveness in communicating with the partners. The appropriate communication amongst selves and are obeying those agreed terms as protocols and codes of conduct. The partnerships can be improved by the active reviewing practices in a way that both the internal and external communications work and these skills can be improved (Thornhill-Miller et al, 2023). The improvement may help in ignoring miscommunications and challenging situations. The misunderstandings arise in the use of the simultaneous use of tools and resources to understand the interests in a better way. The making of plans for more effective use to apply in practice for improving communication. Making notes on the communicative protocols that have been agreed upon and shared among colleagues and partners. The sharing of those protocols with the team members will involve everyone’s decision in agreed communication. These protocols should be reviewed regularly for comparing the work which is to be done according to the written protocols. Hence, a better understanding can be made of whether the protocol needs adjustment or their skills in working. The making of an effective and realistic protocol will help in not slipping back into bad habits when communications are considered (Fu et al, 2021). The essentiality of the partners and staff is holding the ability to be accountable based on the protocol. Thinking positively and being assertive are the best measures for improving effective communication. Hence, the key factors for improvement are: showing empathy with others, being confident and objective, maintaining a positive attitude with direct, straightforward and open-minded, practicing questioning and listening, using more “I” statements, open posture in body language, sitting or standing comfortably, maintaining a calm and firm tone for speaking, always trying to seek a win-win solution, keeping one’s head up, and providing with reasons that will back up one’s remark.</w:t>
      </w:r>
    </w:p>
    <w:p w14:paraId="155B27DC" w14:textId="77777777" w:rsidR="00611885" w:rsidRDefault="00611885" w:rsidP="00611885">
      <w:pPr>
        <w:pStyle w:val="NormalWeb"/>
        <w:shd w:val="clear" w:color="auto" w:fill="FFFFFF"/>
        <w:spacing w:before="0" w:beforeAutospacing="0" w:after="0" w:afterAutospacing="0" w:line="480" w:lineRule="auto"/>
        <w:jc w:val="both"/>
        <w:rPr>
          <w:color w:val="000000"/>
          <w:shd w:val="clear" w:color="auto" w:fill="FFFFFF"/>
        </w:rPr>
      </w:pPr>
      <w:r>
        <w:rPr>
          <w:color w:val="000000"/>
          <w:shd w:val="clear" w:color="auto" w:fill="FFFFFF"/>
        </w:rPr>
        <w:t xml:space="preserve">Information sharing in evidence-based policing is used to maintain law and order in the community by the enforcement by sharing a low level of information between police agencies and societies.  </w:t>
      </w:r>
    </w:p>
    <w:p w14:paraId="6514E741" w14:textId="77777777" w:rsidR="00611885" w:rsidRDefault="00611885" w:rsidP="00611885">
      <w:pPr>
        <w:pStyle w:val="NormalWeb"/>
        <w:shd w:val="clear" w:color="auto" w:fill="FFFFFF"/>
        <w:spacing w:before="0" w:beforeAutospacing="0" w:after="0" w:afterAutospacing="0" w:line="480" w:lineRule="auto"/>
        <w:jc w:val="both"/>
        <w:rPr>
          <w:color w:val="000000"/>
          <w:shd w:val="clear" w:color="auto" w:fill="FFFFFF"/>
        </w:rPr>
      </w:pPr>
      <w:r>
        <w:rPr>
          <w:color w:val="000000"/>
          <w:shd w:val="clear" w:color="auto" w:fill="FFFFFF"/>
        </w:rPr>
        <w:t xml:space="preserve">Information sharing is considered the veins of policing departments, as it helps in gaining public trust and support to disrupt criminal and unlawful activities in society. The sharing of information in the UK is controlled by the outlined frameworks such as the UK GDPR and the Data Protection Act of 1038, which also contributes potentially. Information sharing is very crucial in the policing practices of the UK as it helps in conducting effective law enforcement in society and helps to protect people. This helps enhance the safety of working officers and increases the chances of positive case results. This also influences policy and legislative developments, helps address the issues at the earliest and </w:t>
      </w:r>
      <w:proofErr w:type="spellStart"/>
      <w:r>
        <w:rPr>
          <w:color w:val="000000"/>
          <w:shd w:val="clear" w:color="auto" w:fill="FFFFFF"/>
        </w:rPr>
        <w:t>minimises</w:t>
      </w:r>
      <w:proofErr w:type="spellEnd"/>
      <w:r>
        <w:rPr>
          <w:color w:val="000000"/>
          <w:shd w:val="clear" w:color="auto" w:fill="FFFFFF"/>
        </w:rPr>
        <w:t xml:space="preserve"> the safety risk of the community </w:t>
      </w:r>
      <w:sdt>
        <w:sdtPr>
          <w:rPr>
            <w:color w:val="000000"/>
            <w:shd w:val="clear" w:color="auto" w:fill="FFFFFF"/>
          </w:rPr>
          <w:id w:val="-17710877"/>
          <w:citation/>
        </w:sdtPr>
        <w:sdtEndPr/>
        <w:sdtContent>
          <w:r>
            <w:rPr>
              <w:color w:val="000000"/>
              <w:shd w:val="clear" w:color="auto" w:fill="FFFFFF"/>
            </w:rPr>
            <w:fldChar w:fldCharType="begin"/>
          </w:r>
          <w:r>
            <w:rPr>
              <w:color w:val="000000"/>
              <w:shd w:val="clear" w:color="auto" w:fill="FFFFFF"/>
            </w:rPr>
            <w:instrText xml:space="preserve">CITATION ass24 \l 1033 </w:instrText>
          </w:r>
          <w:r>
            <w:rPr>
              <w:color w:val="000000"/>
              <w:shd w:val="clear" w:color="auto" w:fill="FFFFFF"/>
            </w:rPr>
            <w:fldChar w:fldCharType="separate"/>
          </w:r>
          <w:r w:rsidRPr="00521C09">
            <w:rPr>
              <w:noProof/>
              <w:color w:val="000000"/>
              <w:shd w:val="clear" w:color="auto" w:fill="FFFFFF"/>
            </w:rPr>
            <w:t>(assets, 2024)</w:t>
          </w:r>
          <w:r>
            <w:rPr>
              <w:color w:val="000000"/>
              <w:shd w:val="clear" w:color="auto" w:fill="FFFFFF"/>
            </w:rPr>
            <w:fldChar w:fldCharType="end"/>
          </w:r>
        </w:sdtContent>
      </w:sdt>
      <w:r>
        <w:rPr>
          <w:color w:val="000000"/>
          <w:shd w:val="clear" w:color="auto" w:fill="FFFFFF"/>
        </w:rPr>
        <w:t xml:space="preserve">. These acts and frameworks help secure the fair and lawful transmission of information to maintain a crime-free country with the help of legal requirements and Data Protection legislation. The GDPR provides individuals the right to raise objections to the processing of their data in particular situations. Information plays an important role in preventing Crime in England and Wales as this is accurate and received by the underground network of responsible society members. The information helps in identifying the root cause and properly conducting problem-oriented policing </w:t>
      </w:r>
      <w:sdt>
        <w:sdtPr>
          <w:rPr>
            <w:color w:val="000000"/>
            <w:shd w:val="clear" w:color="auto" w:fill="FFFFFF"/>
          </w:rPr>
          <w:id w:val="531239160"/>
          <w:citation/>
        </w:sdtPr>
        <w:sdtEndPr/>
        <w:sdtContent>
          <w:r>
            <w:rPr>
              <w:color w:val="000000"/>
              <w:shd w:val="clear" w:color="auto" w:fill="FFFFFF"/>
            </w:rPr>
            <w:fldChar w:fldCharType="begin"/>
          </w:r>
          <w:r>
            <w:rPr>
              <w:color w:val="000000"/>
              <w:shd w:val="clear" w:color="auto" w:fill="FFFFFF"/>
            </w:rPr>
            <w:instrText xml:space="preserve">CITATION Col241 \l 1033 </w:instrText>
          </w:r>
          <w:r>
            <w:rPr>
              <w:color w:val="000000"/>
              <w:shd w:val="clear" w:color="auto" w:fill="FFFFFF"/>
            </w:rPr>
            <w:fldChar w:fldCharType="separate"/>
          </w:r>
          <w:r w:rsidRPr="00521C09">
            <w:rPr>
              <w:noProof/>
              <w:color w:val="000000"/>
              <w:shd w:val="clear" w:color="auto" w:fill="FFFFFF"/>
            </w:rPr>
            <w:t>(College, 2024)</w:t>
          </w:r>
          <w:r>
            <w:rPr>
              <w:color w:val="000000"/>
              <w:shd w:val="clear" w:color="auto" w:fill="FFFFFF"/>
            </w:rPr>
            <w:fldChar w:fldCharType="end"/>
          </w:r>
        </w:sdtContent>
      </w:sdt>
      <w:r>
        <w:rPr>
          <w:color w:val="000000"/>
          <w:shd w:val="clear" w:color="auto" w:fill="FFFFFF"/>
        </w:rPr>
        <w:t>. The method of information sharing used in the UK to control crime has developed a new architecture known as the International Law Enforcement Alerts Platforms (</w:t>
      </w:r>
      <w:r w:rsidRPr="00A42462">
        <w:rPr>
          <w:color w:val="000000"/>
          <w:shd w:val="clear" w:color="auto" w:fill="FFFFFF"/>
        </w:rPr>
        <w:t>I-LEAP programme</w:t>
      </w:r>
      <w:r>
        <w:rPr>
          <w:color w:val="000000"/>
          <w:shd w:val="clear" w:color="auto" w:fill="FFFFFF"/>
        </w:rPr>
        <w:t xml:space="preserve">). This has improved the effectiveness of information sharing in UK policing and has also enhanced its collaboration and access to critical information. However, some challenges remain in information sharing in policing helps in crime mapping and maintaining a profiles who are not registered on the crime list. Another important challenge while collecting and sharing information is consent. The </w:t>
      </w:r>
      <w:r w:rsidRPr="00826DE8">
        <w:rPr>
          <w:color w:val="000000"/>
          <w:shd w:val="clear" w:color="auto" w:fill="FFFFFF"/>
        </w:rPr>
        <w:t>Information Commissioner's Office (ICO) (2011) Data sharing code of practice under the DPA 1998 s 52</w:t>
      </w:r>
      <w:r>
        <w:rPr>
          <w:color w:val="000000"/>
          <w:shd w:val="clear" w:color="auto" w:fill="FFFFFF"/>
        </w:rPr>
        <w:t xml:space="preserve"> strictly revised the usage of data sharing to protect the rights and maintain the safety of individuals in the country. There is a positive impact of information sharing as it helps in far-reaching, decision-making, and crime prevention and also helps in controlling the crime rate in the country </w:t>
      </w:r>
      <w:sdt>
        <w:sdtPr>
          <w:rPr>
            <w:color w:val="000000"/>
            <w:shd w:val="clear" w:color="auto" w:fill="FFFFFF"/>
          </w:rPr>
          <w:id w:val="1127356972"/>
          <w:citation/>
        </w:sdtPr>
        <w:sdtEndPr/>
        <w:sdtContent>
          <w:r>
            <w:rPr>
              <w:color w:val="000000"/>
              <w:shd w:val="clear" w:color="auto" w:fill="FFFFFF"/>
            </w:rPr>
            <w:fldChar w:fldCharType="begin"/>
          </w:r>
          <w:r>
            <w:rPr>
              <w:color w:val="000000"/>
              <w:shd w:val="clear" w:color="auto" w:fill="FFFFFF"/>
            </w:rPr>
            <w:instrText xml:space="preserve">CITATION GOV243 \l 1033 </w:instrText>
          </w:r>
          <w:r>
            <w:rPr>
              <w:color w:val="000000"/>
              <w:shd w:val="clear" w:color="auto" w:fill="FFFFFF"/>
            </w:rPr>
            <w:fldChar w:fldCharType="separate"/>
          </w:r>
          <w:r w:rsidRPr="00521C09">
            <w:rPr>
              <w:noProof/>
              <w:color w:val="000000"/>
              <w:shd w:val="clear" w:color="auto" w:fill="FFFFFF"/>
            </w:rPr>
            <w:t>(GOV.UK, 2024)</w:t>
          </w:r>
          <w:r>
            <w:rPr>
              <w:color w:val="000000"/>
              <w:shd w:val="clear" w:color="auto" w:fill="FFFFFF"/>
            </w:rPr>
            <w:fldChar w:fldCharType="end"/>
          </w:r>
        </w:sdtContent>
      </w:sdt>
    </w:p>
    <w:p w14:paraId="00000005" w14:textId="5C81F7F6" w:rsidR="00611885" w:rsidRDefault="00675505">
      <w:pPr>
        <w:spacing w:line="48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 There are various reasons which make effective communication essential for the application of partnership working and information sharing in policing practice. A clear exchange of information can be identified as one of the major reasons which makes effective communication essential for the application of partnership working and information sharing in the policing practice. Clear and concise information sharing ensures the prompt and accurate sharing of information among law enforcement agencies</w:t>
      </w:r>
      <w:sdt>
        <w:sdtPr>
          <w:rPr>
            <w:rFonts w:ascii="Times New Roman" w:eastAsia="Times New Roman" w:hAnsi="Times New Roman" w:cs="Times New Roman"/>
            <w:color w:val="1F1F1F"/>
            <w:sz w:val="24"/>
            <w:szCs w:val="24"/>
            <w:highlight w:val="white"/>
          </w:rPr>
          <w:id w:val="-1504128491"/>
          <w:citation/>
        </w:sdtPr>
        <w:sdtEndPr/>
        <w:sdtContent>
          <w:r w:rsidR="006D757D">
            <w:rPr>
              <w:rFonts w:ascii="Times New Roman" w:eastAsia="Times New Roman" w:hAnsi="Times New Roman" w:cs="Times New Roman"/>
              <w:color w:val="1F1F1F"/>
              <w:sz w:val="24"/>
              <w:szCs w:val="24"/>
              <w:highlight w:val="white"/>
            </w:rPr>
            <w:fldChar w:fldCharType="begin"/>
          </w:r>
          <w:r w:rsidR="006D757D">
            <w:rPr>
              <w:rFonts w:ascii="Times New Roman" w:eastAsia="Times New Roman" w:hAnsi="Times New Roman" w:cs="Times New Roman"/>
              <w:color w:val="1F1F1F"/>
              <w:sz w:val="24"/>
              <w:szCs w:val="24"/>
              <w:highlight w:val="white"/>
              <w:lang w:val="en-US"/>
            </w:rPr>
            <w:instrText xml:space="preserve"> CITATION Col233 \l 1033 </w:instrText>
          </w:r>
          <w:r w:rsidR="006D757D">
            <w:rPr>
              <w:rFonts w:ascii="Times New Roman" w:eastAsia="Times New Roman" w:hAnsi="Times New Roman" w:cs="Times New Roman"/>
              <w:color w:val="1F1F1F"/>
              <w:sz w:val="24"/>
              <w:szCs w:val="24"/>
              <w:highlight w:val="white"/>
            </w:rPr>
            <w:fldChar w:fldCharType="separate"/>
          </w:r>
          <w:r w:rsidR="006D757D">
            <w:rPr>
              <w:rFonts w:ascii="Times New Roman" w:eastAsia="Times New Roman" w:hAnsi="Times New Roman" w:cs="Times New Roman"/>
              <w:noProof/>
              <w:color w:val="1F1F1F"/>
              <w:sz w:val="24"/>
              <w:szCs w:val="24"/>
              <w:highlight w:val="white"/>
              <w:lang w:val="en-US"/>
            </w:rPr>
            <w:t xml:space="preserve"> </w:t>
          </w:r>
          <w:r w:rsidR="006D757D" w:rsidRPr="006D757D">
            <w:rPr>
              <w:rFonts w:ascii="Times New Roman" w:eastAsia="Times New Roman" w:hAnsi="Times New Roman" w:cs="Times New Roman"/>
              <w:noProof/>
              <w:color w:val="1F1F1F"/>
              <w:sz w:val="24"/>
              <w:szCs w:val="24"/>
              <w:highlight w:val="white"/>
              <w:lang w:val="en-US"/>
            </w:rPr>
            <w:t>(College of Policing, 2023)</w:t>
          </w:r>
          <w:r w:rsidR="006D757D">
            <w:rPr>
              <w:rFonts w:ascii="Times New Roman" w:eastAsia="Times New Roman" w:hAnsi="Times New Roman" w:cs="Times New Roman"/>
              <w:color w:val="1F1F1F"/>
              <w:sz w:val="24"/>
              <w:szCs w:val="24"/>
              <w:highlight w:val="white"/>
            </w:rPr>
            <w:fldChar w:fldCharType="end"/>
          </w:r>
        </w:sdtContent>
      </w:sdt>
      <w:r>
        <w:rPr>
          <w:rFonts w:ascii="Times New Roman" w:eastAsia="Times New Roman" w:hAnsi="Times New Roman" w:cs="Times New Roman"/>
          <w:color w:val="1F1F1F"/>
          <w:sz w:val="24"/>
          <w:szCs w:val="24"/>
          <w:highlight w:val="white"/>
        </w:rPr>
        <w:t xml:space="preserve">. Besides this, by emphasising the clarity of data clear communication ensures a better understanding of the context of shared data. Building trust and relationships is another major benefit of effective communication in the application of partnership working and information sharing in policing practice. Open and transparent communication allows police to earn the respect of other law-enforcing agencies and helps in establishing strong </w:t>
      </w:r>
      <w:r w:rsidR="006D757D">
        <w:rPr>
          <w:rFonts w:ascii="Times New Roman" w:eastAsia="Times New Roman" w:hAnsi="Times New Roman" w:cs="Times New Roman"/>
          <w:color w:val="1F1F1F"/>
          <w:sz w:val="24"/>
          <w:szCs w:val="24"/>
          <w:highlight w:val="white"/>
        </w:rPr>
        <w:t>relationships</w:t>
      </w:r>
      <w:r>
        <w:rPr>
          <w:rFonts w:ascii="Times New Roman" w:eastAsia="Times New Roman" w:hAnsi="Times New Roman" w:cs="Times New Roman"/>
          <w:color w:val="1F1F1F"/>
          <w:sz w:val="24"/>
          <w:szCs w:val="24"/>
          <w:highlight w:val="white"/>
        </w:rPr>
        <w:t xml:space="preserve">. Thus, by fostering a strong relationship effective communication increases the efficiency of the police. It also helps in promoting a collaborative culture that ensures successful partnerships in policing practice. </w:t>
      </w:r>
      <w:r w:rsidR="00C87136">
        <w:rPr>
          <w:rFonts w:ascii="Times New Roman" w:eastAsia="Times New Roman" w:hAnsi="Times New Roman" w:cs="Times New Roman"/>
          <w:color w:val="1F1F1F"/>
          <w:sz w:val="24"/>
          <w:szCs w:val="24"/>
          <w:highlight w:val="white"/>
        </w:rPr>
        <w:t>A</w:t>
      </w:r>
      <w:r>
        <w:rPr>
          <w:rFonts w:ascii="Times New Roman" w:eastAsia="Times New Roman" w:hAnsi="Times New Roman" w:cs="Times New Roman"/>
          <w:color w:val="1F1F1F"/>
          <w:sz w:val="24"/>
          <w:szCs w:val="24"/>
          <w:highlight w:val="white"/>
        </w:rPr>
        <w:t>lignment of objectives and priorities</w:t>
      </w:r>
      <w:r w:rsidR="00C87136">
        <w:rPr>
          <w:rFonts w:ascii="Times New Roman" w:eastAsia="Times New Roman" w:hAnsi="Times New Roman" w:cs="Times New Roman"/>
          <w:color w:val="1F1F1F"/>
          <w:sz w:val="24"/>
          <w:szCs w:val="24"/>
          <w:highlight w:val="white"/>
        </w:rPr>
        <w:t xml:space="preserve"> is a</w:t>
      </w:r>
      <w:r w:rsidR="00C87136" w:rsidRPr="00C87136">
        <w:rPr>
          <w:rFonts w:ascii="Times New Roman" w:eastAsia="Times New Roman" w:hAnsi="Times New Roman" w:cs="Times New Roman"/>
          <w:color w:val="1F1F1F"/>
          <w:sz w:val="24"/>
          <w:szCs w:val="24"/>
          <w:highlight w:val="white"/>
        </w:rPr>
        <w:t xml:space="preserve">nother major benefit which makes effective communication </w:t>
      </w:r>
      <w:r w:rsidR="00C87136">
        <w:rPr>
          <w:rFonts w:ascii="Times New Roman" w:eastAsia="Times New Roman" w:hAnsi="Times New Roman" w:cs="Times New Roman"/>
          <w:color w:val="1F1F1F"/>
          <w:sz w:val="24"/>
          <w:szCs w:val="24"/>
          <w:highlight w:val="white"/>
        </w:rPr>
        <w:t>essential for</w:t>
      </w:r>
      <w:r w:rsidR="00C87136" w:rsidRPr="00C87136">
        <w:rPr>
          <w:rFonts w:ascii="Times New Roman" w:eastAsia="Times New Roman" w:hAnsi="Times New Roman" w:cs="Times New Roman"/>
          <w:color w:val="1F1F1F"/>
          <w:sz w:val="24"/>
          <w:szCs w:val="24"/>
          <w:highlight w:val="white"/>
        </w:rPr>
        <w:t xml:space="preserve"> the application of partnership working and information sharing in policing practice</w:t>
      </w:r>
      <w:r>
        <w:rPr>
          <w:rFonts w:ascii="Times New Roman" w:eastAsia="Times New Roman" w:hAnsi="Times New Roman" w:cs="Times New Roman"/>
          <w:color w:val="1F1F1F"/>
          <w:sz w:val="24"/>
          <w:szCs w:val="24"/>
          <w:highlight w:val="white"/>
        </w:rPr>
        <w:t xml:space="preserve">. Effective communication </w:t>
      </w:r>
      <w:r w:rsidR="00C87136">
        <w:rPr>
          <w:rFonts w:ascii="Times New Roman" w:eastAsia="Times New Roman" w:hAnsi="Times New Roman" w:cs="Times New Roman"/>
          <w:color w:val="1F1F1F"/>
          <w:sz w:val="24"/>
          <w:szCs w:val="24"/>
          <w:highlight w:val="white"/>
        </w:rPr>
        <w:t xml:space="preserve">allows the </w:t>
      </w:r>
      <w:r>
        <w:rPr>
          <w:rFonts w:ascii="Times New Roman" w:eastAsia="Times New Roman" w:hAnsi="Times New Roman" w:cs="Times New Roman"/>
          <w:color w:val="1F1F1F"/>
          <w:sz w:val="24"/>
          <w:szCs w:val="24"/>
          <w:highlight w:val="white"/>
        </w:rPr>
        <w:t>shar</w:t>
      </w:r>
      <w:r w:rsidR="00C87136">
        <w:rPr>
          <w:rFonts w:ascii="Times New Roman" w:eastAsia="Times New Roman" w:hAnsi="Times New Roman" w:cs="Times New Roman"/>
          <w:color w:val="1F1F1F"/>
          <w:sz w:val="24"/>
          <w:szCs w:val="24"/>
          <w:highlight w:val="white"/>
        </w:rPr>
        <w:t>ing</w:t>
      </w:r>
      <w:r>
        <w:rPr>
          <w:rFonts w:ascii="Times New Roman" w:eastAsia="Times New Roman" w:hAnsi="Times New Roman" w:cs="Times New Roman"/>
          <w:color w:val="1F1F1F"/>
          <w:sz w:val="24"/>
          <w:szCs w:val="24"/>
          <w:highlight w:val="white"/>
        </w:rPr>
        <w:t xml:space="preserve"> </w:t>
      </w:r>
      <w:r w:rsidR="00C87136">
        <w:rPr>
          <w:rFonts w:ascii="Times New Roman" w:eastAsia="Times New Roman" w:hAnsi="Times New Roman" w:cs="Times New Roman"/>
          <w:color w:val="1F1F1F"/>
          <w:sz w:val="24"/>
          <w:szCs w:val="24"/>
          <w:highlight w:val="white"/>
        </w:rPr>
        <w:t xml:space="preserve">of </w:t>
      </w:r>
      <w:r>
        <w:rPr>
          <w:rFonts w:ascii="Times New Roman" w:eastAsia="Times New Roman" w:hAnsi="Times New Roman" w:cs="Times New Roman"/>
          <w:color w:val="1F1F1F"/>
          <w:sz w:val="24"/>
          <w:szCs w:val="24"/>
          <w:highlight w:val="white"/>
        </w:rPr>
        <w:t>a common understanding of the goals</w:t>
      </w:r>
      <w:r w:rsidR="00C87136">
        <w:rPr>
          <w:rFonts w:ascii="Times New Roman" w:eastAsia="Times New Roman" w:hAnsi="Times New Roman" w:cs="Times New Roman"/>
          <w:color w:val="1F1F1F"/>
          <w:sz w:val="24"/>
          <w:szCs w:val="24"/>
          <w:highlight w:val="white"/>
        </w:rPr>
        <w:t xml:space="preserve"> among all parties</w:t>
      </w:r>
      <w:sdt>
        <w:sdtPr>
          <w:rPr>
            <w:rFonts w:ascii="Times New Roman" w:eastAsia="Times New Roman" w:hAnsi="Times New Roman" w:cs="Times New Roman"/>
            <w:color w:val="1F1F1F"/>
            <w:sz w:val="24"/>
            <w:szCs w:val="24"/>
            <w:highlight w:val="white"/>
          </w:rPr>
          <w:id w:val="1698581359"/>
          <w:citation/>
        </w:sdtPr>
        <w:sdtEndPr/>
        <w:sdtContent>
          <w:r w:rsidR="006D757D">
            <w:rPr>
              <w:rFonts w:ascii="Times New Roman" w:eastAsia="Times New Roman" w:hAnsi="Times New Roman" w:cs="Times New Roman"/>
              <w:color w:val="1F1F1F"/>
              <w:sz w:val="24"/>
              <w:szCs w:val="24"/>
              <w:highlight w:val="white"/>
            </w:rPr>
            <w:fldChar w:fldCharType="begin"/>
          </w:r>
          <w:r w:rsidR="006D757D">
            <w:rPr>
              <w:rFonts w:ascii="Times New Roman" w:eastAsia="Times New Roman" w:hAnsi="Times New Roman" w:cs="Times New Roman"/>
              <w:color w:val="1F1F1F"/>
              <w:sz w:val="24"/>
              <w:szCs w:val="24"/>
              <w:highlight w:val="white"/>
              <w:lang w:val="en-US"/>
            </w:rPr>
            <w:instrText xml:space="preserve"> CITATION The2411 \l 1033 </w:instrText>
          </w:r>
          <w:r w:rsidR="006D757D">
            <w:rPr>
              <w:rFonts w:ascii="Times New Roman" w:eastAsia="Times New Roman" w:hAnsi="Times New Roman" w:cs="Times New Roman"/>
              <w:color w:val="1F1F1F"/>
              <w:sz w:val="24"/>
              <w:szCs w:val="24"/>
              <w:highlight w:val="white"/>
            </w:rPr>
            <w:fldChar w:fldCharType="separate"/>
          </w:r>
          <w:r w:rsidR="006D757D">
            <w:rPr>
              <w:rFonts w:ascii="Times New Roman" w:eastAsia="Times New Roman" w:hAnsi="Times New Roman" w:cs="Times New Roman"/>
              <w:noProof/>
              <w:color w:val="1F1F1F"/>
              <w:sz w:val="24"/>
              <w:szCs w:val="24"/>
              <w:highlight w:val="white"/>
              <w:lang w:val="en-US"/>
            </w:rPr>
            <w:t xml:space="preserve"> </w:t>
          </w:r>
          <w:r w:rsidR="006D757D" w:rsidRPr="006D757D">
            <w:rPr>
              <w:rFonts w:ascii="Times New Roman" w:eastAsia="Times New Roman" w:hAnsi="Times New Roman" w:cs="Times New Roman"/>
              <w:noProof/>
              <w:color w:val="1F1F1F"/>
              <w:sz w:val="24"/>
              <w:szCs w:val="24"/>
              <w:highlight w:val="white"/>
              <w:lang w:val="en-US"/>
            </w:rPr>
            <w:t>(The Henry C. Lee Institute of Forensic Science, 2024)</w:t>
          </w:r>
          <w:r w:rsidR="006D757D">
            <w:rPr>
              <w:rFonts w:ascii="Times New Roman" w:eastAsia="Times New Roman" w:hAnsi="Times New Roman" w:cs="Times New Roman"/>
              <w:color w:val="1F1F1F"/>
              <w:sz w:val="24"/>
              <w:szCs w:val="24"/>
              <w:highlight w:val="white"/>
            </w:rPr>
            <w:fldChar w:fldCharType="end"/>
          </w:r>
        </w:sdtContent>
      </w:sdt>
      <w:r>
        <w:rPr>
          <w:rFonts w:ascii="Times New Roman" w:eastAsia="Times New Roman" w:hAnsi="Times New Roman" w:cs="Times New Roman"/>
          <w:color w:val="1F1F1F"/>
          <w:sz w:val="24"/>
          <w:szCs w:val="24"/>
          <w:highlight w:val="white"/>
        </w:rPr>
        <w:t xml:space="preserve">. This </w:t>
      </w:r>
      <w:r w:rsidR="00C87136">
        <w:rPr>
          <w:rFonts w:ascii="Times New Roman" w:eastAsia="Times New Roman" w:hAnsi="Times New Roman" w:cs="Times New Roman"/>
          <w:color w:val="1F1F1F"/>
          <w:sz w:val="24"/>
          <w:szCs w:val="24"/>
          <w:highlight w:val="white"/>
        </w:rPr>
        <w:t>is essential to</w:t>
      </w:r>
      <w:r>
        <w:rPr>
          <w:rFonts w:ascii="Times New Roman" w:eastAsia="Times New Roman" w:hAnsi="Times New Roman" w:cs="Times New Roman"/>
          <w:color w:val="1F1F1F"/>
          <w:sz w:val="24"/>
          <w:szCs w:val="24"/>
          <w:highlight w:val="white"/>
        </w:rPr>
        <w:t xml:space="preserve"> obtain desired outcomes and effective management of law and order in the region. </w:t>
      </w:r>
      <w:r w:rsidR="00C87136">
        <w:rPr>
          <w:rFonts w:ascii="Times New Roman" w:eastAsia="Times New Roman" w:hAnsi="Times New Roman" w:cs="Times New Roman"/>
          <w:color w:val="1F1F1F"/>
          <w:sz w:val="24"/>
          <w:szCs w:val="24"/>
          <w:highlight w:val="white"/>
        </w:rPr>
        <w:t>It</w:t>
      </w:r>
      <w:r>
        <w:rPr>
          <w:rFonts w:ascii="Times New Roman" w:eastAsia="Times New Roman" w:hAnsi="Times New Roman" w:cs="Times New Roman"/>
          <w:color w:val="1F1F1F"/>
          <w:sz w:val="24"/>
          <w:szCs w:val="24"/>
          <w:highlight w:val="white"/>
        </w:rPr>
        <w:t xml:space="preserve"> is </w:t>
      </w:r>
      <w:r w:rsidR="006D757D">
        <w:rPr>
          <w:rFonts w:ascii="Times New Roman" w:eastAsia="Times New Roman" w:hAnsi="Times New Roman" w:cs="Times New Roman"/>
          <w:color w:val="1F1F1F"/>
          <w:sz w:val="24"/>
          <w:szCs w:val="24"/>
          <w:highlight w:val="white"/>
        </w:rPr>
        <w:t>also</w:t>
      </w:r>
      <w:r>
        <w:rPr>
          <w:rFonts w:ascii="Times New Roman" w:eastAsia="Times New Roman" w:hAnsi="Times New Roman" w:cs="Times New Roman"/>
          <w:color w:val="1F1F1F"/>
          <w:sz w:val="24"/>
          <w:szCs w:val="24"/>
          <w:highlight w:val="white"/>
        </w:rPr>
        <w:t xml:space="preserve"> essential for coordination and integration. Further, integrating diverse expertise </w:t>
      </w:r>
      <w:r w:rsidR="00C87136">
        <w:rPr>
          <w:rFonts w:ascii="Times New Roman" w:eastAsia="Times New Roman" w:hAnsi="Times New Roman" w:cs="Times New Roman"/>
          <w:color w:val="1F1F1F"/>
          <w:sz w:val="24"/>
          <w:szCs w:val="24"/>
          <w:highlight w:val="white"/>
        </w:rPr>
        <w:t>through</w:t>
      </w:r>
      <w:r w:rsidR="006D757D">
        <w:rPr>
          <w:rFonts w:ascii="Times New Roman" w:eastAsia="Times New Roman" w:hAnsi="Times New Roman" w:cs="Times New Roman"/>
          <w:color w:val="1F1F1F"/>
          <w:sz w:val="24"/>
          <w:szCs w:val="24"/>
          <w:highlight w:val="white"/>
        </w:rPr>
        <w:t xml:space="preserve"> effective</w:t>
      </w:r>
      <w:r>
        <w:rPr>
          <w:rFonts w:ascii="Times New Roman" w:eastAsia="Times New Roman" w:hAnsi="Times New Roman" w:cs="Times New Roman"/>
          <w:color w:val="1F1F1F"/>
          <w:sz w:val="24"/>
          <w:szCs w:val="24"/>
          <w:highlight w:val="white"/>
        </w:rPr>
        <w:t xml:space="preserve"> communication helps in addressing complex policing challenges. Effective communication also allows police and partner agencies to effectively adapt according to the changing circumstances. </w:t>
      </w:r>
      <w:r w:rsidR="00C87136">
        <w:rPr>
          <w:rFonts w:ascii="Times New Roman" w:eastAsia="Times New Roman" w:hAnsi="Times New Roman" w:cs="Times New Roman"/>
          <w:color w:val="1F1F1F"/>
          <w:sz w:val="24"/>
          <w:szCs w:val="24"/>
          <w:highlight w:val="white"/>
        </w:rPr>
        <w:t>S</w:t>
      </w:r>
      <w:r>
        <w:rPr>
          <w:rFonts w:ascii="Times New Roman" w:eastAsia="Times New Roman" w:hAnsi="Times New Roman" w:cs="Times New Roman"/>
          <w:color w:val="1F1F1F"/>
          <w:sz w:val="24"/>
          <w:szCs w:val="24"/>
          <w:highlight w:val="white"/>
        </w:rPr>
        <w:t xml:space="preserve">haring </w:t>
      </w:r>
      <w:r w:rsidR="006D757D">
        <w:rPr>
          <w:rFonts w:ascii="Times New Roman" w:eastAsia="Times New Roman" w:hAnsi="Times New Roman" w:cs="Times New Roman"/>
          <w:color w:val="1F1F1F"/>
          <w:sz w:val="24"/>
          <w:szCs w:val="24"/>
          <w:highlight w:val="white"/>
        </w:rPr>
        <w:t>real-time</w:t>
      </w:r>
      <w:r>
        <w:rPr>
          <w:rFonts w:ascii="Times New Roman" w:eastAsia="Times New Roman" w:hAnsi="Times New Roman" w:cs="Times New Roman"/>
          <w:color w:val="1F1F1F"/>
          <w:sz w:val="24"/>
          <w:szCs w:val="24"/>
          <w:highlight w:val="white"/>
        </w:rPr>
        <w:t xml:space="preserve"> information with the partners </w:t>
      </w:r>
      <w:r w:rsidR="00C87136">
        <w:rPr>
          <w:rFonts w:ascii="Times New Roman" w:eastAsia="Times New Roman" w:hAnsi="Times New Roman" w:cs="Times New Roman"/>
          <w:color w:val="1F1F1F"/>
          <w:sz w:val="24"/>
          <w:szCs w:val="24"/>
          <w:highlight w:val="white"/>
        </w:rPr>
        <w:t xml:space="preserve">allows </w:t>
      </w:r>
      <w:r>
        <w:rPr>
          <w:rFonts w:ascii="Times New Roman" w:eastAsia="Times New Roman" w:hAnsi="Times New Roman" w:cs="Times New Roman"/>
          <w:color w:val="1F1F1F"/>
          <w:sz w:val="24"/>
          <w:szCs w:val="24"/>
          <w:highlight w:val="white"/>
        </w:rPr>
        <w:t xml:space="preserve">police </w:t>
      </w:r>
      <w:r w:rsidR="00C87136">
        <w:rPr>
          <w:rFonts w:ascii="Times New Roman" w:eastAsia="Times New Roman" w:hAnsi="Times New Roman" w:cs="Times New Roman"/>
          <w:color w:val="1F1F1F"/>
          <w:sz w:val="24"/>
          <w:szCs w:val="24"/>
          <w:highlight w:val="white"/>
        </w:rPr>
        <w:t>to</w:t>
      </w:r>
      <w:r>
        <w:rPr>
          <w:rFonts w:ascii="Times New Roman" w:eastAsia="Times New Roman" w:hAnsi="Times New Roman" w:cs="Times New Roman"/>
          <w:color w:val="1F1F1F"/>
          <w:sz w:val="24"/>
          <w:szCs w:val="24"/>
          <w:highlight w:val="white"/>
        </w:rPr>
        <w:t xml:space="preserve"> effectively adjust their strategies </w:t>
      </w:r>
      <w:r w:rsidR="00C87136">
        <w:rPr>
          <w:rFonts w:ascii="Times New Roman" w:eastAsia="Times New Roman" w:hAnsi="Times New Roman" w:cs="Times New Roman"/>
          <w:color w:val="1F1F1F"/>
          <w:sz w:val="24"/>
          <w:szCs w:val="24"/>
          <w:highlight w:val="white"/>
        </w:rPr>
        <w:t>for</w:t>
      </w:r>
      <w:r>
        <w:rPr>
          <w:rFonts w:ascii="Times New Roman" w:eastAsia="Times New Roman" w:hAnsi="Times New Roman" w:cs="Times New Roman"/>
          <w:color w:val="1F1F1F"/>
          <w:sz w:val="24"/>
          <w:szCs w:val="24"/>
          <w:highlight w:val="white"/>
        </w:rPr>
        <w:t xml:space="preserve"> maintain</w:t>
      </w:r>
      <w:r w:rsidR="00C87136">
        <w:rPr>
          <w:rFonts w:ascii="Times New Roman" w:eastAsia="Times New Roman" w:hAnsi="Times New Roman" w:cs="Times New Roman"/>
          <w:color w:val="1F1F1F"/>
          <w:sz w:val="24"/>
          <w:szCs w:val="24"/>
          <w:highlight w:val="white"/>
        </w:rPr>
        <w:t>ing</w:t>
      </w:r>
      <w:r>
        <w:rPr>
          <w:rFonts w:ascii="Times New Roman" w:eastAsia="Times New Roman" w:hAnsi="Times New Roman" w:cs="Times New Roman"/>
          <w:color w:val="1F1F1F"/>
          <w:sz w:val="24"/>
          <w:szCs w:val="24"/>
          <w:highlight w:val="white"/>
        </w:rPr>
        <w:t xml:space="preserve"> law and order. This </w:t>
      </w:r>
      <w:r w:rsidR="00C87136">
        <w:rPr>
          <w:rFonts w:ascii="Times New Roman" w:eastAsia="Times New Roman" w:hAnsi="Times New Roman" w:cs="Times New Roman"/>
          <w:color w:val="1F1F1F"/>
          <w:sz w:val="24"/>
          <w:szCs w:val="24"/>
          <w:highlight w:val="white"/>
        </w:rPr>
        <w:t>is essential</w:t>
      </w:r>
      <w:r>
        <w:rPr>
          <w:rFonts w:ascii="Times New Roman" w:eastAsia="Times New Roman" w:hAnsi="Times New Roman" w:cs="Times New Roman"/>
          <w:color w:val="1F1F1F"/>
          <w:sz w:val="24"/>
          <w:szCs w:val="24"/>
          <w:highlight w:val="white"/>
        </w:rPr>
        <w:t xml:space="preserve"> to effectively address dynamic situations and enhance their responsiveness in policing practices. Last but not least engagement with communities is another advantage of effective communication</w:t>
      </w:r>
      <w:sdt>
        <w:sdtPr>
          <w:rPr>
            <w:rFonts w:ascii="Times New Roman" w:eastAsia="Times New Roman" w:hAnsi="Times New Roman" w:cs="Times New Roman"/>
            <w:color w:val="1F1F1F"/>
            <w:sz w:val="24"/>
            <w:szCs w:val="24"/>
            <w:highlight w:val="white"/>
          </w:rPr>
          <w:id w:val="543181824"/>
          <w:citation/>
        </w:sdtPr>
        <w:sdtEndPr/>
        <w:sdtContent>
          <w:r w:rsidR="006D757D">
            <w:rPr>
              <w:rFonts w:ascii="Times New Roman" w:eastAsia="Times New Roman" w:hAnsi="Times New Roman" w:cs="Times New Roman"/>
              <w:color w:val="1F1F1F"/>
              <w:sz w:val="24"/>
              <w:szCs w:val="24"/>
              <w:highlight w:val="white"/>
            </w:rPr>
            <w:fldChar w:fldCharType="begin"/>
          </w:r>
          <w:r w:rsidR="006D757D">
            <w:rPr>
              <w:rFonts w:ascii="Times New Roman" w:eastAsia="Times New Roman" w:hAnsi="Times New Roman" w:cs="Times New Roman"/>
              <w:color w:val="1F1F1F"/>
              <w:sz w:val="24"/>
              <w:szCs w:val="24"/>
              <w:highlight w:val="white"/>
              <w:lang w:val="en-US"/>
            </w:rPr>
            <w:instrText xml:space="preserve"> CITATION OSC22 \l 1033 </w:instrText>
          </w:r>
          <w:r w:rsidR="006D757D">
            <w:rPr>
              <w:rFonts w:ascii="Times New Roman" w:eastAsia="Times New Roman" w:hAnsi="Times New Roman" w:cs="Times New Roman"/>
              <w:color w:val="1F1F1F"/>
              <w:sz w:val="24"/>
              <w:szCs w:val="24"/>
              <w:highlight w:val="white"/>
            </w:rPr>
            <w:fldChar w:fldCharType="separate"/>
          </w:r>
          <w:r w:rsidR="006D757D">
            <w:rPr>
              <w:rFonts w:ascii="Times New Roman" w:eastAsia="Times New Roman" w:hAnsi="Times New Roman" w:cs="Times New Roman"/>
              <w:noProof/>
              <w:color w:val="1F1F1F"/>
              <w:sz w:val="24"/>
              <w:szCs w:val="24"/>
              <w:highlight w:val="white"/>
              <w:lang w:val="en-US"/>
            </w:rPr>
            <w:t xml:space="preserve"> </w:t>
          </w:r>
          <w:r w:rsidR="006D757D" w:rsidRPr="006D757D">
            <w:rPr>
              <w:rFonts w:ascii="Times New Roman" w:eastAsia="Times New Roman" w:hAnsi="Times New Roman" w:cs="Times New Roman"/>
              <w:noProof/>
              <w:color w:val="1F1F1F"/>
              <w:sz w:val="24"/>
              <w:szCs w:val="24"/>
              <w:highlight w:val="white"/>
              <w:lang w:val="en-US"/>
            </w:rPr>
            <w:t>(OSCE, 2022)</w:t>
          </w:r>
          <w:r w:rsidR="006D757D">
            <w:rPr>
              <w:rFonts w:ascii="Times New Roman" w:eastAsia="Times New Roman" w:hAnsi="Times New Roman" w:cs="Times New Roman"/>
              <w:color w:val="1F1F1F"/>
              <w:sz w:val="24"/>
              <w:szCs w:val="24"/>
              <w:highlight w:val="white"/>
            </w:rPr>
            <w:fldChar w:fldCharType="end"/>
          </w:r>
        </w:sdtContent>
      </w:sdt>
      <w:r>
        <w:rPr>
          <w:rFonts w:ascii="Times New Roman" w:eastAsia="Times New Roman" w:hAnsi="Times New Roman" w:cs="Times New Roman"/>
          <w:color w:val="1F1F1F"/>
          <w:sz w:val="24"/>
          <w:szCs w:val="24"/>
          <w:highlight w:val="white"/>
        </w:rPr>
        <w:t xml:space="preserve">. </w:t>
      </w:r>
      <w:r w:rsidR="006D757D">
        <w:rPr>
          <w:rFonts w:ascii="Times New Roman" w:eastAsia="Times New Roman" w:hAnsi="Times New Roman" w:cs="Times New Roman"/>
          <w:color w:val="1F1F1F"/>
          <w:sz w:val="24"/>
          <w:szCs w:val="24"/>
          <w:highlight w:val="white"/>
        </w:rPr>
        <w:t>Effective</w:t>
      </w:r>
      <w:r>
        <w:rPr>
          <w:rFonts w:ascii="Times New Roman" w:eastAsia="Times New Roman" w:hAnsi="Times New Roman" w:cs="Times New Roman"/>
          <w:color w:val="1F1F1F"/>
          <w:sz w:val="24"/>
          <w:szCs w:val="24"/>
          <w:highlight w:val="white"/>
        </w:rPr>
        <w:t xml:space="preserve"> communication allows police to gather inputs and </w:t>
      </w:r>
      <w:r w:rsidR="006D757D">
        <w:rPr>
          <w:rFonts w:ascii="Times New Roman" w:eastAsia="Times New Roman" w:hAnsi="Times New Roman" w:cs="Times New Roman"/>
          <w:color w:val="1F1F1F"/>
          <w:sz w:val="24"/>
          <w:szCs w:val="24"/>
          <w:highlight w:val="white"/>
        </w:rPr>
        <w:t>address</w:t>
      </w:r>
      <w:r>
        <w:rPr>
          <w:rFonts w:ascii="Times New Roman" w:eastAsia="Times New Roman" w:hAnsi="Times New Roman" w:cs="Times New Roman"/>
          <w:color w:val="1F1F1F"/>
          <w:sz w:val="24"/>
          <w:szCs w:val="24"/>
          <w:highlight w:val="white"/>
        </w:rPr>
        <w:t xml:space="preserve"> </w:t>
      </w:r>
      <w:r w:rsidR="006D757D">
        <w:rPr>
          <w:rFonts w:ascii="Times New Roman" w:eastAsia="Times New Roman" w:hAnsi="Times New Roman" w:cs="Times New Roman"/>
          <w:color w:val="1F1F1F"/>
          <w:sz w:val="24"/>
          <w:szCs w:val="24"/>
          <w:highlight w:val="white"/>
        </w:rPr>
        <w:t>concerns</w:t>
      </w:r>
      <w:r>
        <w:rPr>
          <w:rFonts w:ascii="Times New Roman" w:eastAsia="Times New Roman" w:hAnsi="Times New Roman" w:cs="Times New Roman"/>
          <w:color w:val="1F1F1F"/>
          <w:sz w:val="24"/>
          <w:szCs w:val="24"/>
          <w:highlight w:val="white"/>
        </w:rPr>
        <w:t xml:space="preserve"> related to public safety by engaging with communities. This helps police in enhancing their effectiveness while working </w:t>
      </w:r>
      <w:r w:rsidR="006D757D">
        <w:rPr>
          <w:rFonts w:ascii="Times New Roman" w:eastAsia="Times New Roman" w:hAnsi="Times New Roman" w:cs="Times New Roman"/>
          <w:color w:val="1F1F1F"/>
          <w:sz w:val="24"/>
          <w:szCs w:val="24"/>
          <w:highlight w:val="white"/>
        </w:rPr>
        <w:t xml:space="preserve">in </w:t>
      </w:r>
      <w:r>
        <w:rPr>
          <w:rFonts w:ascii="Times New Roman" w:eastAsia="Times New Roman" w:hAnsi="Times New Roman" w:cs="Times New Roman"/>
          <w:color w:val="1F1F1F"/>
          <w:sz w:val="24"/>
          <w:szCs w:val="24"/>
          <w:highlight w:val="white"/>
        </w:rPr>
        <w:t>partnership.</w:t>
      </w:r>
    </w:p>
    <w:p w14:paraId="5389CE5E" w14:textId="77777777" w:rsidR="00C50C97" w:rsidRDefault="00C50C97" w:rsidP="00C50C97">
      <w:pPr>
        <w:rPr>
          <w:rFonts w:ascii="Times New Roman" w:eastAsia="Times New Roman" w:hAnsi="Times New Roman" w:cs="Times New Roman"/>
          <w:color w:val="1F1F1F"/>
          <w:sz w:val="24"/>
          <w:szCs w:val="24"/>
        </w:rPr>
      </w:pPr>
    </w:p>
    <w:p w14:paraId="2061F0DB" w14:textId="075E9BC0" w:rsidR="001A1B8A" w:rsidRDefault="001A1B8A" w:rsidP="00C50C97">
      <w:pPr>
        <w:rPr>
          <w:b/>
          <w:bCs/>
          <w:i/>
          <w:iCs/>
          <w:color w:val="FF0000"/>
          <w:sz w:val="32"/>
          <w:szCs w:val="32"/>
          <w:u w:val="single"/>
          <w:shd w:val="clear" w:color="auto" w:fill="FFFFFF"/>
        </w:rPr>
      </w:pPr>
      <w:r w:rsidRPr="006269C4">
        <w:rPr>
          <w:b/>
          <w:bCs/>
          <w:i/>
          <w:iCs/>
          <w:color w:val="FF0000"/>
          <w:sz w:val="32"/>
          <w:szCs w:val="32"/>
          <w:u w:val="single"/>
          <w:shd w:val="clear" w:color="auto" w:fill="FFFFFF"/>
        </w:rPr>
        <w:t>Conclusion</w:t>
      </w:r>
      <w:r w:rsidR="006269C4" w:rsidRPr="006269C4">
        <w:rPr>
          <w:b/>
          <w:bCs/>
          <w:i/>
          <w:iCs/>
          <w:color w:val="FF0000"/>
          <w:sz w:val="32"/>
          <w:szCs w:val="32"/>
          <w:u w:val="single"/>
          <w:shd w:val="clear" w:color="auto" w:fill="FFFFFF"/>
        </w:rPr>
        <w:t>:</w:t>
      </w:r>
    </w:p>
    <w:p w14:paraId="7DA97F72" w14:textId="77777777" w:rsidR="00C50C97" w:rsidRPr="00C50C97" w:rsidRDefault="00C50C97" w:rsidP="00C50C97">
      <w:pPr>
        <w:rPr>
          <w:rFonts w:ascii="Times New Roman" w:eastAsia="Times New Roman" w:hAnsi="Times New Roman" w:cs="Times New Roman"/>
          <w:color w:val="1F1F1F"/>
          <w:sz w:val="24"/>
          <w:szCs w:val="24"/>
          <w:highlight w:val="white"/>
        </w:rPr>
      </w:pPr>
    </w:p>
    <w:p w14:paraId="6861B5C8" w14:textId="316BCA82" w:rsidR="001A1B8A" w:rsidRDefault="001A1B8A" w:rsidP="001A1B8A">
      <w:pPr>
        <w:pStyle w:val="NormalWeb"/>
        <w:shd w:val="clear" w:color="auto" w:fill="FFFFFF"/>
        <w:spacing w:before="0" w:beforeAutospacing="0" w:after="0" w:afterAutospacing="0" w:line="480" w:lineRule="auto"/>
        <w:jc w:val="both"/>
        <w:rPr>
          <w:color w:val="000000"/>
          <w:shd w:val="clear" w:color="auto" w:fill="FFFFFF"/>
        </w:rPr>
      </w:pPr>
      <w:r>
        <w:rPr>
          <w:color w:val="000000"/>
          <w:shd w:val="clear" w:color="auto" w:fill="FFFFFF"/>
        </w:rPr>
        <w:t xml:space="preserve">Policing in the UK is used to balance the need for effective law enforcement to maintain </w:t>
      </w:r>
      <w:r w:rsidR="00C87136">
        <w:rPr>
          <w:color w:val="000000"/>
          <w:shd w:val="clear" w:color="auto" w:fill="FFFFFF"/>
        </w:rPr>
        <w:t>prosperity in the society</w:t>
      </w:r>
      <w:r>
        <w:rPr>
          <w:color w:val="000000"/>
          <w:shd w:val="clear" w:color="auto" w:fill="FFFFFF"/>
        </w:rPr>
        <w:t>. Concluding the essay on evidence-based approaches to policing decisions, the above essay discussed the importance of partnership working on policing practices. This essay has highlighted how evidence-based policing has impacted policing practices with the help of information sharing. Further, the essay has elaborated on the need for effective communication to apply partnership working and information sharing in policing practice. The essay has demonstrated the importance of partnership working and information sharing which helps establish transparency and trust within the community. </w:t>
      </w:r>
    </w:p>
    <w:p w14:paraId="00000006" w14:textId="334CB87D" w:rsidR="00F85A1A" w:rsidRDefault="00F85A1A" w:rsidP="001A1B8A">
      <w:pPr>
        <w:jc w:val="both"/>
        <w:rPr>
          <w:rFonts w:ascii="Times New Roman" w:eastAsia="Times New Roman" w:hAnsi="Times New Roman" w:cs="Times New Roman"/>
          <w:color w:val="1F1F1F"/>
          <w:sz w:val="24"/>
          <w:szCs w:val="24"/>
          <w:highlight w:val="white"/>
        </w:rPr>
      </w:pPr>
    </w:p>
    <w:p w14:paraId="00000009" w14:textId="77777777" w:rsidR="00F85A1A" w:rsidRDefault="00675505">
      <w:pPr>
        <w:spacing w:line="480" w:lineRule="auto"/>
        <w:jc w:val="both"/>
        <w:rPr>
          <w:rFonts w:ascii="Times New Roman" w:eastAsia="Times New Roman" w:hAnsi="Times New Roman" w:cs="Times New Roman"/>
          <w:color w:val="1F1F1F"/>
          <w:sz w:val="24"/>
          <w:szCs w:val="24"/>
          <w:highlight w:val="white"/>
        </w:rPr>
      </w:pPr>
      <w:r>
        <w:br w:type="page"/>
      </w:r>
    </w:p>
    <w:p w14:paraId="0000000A" w14:textId="00820208" w:rsidR="00F85A1A" w:rsidRPr="006269C4" w:rsidRDefault="00675505" w:rsidP="009703AA">
      <w:pPr>
        <w:pStyle w:val="Heading1"/>
        <w:rPr>
          <w:i/>
          <w:iCs/>
          <w:color w:val="FF0000"/>
          <w:sz w:val="32"/>
          <w:szCs w:val="32"/>
          <w:highlight w:val="white"/>
          <w:u w:val="single"/>
        </w:rPr>
      </w:pPr>
      <w:r w:rsidRPr="006269C4">
        <w:rPr>
          <w:i/>
          <w:iCs/>
          <w:color w:val="FF0000"/>
          <w:sz w:val="32"/>
          <w:szCs w:val="32"/>
          <w:highlight w:val="white"/>
          <w:u w:val="single"/>
        </w:rPr>
        <w:t>References</w:t>
      </w:r>
      <w:r w:rsidR="006269C4">
        <w:rPr>
          <w:i/>
          <w:iCs/>
          <w:color w:val="FF0000"/>
          <w:sz w:val="32"/>
          <w:szCs w:val="32"/>
          <w:highlight w:val="white"/>
          <w:u w:val="single"/>
        </w:rPr>
        <w:t>:</w:t>
      </w:r>
    </w:p>
    <w:p w14:paraId="5329550F" w14:textId="4044F62B" w:rsidR="005816ED" w:rsidRPr="008F5AC7" w:rsidRDefault="005816ED" w:rsidP="009129D6">
      <w:pPr>
        <w:pStyle w:val="NormalWeb"/>
        <w:numPr>
          <w:ilvl w:val="0"/>
          <w:numId w:val="1"/>
        </w:numPr>
        <w:shd w:val="clear" w:color="auto" w:fill="FFFFFF"/>
        <w:spacing w:after="0" w:line="480" w:lineRule="auto"/>
        <w:jc w:val="both"/>
        <w:rPr>
          <w:rFonts w:ascii="Agency FB" w:hAnsi="Agency FB" w:cs="Aharoni"/>
          <w:i/>
          <w:iCs/>
          <w:sz w:val="16"/>
          <w:szCs w:val="16"/>
        </w:rPr>
      </w:pPr>
      <w:r w:rsidRPr="008F5AC7">
        <w:rPr>
          <w:rFonts w:ascii="Agency FB" w:hAnsi="Agency FB" w:cs="Aharoni"/>
          <w:i/>
          <w:iCs/>
          <w:sz w:val="16"/>
          <w:szCs w:val="16"/>
        </w:rPr>
        <w:t>assets, (2024). National support framework: delivering safer and confident communities. [Online] Available at: https://assets.publishing.service.gov.uk/media/5a799b2d40f0b642860d960a/guidance.pdf [Accessed 21 April 2024].</w:t>
      </w:r>
    </w:p>
    <w:p w14:paraId="73B0FB56" w14:textId="2990AD09" w:rsidR="005816ED" w:rsidRPr="008F5AC7" w:rsidRDefault="005816ED" w:rsidP="009129D6">
      <w:pPr>
        <w:pStyle w:val="ListParagraph"/>
        <w:numPr>
          <w:ilvl w:val="0"/>
          <w:numId w:val="1"/>
        </w:numPr>
        <w:spacing w:line="480" w:lineRule="auto"/>
        <w:jc w:val="both"/>
        <w:rPr>
          <w:rFonts w:ascii="Agency FB" w:eastAsia="Times New Roman" w:hAnsi="Agency FB" w:cs="Aharoni"/>
          <w:i/>
          <w:iCs/>
          <w:color w:val="1F1F1F"/>
          <w:sz w:val="16"/>
          <w:szCs w:val="16"/>
          <w:highlight w:val="white"/>
        </w:rPr>
      </w:pPr>
      <w:r w:rsidRPr="008F5AC7">
        <w:rPr>
          <w:rFonts w:ascii="Agency FB" w:eastAsia="Times New Roman" w:hAnsi="Agency FB" w:cs="Aharoni"/>
          <w:i/>
          <w:iCs/>
          <w:color w:val="1F1F1F"/>
          <w:sz w:val="16"/>
          <w:szCs w:val="16"/>
          <w:highlight w:val="white"/>
        </w:rPr>
        <w:t xml:space="preserve">Aston, E.V., O’Neill, M., Hail, Y. and Wooff, A., (2023). Information sharing in community policing in Europe: Building public confidence. European Journal of Criminology, 20(4), pp.1349-1368.  </w:t>
      </w:r>
    </w:p>
    <w:p w14:paraId="67A6F8BE" w14:textId="06ADB1E4" w:rsidR="005816ED" w:rsidRPr="008F5AC7" w:rsidRDefault="005816ED" w:rsidP="004A4156">
      <w:pPr>
        <w:pStyle w:val="ListParagraph"/>
        <w:numPr>
          <w:ilvl w:val="0"/>
          <w:numId w:val="1"/>
        </w:numPr>
        <w:spacing w:line="480" w:lineRule="auto"/>
        <w:jc w:val="both"/>
        <w:rPr>
          <w:rFonts w:ascii="Agency FB" w:eastAsia="Times New Roman" w:hAnsi="Agency FB" w:cs="Aharoni"/>
          <w:i/>
          <w:iCs/>
          <w:color w:val="1F1F1F"/>
          <w:sz w:val="16"/>
          <w:szCs w:val="16"/>
        </w:rPr>
      </w:pPr>
      <w:r w:rsidRPr="008F5AC7">
        <w:rPr>
          <w:rFonts w:ascii="Agency FB" w:eastAsia="Times New Roman" w:hAnsi="Agency FB" w:cs="Aharoni"/>
          <w:i/>
          <w:iCs/>
          <w:color w:val="1F1F1F"/>
          <w:sz w:val="16"/>
          <w:szCs w:val="16"/>
        </w:rPr>
        <w:t>BRC, (2024). Partnership Working Best Practice Examples. [Online] Available at: https://brc.org.uk/nrcsg-against-shop-worker-abuse-and-violence/partnership-working/section-4-partnership-working-best-practice-examples/ [Accessed 19 April 2024].</w:t>
      </w:r>
    </w:p>
    <w:p w14:paraId="0BA17D73" w14:textId="0622E71B" w:rsidR="005816ED" w:rsidRPr="008F5AC7" w:rsidRDefault="005816ED" w:rsidP="004A4156">
      <w:pPr>
        <w:pStyle w:val="ListParagraph"/>
        <w:numPr>
          <w:ilvl w:val="0"/>
          <w:numId w:val="1"/>
        </w:numPr>
        <w:spacing w:line="480" w:lineRule="auto"/>
        <w:jc w:val="both"/>
        <w:rPr>
          <w:rFonts w:ascii="Agency FB" w:eastAsia="Times New Roman" w:hAnsi="Agency FB" w:cs="Aharoni"/>
          <w:i/>
          <w:iCs/>
          <w:color w:val="1F1F1F"/>
          <w:sz w:val="16"/>
          <w:szCs w:val="16"/>
        </w:rPr>
      </w:pPr>
      <w:r w:rsidRPr="008F5AC7">
        <w:rPr>
          <w:rFonts w:ascii="Agency FB" w:eastAsia="Times New Roman" w:hAnsi="Agency FB" w:cs="Aharoni"/>
          <w:i/>
          <w:iCs/>
          <w:color w:val="1F1F1F"/>
          <w:sz w:val="16"/>
          <w:szCs w:val="16"/>
        </w:rPr>
        <w:t>Careers in Blue, (2024). Policing &amp; Partnership Working – Why is this important. [Online] Available at: https://careersinblue.co.uk/partnership-working-why-is-this-important/ [Accessed 19 April 2024].</w:t>
      </w:r>
    </w:p>
    <w:p w14:paraId="4D5651E2" w14:textId="66B30F8C" w:rsidR="005816ED" w:rsidRPr="008F5AC7" w:rsidRDefault="005816ED" w:rsidP="004A4156">
      <w:pPr>
        <w:pStyle w:val="ListParagraph"/>
        <w:numPr>
          <w:ilvl w:val="0"/>
          <w:numId w:val="1"/>
        </w:numPr>
        <w:spacing w:line="480" w:lineRule="auto"/>
        <w:jc w:val="both"/>
        <w:rPr>
          <w:rFonts w:ascii="Agency FB" w:eastAsia="Times New Roman" w:hAnsi="Agency FB" w:cs="Aharoni"/>
          <w:i/>
          <w:iCs/>
          <w:color w:val="1F1F1F"/>
          <w:sz w:val="16"/>
          <w:szCs w:val="16"/>
        </w:rPr>
      </w:pPr>
      <w:r w:rsidRPr="008F5AC7">
        <w:rPr>
          <w:rFonts w:ascii="Agency FB" w:eastAsia="Times New Roman" w:hAnsi="Agency FB" w:cs="Aharoni"/>
          <w:i/>
          <w:iCs/>
          <w:color w:val="1F1F1F"/>
          <w:sz w:val="16"/>
          <w:szCs w:val="16"/>
        </w:rPr>
        <w:t>College of Policing, (2023). Partnerships. [Online] Available at: https://www.college.police.uk/guidance/effective-implementation-problem-oriented-policing/partnerships [Accessed 22 April 2024].</w:t>
      </w:r>
    </w:p>
    <w:p w14:paraId="03903248" w14:textId="6B76BCB2" w:rsidR="005816ED" w:rsidRPr="008F5AC7" w:rsidRDefault="005816ED" w:rsidP="004A4156">
      <w:pPr>
        <w:pStyle w:val="NormalWeb"/>
        <w:numPr>
          <w:ilvl w:val="0"/>
          <w:numId w:val="1"/>
        </w:numPr>
        <w:shd w:val="clear" w:color="auto" w:fill="FFFFFF"/>
        <w:spacing w:after="0" w:line="480" w:lineRule="auto"/>
        <w:jc w:val="both"/>
        <w:rPr>
          <w:rFonts w:ascii="Agency FB" w:hAnsi="Agency FB" w:cs="Aharoni"/>
          <w:i/>
          <w:iCs/>
          <w:sz w:val="16"/>
          <w:szCs w:val="16"/>
        </w:rPr>
      </w:pPr>
      <w:r w:rsidRPr="008F5AC7">
        <w:rPr>
          <w:rFonts w:ascii="Agency FB" w:hAnsi="Agency FB" w:cs="Aharoni"/>
          <w:i/>
          <w:iCs/>
          <w:sz w:val="16"/>
          <w:szCs w:val="16"/>
        </w:rPr>
        <w:t>College, (2024). Information sharing | College of Policing. [Online] Available at: https://www.college.police.uk/app/information-management/information-sharing [Accessed 21 April 2024].</w:t>
      </w:r>
    </w:p>
    <w:p w14:paraId="4DE5AC34" w14:textId="7779D7CC" w:rsidR="005816ED" w:rsidRPr="008F5AC7" w:rsidRDefault="005816ED" w:rsidP="004A4156">
      <w:pPr>
        <w:pStyle w:val="ListParagraph"/>
        <w:numPr>
          <w:ilvl w:val="0"/>
          <w:numId w:val="1"/>
        </w:numPr>
        <w:spacing w:line="480" w:lineRule="auto"/>
        <w:jc w:val="both"/>
        <w:rPr>
          <w:rFonts w:ascii="Agency FB" w:eastAsia="Times New Roman" w:hAnsi="Agency FB" w:cs="Aharoni"/>
          <w:i/>
          <w:iCs/>
          <w:color w:val="1F1F1F"/>
          <w:sz w:val="16"/>
          <w:szCs w:val="16"/>
          <w:highlight w:val="white"/>
        </w:rPr>
      </w:pPr>
      <w:r w:rsidRPr="008F5AC7">
        <w:rPr>
          <w:rFonts w:ascii="Agency FB" w:eastAsia="Times New Roman" w:hAnsi="Agency FB" w:cs="Aharoni"/>
          <w:i/>
          <w:iCs/>
          <w:color w:val="1F1F1F"/>
          <w:sz w:val="16"/>
          <w:szCs w:val="16"/>
        </w:rPr>
        <w:t>Emerson, M. S., (2021). 8 Ways You Can Improve Your Communication Skills. [Online] Available at: https://professional.dce.harvard.edu/blog/8-ways-you-can-improve-your-communication-skills/ [Accessed 20 April 2024].</w:t>
      </w:r>
    </w:p>
    <w:p w14:paraId="7F0C1BA2" w14:textId="762C3EC9" w:rsidR="005816ED" w:rsidRPr="008F5AC7" w:rsidRDefault="005816ED" w:rsidP="004A4156">
      <w:pPr>
        <w:pStyle w:val="ListParagraph"/>
        <w:numPr>
          <w:ilvl w:val="0"/>
          <w:numId w:val="1"/>
        </w:numPr>
        <w:spacing w:line="480" w:lineRule="auto"/>
        <w:jc w:val="both"/>
        <w:rPr>
          <w:rFonts w:ascii="Agency FB" w:eastAsia="Times New Roman" w:hAnsi="Agency FB" w:cs="Aharoni"/>
          <w:i/>
          <w:iCs/>
          <w:color w:val="1F1F1F"/>
          <w:sz w:val="16"/>
          <w:szCs w:val="16"/>
        </w:rPr>
      </w:pPr>
      <w:r w:rsidRPr="008F5AC7">
        <w:rPr>
          <w:rFonts w:ascii="Agency FB" w:eastAsia="Times New Roman" w:hAnsi="Agency FB" w:cs="Aharoni"/>
          <w:i/>
          <w:iCs/>
          <w:color w:val="1F1F1F"/>
          <w:sz w:val="16"/>
          <w:szCs w:val="16"/>
        </w:rPr>
        <w:t>Fu, Y., Li, C., Yu, F.R., Luan, T.H. and Zhang, Y., (2021). A survey of driving safety with sensing, vehicular communications, and artificial intelligence-based collision avoidance. IEEE transactions on intelligent transportation systems, 23(7), pp.6142-6163.</w:t>
      </w:r>
    </w:p>
    <w:p w14:paraId="0E8D0067" w14:textId="23DBBEBD" w:rsidR="005816ED" w:rsidRPr="008F5AC7" w:rsidRDefault="005816ED" w:rsidP="004A4156">
      <w:pPr>
        <w:pStyle w:val="NormalWeb"/>
        <w:numPr>
          <w:ilvl w:val="0"/>
          <w:numId w:val="1"/>
        </w:numPr>
        <w:shd w:val="clear" w:color="auto" w:fill="FFFFFF"/>
        <w:spacing w:after="0" w:line="480" w:lineRule="auto"/>
        <w:jc w:val="both"/>
        <w:rPr>
          <w:rFonts w:ascii="Agency FB" w:hAnsi="Agency FB" w:cs="Aharoni"/>
          <w:i/>
          <w:iCs/>
          <w:sz w:val="16"/>
          <w:szCs w:val="16"/>
        </w:rPr>
      </w:pPr>
      <w:r w:rsidRPr="008F5AC7">
        <w:rPr>
          <w:rFonts w:ascii="Agency FB" w:hAnsi="Agency FB" w:cs="Aharoni"/>
          <w:i/>
          <w:iCs/>
          <w:sz w:val="16"/>
          <w:szCs w:val="16"/>
        </w:rPr>
        <w:t>GOV.UK, (2024). Review of data sharing: migrant victims and witnesses of crime (accessible version). [Online] Available at: https://www.gov.uk/government/publications/review-of-data-sharing-migrant-victims-and-witnesses-of-crime/review-of-data-sharing-migrant-victims-and-witnesses-of-crime-accessible-version [Accessed 21 April 2024].</w:t>
      </w:r>
    </w:p>
    <w:p w14:paraId="52552E48" w14:textId="2FF7BB6F" w:rsidR="005816ED" w:rsidRPr="008F5AC7" w:rsidRDefault="005816ED" w:rsidP="004A4156">
      <w:pPr>
        <w:pStyle w:val="ListParagraph"/>
        <w:numPr>
          <w:ilvl w:val="0"/>
          <w:numId w:val="1"/>
        </w:numPr>
        <w:spacing w:line="480" w:lineRule="auto"/>
        <w:jc w:val="both"/>
        <w:rPr>
          <w:rFonts w:ascii="Agency FB" w:eastAsia="Times New Roman" w:hAnsi="Agency FB" w:cs="Aharoni"/>
          <w:i/>
          <w:iCs/>
          <w:color w:val="1F1F1F"/>
          <w:sz w:val="16"/>
          <w:szCs w:val="16"/>
        </w:rPr>
      </w:pPr>
      <w:r w:rsidRPr="008F5AC7">
        <w:rPr>
          <w:rFonts w:ascii="Agency FB" w:eastAsia="Times New Roman" w:hAnsi="Agency FB" w:cs="Aharoni"/>
          <w:i/>
          <w:iCs/>
          <w:color w:val="1F1F1F"/>
          <w:sz w:val="16"/>
          <w:szCs w:val="16"/>
        </w:rPr>
        <w:t>OSCE, (2022). Police-Public Partnerships. [Online] Available at: https://www.osce.org/files/f/documents/8/4/32547_0.pdf [Accessed 22 April 2024].</w:t>
      </w:r>
    </w:p>
    <w:p w14:paraId="28DD6935" w14:textId="0C55827B" w:rsidR="005816ED" w:rsidRPr="008F5AC7" w:rsidRDefault="005816ED" w:rsidP="00E813E5">
      <w:pPr>
        <w:pStyle w:val="ListParagraph"/>
        <w:numPr>
          <w:ilvl w:val="0"/>
          <w:numId w:val="1"/>
        </w:numPr>
        <w:spacing w:line="480" w:lineRule="auto"/>
        <w:jc w:val="both"/>
        <w:rPr>
          <w:rFonts w:ascii="Agency FB" w:eastAsia="Times New Roman" w:hAnsi="Agency FB" w:cs="Aharoni"/>
          <w:i/>
          <w:iCs/>
          <w:color w:val="1F1F1F"/>
          <w:sz w:val="16"/>
          <w:szCs w:val="16"/>
        </w:rPr>
      </w:pPr>
      <w:r w:rsidRPr="008F5AC7">
        <w:rPr>
          <w:rFonts w:ascii="Agency FB" w:eastAsia="Times New Roman" w:hAnsi="Agency FB" w:cs="Aharoni"/>
          <w:i/>
          <w:iCs/>
          <w:color w:val="1F1F1F"/>
          <w:sz w:val="16"/>
          <w:szCs w:val="16"/>
        </w:rPr>
        <w:t>The Henry C. Lee Institute of Forensic Science, (2024). SMART POLICING COLLABORATION PRINCIPLES. [Online] Available at: http://www.henryleeinstitute.com/wp-content/uploads/2017/03/SPICollaborationPrinciples.pdf [Accessed 22 April 2024].</w:t>
      </w:r>
    </w:p>
    <w:p w14:paraId="5119E30E" w14:textId="515C045F" w:rsidR="005816ED" w:rsidRPr="008F5AC7" w:rsidRDefault="005816ED" w:rsidP="00E813E5">
      <w:pPr>
        <w:pStyle w:val="ListParagraph"/>
        <w:numPr>
          <w:ilvl w:val="0"/>
          <w:numId w:val="1"/>
        </w:numPr>
        <w:spacing w:line="480" w:lineRule="auto"/>
        <w:jc w:val="both"/>
        <w:rPr>
          <w:rFonts w:ascii="Agency FB" w:eastAsia="Times New Roman" w:hAnsi="Agency FB" w:cs="Aharoni"/>
          <w:i/>
          <w:iCs/>
          <w:color w:val="1F1F1F"/>
          <w:sz w:val="16"/>
          <w:szCs w:val="16"/>
        </w:rPr>
      </w:pPr>
      <w:r w:rsidRPr="008F5AC7">
        <w:rPr>
          <w:rFonts w:ascii="Agency FB" w:eastAsia="Times New Roman" w:hAnsi="Agency FB" w:cs="Aharoni"/>
          <w:i/>
          <w:iCs/>
          <w:color w:val="1F1F1F"/>
          <w:sz w:val="16"/>
          <w:szCs w:val="16"/>
        </w:rPr>
        <w:t>Thornhill-Miller, B., Camarda, A., Mercier, M., Burkhardt, J.M., Morisseau, T., Bourgeois-</w:t>
      </w:r>
      <w:proofErr w:type="spellStart"/>
      <w:r w:rsidRPr="008F5AC7">
        <w:rPr>
          <w:rFonts w:ascii="Agency FB" w:eastAsia="Times New Roman" w:hAnsi="Agency FB" w:cs="Aharoni"/>
          <w:i/>
          <w:iCs/>
          <w:color w:val="1F1F1F"/>
          <w:sz w:val="16"/>
          <w:szCs w:val="16"/>
        </w:rPr>
        <w:t>Bougrine</w:t>
      </w:r>
      <w:proofErr w:type="spellEnd"/>
      <w:r w:rsidRPr="008F5AC7">
        <w:rPr>
          <w:rFonts w:ascii="Agency FB" w:eastAsia="Times New Roman" w:hAnsi="Agency FB" w:cs="Aharoni"/>
          <w:i/>
          <w:iCs/>
          <w:color w:val="1F1F1F"/>
          <w:sz w:val="16"/>
          <w:szCs w:val="16"/>
        </w:rPr>
        <w:t xml:space="preserve">, S., </w:t>
      </w:r>
      <w:proofErr w:type="spellStart"/>
      <w:r w:rsidRPr="008F5AC7">
        <w:rPr>
          <w:rFonts w:ascii="Agency FB" w:eastAsia="Times New Roman" w:hAnsi="Agency FB" w:cs="Aharoni"/>
          <w:i/>
          <w:iCs/>
          <w:color w:val="1F1F1F"/>
          <w:sz w:val="16"/>
          <w:szCs w:val="16"/>
        </w:rPr>
        <w:t>Vinchon</w:t>
      </w:r>
      <w:proofErr w:type="spellEnd"/>
      <w:r w:rsidRPr="008F5AC7">
        <w:rPr>
          <w:rFonts w:ascii="Agency FB" w:eastAsia="Times New Roman" w:hAnsi="Agency FB" w:cs="Aharoni"/>
          <w:i/>
          <w:iCs/>
          <w:color w:val="1F1F1F"/>
          <w:sz w:val="16"/>
          <w:szCs w:val="16"/>
        </w:rPr>
        <w:t xml:space="preserve">, F., El Hayek, S., </w:t>
      </w:r>
      <w:proofErr w:type="spellStart"/>
      <w:r w:rsidRPr="008F5AC7">
        <w:rPr>
          <w:rFonts w:ascii="Agency FB" w:eastAsia="Times New Roman" w:hAnsi="Agency FB" w:cs="Aharoni"/>
          <w:i/>
          <w:iCs/>
          <w:color w:val="1F1F1F"/>
          <w:sz w:val="16"/>
          <w:szCs w:val="16"/>
        </w:rPr>
        <w:t>Augereau-Landais</w:t>
      </w:r>
      <w:proofErr w:type="spellEnd"/>
      <w:r w:rsidRPr="008F5AC7">
        <w:rPr>
          <w:rFonts w:ascii="Agency FB" w:eastAsia="Times New Roman" w:hAnsi="Agency FB" w:cs="Aharoni"/>
          <w:i/>
          <w:iCs/>
          <w:color w:val="1F1F1F"/>
          <w:sz w:val="16"/>
          <w:szCs w:val="16"/>
        </w:rPr>
        <w:t xml:space="preserve">, M., Mourey, F. and </w:t>
      </w:r>
      <w:proofErr w:type="spellStart"/>
      <w:r w:rsidRPr="008F5AC7">
        <w:rPr>
          <w:rFonts w:ascii="Agency FB" w:eastAsia="Times New Roman" w:hAnsi="Agency FB" w:cs="Aharoni"/>
          <w:i/>
          <w:iCs/>
          <w:color w:val="1F1F1F"/>
          <w:sz w:val="16"/>
          <w:szCs w:val="16"/>
        </w:rPr>
        <w:t>Feybesse</w:t>
      </w:r>
      <w:proofErr w:type="spellEnd"/>
      <w:r w:rsidRPr="008F5AC7">
        <w:rPr>
          <w:rFonts w:ascii="Agency FB" w:eastAsia="Times New Roman" w:hAnsi="Agency FB" w:cs="Aharoni"/>
          <w:i/>
          <w:iCs/>
          <w:color w:val="1F1F1F"/>
          <w:sz w:val="16"/>
          <w:szCs w:val="16"/>
        </w:rPr>
        <w:t>, C., (2023). Creativity, critical thinking, communication, and collaboration: assessment, certification, and promotion of 21st century skills for the future of work and education. Journal of Intelligence, 11(3), p.54.</w:t>
      </w:r>
    </w:p>
    <w:sectPr w:rsidR="005816ED" w:rsidRPr="008F5AC7" w:rsidSect="00E33FB8">
      <w:headerReference w:type="default" r:id="rId8"/>
      <w:footerReference w:type="default" r:id="rId9"/>
      <w:headerReference w:type="first" r:id="rId10"/>
      <w:footerReference w:type="first" r:id="rId1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7D175" w14:textId="77777777" w:rsidR="00E33FB8" w:rsidRDefault="00E33FB8" w:rsidP="009703AA">
      <w:pPr>
        <w:spacing w:line="240" w:lineRule="auto"/>
      </w:pPr>
      <w:r>
        <w:separator/>
      </w:r>
    </w:p>
  </w:endnote>
  <w:endnote w:type="continuationSeparator" w:id="0">
    <w:p w14:paraId="14702CC5" w14:textId="77777777" w:rsidR="00E33FB8" w:rsidRDefault="00E33FB8" w:rsidP="009703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Mangal">
    <w:panose1 w:val="02040503050203030202"/>
    <w:charset w:val="01"/>
    <w:family w:val="roman"/>
    <w:pitch w:val="variable"/>
    <w:sig w:usb0="0000A003" w:usb1="00000000" w:usb2="00000000" w:usb3="00000000" w:csb0="00000001" w:csb1="00000000"/>
  </w:font>
  <w:font w:name="Roboto">
    <w:panose1 w:val="02000000000000000000"/>
    <w:charset w:val="00"/>
    <w:family w:val="auto"/>
    <w:pitch w:val="variable"/>
    <w:sig w:usb0="E00002FF" w:usb1="5000217F" w:usb2="00000021" w:usb3="00000000" w:csb0="0000019F" w:csb1="00000000"/>
    <w:embedBold r:id="rId3" w:fontKey="{E9231116-1954-45EE-9343-62270E32CB2C}"/>
  </w:font>
  <w:font w:name="Agency FB">
    <w:panose1 w:val="020B0503020202020204"/>
    <w:charset w:val="00"/>
    <w:family w:val="swiss"/>
    <w:pitch w:val="variable"/>
    <w:sig w:usb0="00000003" w:usb1="00000000" w:usb2="00000000" w:usb3="00000000" w:csb0="00000001" w:csb1="00000000"/>
  </w:font>
  <w:font w:name="Aharoni">
    <w:panose1 w:val="02010803020104030203"/>
    <w:charset w:val="B1"/>
    <w:family w:val="auto"/>
    <w:pitch w:val="variable"/>
    <w:sig w:usb0="00000803" w:usb1="00000000" w:usb2="00000000" w:usb3="00000000" w:csb0="00000021" w:csb1="00000000"/>
  </w:font>
  <w:font w:name="Calibri">
    <w:panose1 w:val="020F0502020204030204"/>
    <w:charset w:val="00"/>
    <w:family w:val="swiss"/>
    <w:pitch w:val="variable"/>
    <w:sig w:usb0="E00002FF" w:usb1="4000ACFF" w:usb2="00000001" w:usb3="00000000" w:csb0="0000019F" w:csb1="00000000"/>
    <w:embedRegular r:id="rId4" w:fontKey="{00FFF211-3C60-4303-9312-E62D5ED9316C}"/>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1959987"/>
      <w:docPartObj>
        <w:docPartGallery w:val="Page Numbers (Bottom of Page)"/>
        <w:docPartUnique/>
      </w:docPartObj>
    </w:sdtPr>
    <w:sdtEndPr/>
    <w:sdtContent>
      <w:sdt>
        <w:sdtPr>
          <w:id w:val="-1769616900"/>
          <w:docPartObj>
            <w:docPartGallery w:val="Page Numbers (Top of Page)"/>
            <w:docPartUnique/>
          </w:docPartObj>
        </w:sdtPr>
        <w:sdtEndPr/>
        <w:sdtContent>
          <w:p w14:paraId="5DC19B61" w14:textId="1DF08749" w:rsidR="00F408A2" w:rsidRDefault="00F408A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F4DD101" w14:textId="1903D030" w:rsidR="009703AA" w:rsidRDefault="00A772A3">
    <w:pPr>
      <w:pStyle w:val="Footer"/>
    </w:pPr>
    <w:proofErr w:type="spellStart"/>
    <w:r>
      <w:t>Claudiu</w:t>
    </w:r>
    <w:proofErr w:type="spellEnd"/>
    <w:r>
      <w:t xml:space="preserve"> </w:t>
    </w:r>
    <w:proofErr w:type="spellStart"/>
    <w:r>
      <w:t>Calin</w:t>
    </w:r>
    <w:proofErr w:type="spellEnd"/>
    <w:r>
      <w:t xml:space="preserve"> Moldovan    ID: 231</w:t>
    </w:r>
    <w:r w:rsidR="00C50C97">
      <w:t>4831</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B0446F" w14:textId="7A252395" w:rsidR="00FD05E5" w:rsidRDefault="00FD05E5">
    <w:pPr>
      <w:pStyle w:val="Footer"/>
    </w:pPr>
    <w:proofErr w:type="spellStart"/>
    <w:r>
      <w:rPr>
        <w:lang w:val="en-GB"/>
      </w:rPr>
      <w:t>Claudiu</w:t>
    </w:r>
    <w:proofErr w:type="spellEnd"/>
    <w:r>
      <w:rPr>
        <w:lang w:val="en-GB"/>
      </w:rPr>
      <w:t xml:space="preserve"> </w:t>
    </w:r>
    <w:proofErr w:type="spellStart"/>
    <w:r>
      <w:rPr>
        <w:lang w:val="en-GB"/>
      </w:rPr>
      <w:t>Calin</w:t>
    </w:r>
    <w:proofErr w:type="spellEnd"/>
    <w:r>
      <w:rPr>
        <w:lang w:val="en-GB"/>
      </w:rPr>
      <w:t xml:space="preserve"> Moldovan     ID: </w:t>
    </w:r>
    <w:r w:rsidR="00A772A3">
      <w:rPr>
        <w:lang w:val="en-GB"/>
      </w:rPr>
      <w:t>2314831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34C26" w14:textId="77777777" w:rsidR="00E33FB8" w:rsidRDefault="00E33FB8" w:rsidP="009703AA">
      <w:pPr>
        <w:spacing w:line="240" w:lineRule="auto"/>
      </w:pPr>
      <w:r>
        <w:separator/>
      </w:r>
    </w:p>
  </w:footnote>
  <w:footnote w:type="continuationSeparator" w:id="0">
    <w:p w14:paraId="5B479A91" w14:textId="77777777" w:rsidR="00E33FB8" w:rsidRDefault="00E33FB8" w:rsidP="009703A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E67B4F" w14:textId="6E8B9D0A" w:rsidR="009703AA" w:rsidRPr="009703AA" w:rsidRDefault="009703AA" w:rsidP="009703AA">
    <w:pPr>
      <w:pStyle w:val="Header"/>
      <w:jc w:val="right"/>
      <w:rPr>
        <w:rFonts w:ascii="Times New Roman" w:hAnsi="Times New Roman" w:cs="Times New Roman"/>
        <w:sz w:val="24"/>
        <w:szCs w:val="24"/>
      </w:rPr>
    </w:pPr>
    <w:r w:rsidRPr="009703AA">
      <w:rPr>
        <w:rFonts w:ascii="Times New Roman" w:hAnsi="Times New Roman" w:cs="Times New Roman"/>
        <w:sz w:val="24"/>
        <w:szCs w:val="24"/>
      </w:rPr>
      <w:t>Evidence-based Approaches to Policing Decisions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D6B30" w14:textId="471FDCC1" w:rsidR="001B07BD" w:rsidRDefault="001B07BD">
    <w:pPr>
      <w:pStyle w:val="Header"/>
    </w:pPr>
    <w:r>
      <w:rPr>
        <w:noProof/>
      </w:rPr>
      <w:drawing>
        <wp:anchor distT="0" distB="0" distL="114300" distR="114300" simplePos="0" relativeHeight="251659264" behindDoc="0" locked="0" layoutInCell="1" allowOverlap="1" wp14:anchorId="2C64C489" wp14:editId="33E32135">
          <wp:simplePos x="0" y="0"/>
          <wp:positionH relativeFrom="column">
            <wp:posOffset>-909320</wp:posOffset>
          </wp:positionH>
          <wp:positionV relativeFrom="paragraph">
            <wp:posOffset>-421005</wp:posOffset>
          </wp:positionV>
          <wp:extent cx="1360805" cy="606425"/>
          <wp:effectExtent l="0" t="0" r="0"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1360805" cy="60642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C4C49"/>
    <w:multiLevelType w:val="hybridMultilevel"/>
    <w:tmpl w:val="8F92524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3627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5A1A"/>
    <w:rsid w:val="000A6846"/>
    <w:rsid w:val="00124795"/>
    <w:rsid w:val="001A1B8A"/>
    <w:rsid w:val="001B07BD"/>
    <w:rsid w:val="001D07A5"/>
    <w:rsid w:val="002A5DBF"/>
    <w:rsid w:val="004A4156"/>
    <w:rsid w:val="00545ECD"/>
    <w:rsid w:val="00546E97"/>
    <w:rsid w:val="005816ED"/>
    <w:rsid w:val="00596651"/>
    <w:rsid w:val="00611885"/>
    <w:rsid w:val="006269C4"/>
    <w:rsid w:val="00675505"/>
    <w:rsid w:val="006D757D"/>
    <w:rsid w:val="007834F8"/>
    <w:rsid w:val="008004F2"/>
    <w:rsid w:val="008E1CA8"/>
    <w:rsid w:val="008F5AC7"/>
    <w:rsid w:val="009129D6"/>
    <w:rsid w:val="009703AA"/>
    <w:rsid w:val="00A772A3"/>
    <w:rsid w:val="00BE37C8"/>
    <w:rsid w:val="00C24B94"/>
    <w:rsid w:val="00C50C97"/>
    <w:rsid w:val="00C87136"/>
    <w:rsid w:val="00CF2F45"/>
    <w:rsid w:val="00D479FB"/>
    <w:rsid w:val="00DA1FAA"/>
    <w:rsid w:val="00DF783A"/>
    <w:rsid w:val="00E33FB8"/>
    <w:rsid w:val="00E813E5"/>
    <w:rsid w:val="00F408A2"/>
    <w:rsid w:val="00F46003"/>
    <w:rsid w:val="00F81C8F"/>
    <w:rsid w:val="00F85A1A"/>
    <w:rsid w:val="00FD05E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EC6C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03AA"/>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rFonts w:cs="Mangal"/>
      <w:sz w:val="20"/>
      <w:szCs w:val="18"/>
    </w:rPr>
  </w:style>
  <w:style w:type="character" w:customStyle="1" w:styleId="CommentTextChar">
    <w:name w:val="Comment Text Char"/>
    <w:basedOn w:val="DefaultParagraphFont"/>
    <w:link w:val="CommentText"/>
    <w:uiPriority w:val="99"/>
    <w:semiHidden/>
    <w:rPr>
      <w:rFonts w:cs="Mangal"/>
      <w:sz w:val="20"/>
      <w:szCs w:val="18"/>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9703AA"/>
    <w:rPr>
      <w:rFonts w:ascii="Times New Roman" w:hAnsi="Times New Roman"/>
      <w:b/>
      <w:sz w:val="28"/>
      <w:szCs w:val="40"/>
    </w:rPr>
  </w:style>
  <w:style w:type="paragraph" w:styleId="Bibliography">
    <w:name w:val="Bibliography"/>
    <w:basedOn w:val="Normal"/>
    <w:next w:val="Normal"/>
    <w:uiPriority w:val="37"/>
    <w:unhideWhenUsed/>
    <w:rsid w:val="006D757D"/>
    <w:rPr>
      <w:rFonts w:cs="Mangal"/>
      <w:szCs w:val="20"/>
    </w:rPr>
  </w:style>
  <w:style w:type="character" w:styleId="Hyperlink">
    <w:name w:val="Hyperlink"/>
    <w:basedOn w:val="DefaultParagraphFont"/>
    <w:uiPriority w:val="99"/>
    <w:unhideWhenUsed/>
    <w:rsid w:val="006D757D"/>
    <w:rPr>
      <w:color w:val="0000FF" w:themeColor="hyperlink"/>
      <w:u w:val="single"/>
    </w:rPr>
  </w:style>
  <w:style w:type="character" w:styleId="UnresolvedMention">
    <w:name w:val="Unresolved Mention"/>
    <w:basedOn w:val="DefaultParagraphFont"/>
    <w:uiPriority w:val="99"/>
    <w:semiHidden/>
    <w:unhideWhenUsed/>
    <w:rsid w:val="006D757D"/>
    <w:rPr>
      <w:color w:val="605E5C"/>
      <w:shd w:val="clear" w:color="auto" w:fill="E1DFDD"/>
    </w:rPr>
  </w:style>
  <w:style w:type="paragraph" w:styleId="Header">
    <w:name w:val="header"/>
    <w:basedOn w:val="Normal"/>
    <w:link w:val="HeaderChar"/>
    <w:uiPriority w:val="99"/>
    <w:unhideWhenUsed/>
    <w:rsid w:val="009703AA"/>
    <w:pPr>
      <w:tabs>
        <w:tab w:val="center" w:pos="4680"/>
        <w:tab w:val="right" w:pos="9360"/>
      </w:tabs>
      <w:spacing w:line="240" w:lineRule="auto"/>
    </w:pPr>
    <w:rPr>
      <w:rFonts w:cs="Mangal"/>
      <w:szCs w:val="20"/>
    </w:rPr>
  </w:style>
  <w:style w:type="character" w:customStyle="1" w:styleId="HeaderChar">
    <w:name w:val="Header Char"/>
    <w:basedOn w:val="DefaultParagraphFont"/>
    <w:link w:val="Header"/>
    <w:uiPriority w:val="99"/>
    <w:rsid w:val="009703AA"/>
    <w:rPr>
      <w:rFonts w:cs="Mangal"/>
      <w:szCs w:val="20"/>
    </w:rPr>
  </w:style>
  <w:style w:type="paragraph" w:styleId="Footer">
    <w:name w:val="footer"/>
    <w:basedOn w:val="Normal"/>
    <w:link w:val="FooterChar"/>
    <w:uiPriority w:val="99"/>
    <w:unhideWhenUsed/>
    <w:rsid w:val="009703AA"/>
    <w:pPr>
      <w:tabs>
        <w:tab w:val="center" w:pos="4680"/>
        <w:tab w:val="right" w:pos="9360"/>
      </w:tabs>
      <w:spacing w:line="240" w:lineRule="auto"/>
    </w:pPr>
    <w:rPr>
      <w:rFonts w:cs="Mangal"/>
      <w:szCs w:val="20"/>
    </w:rPr>
  </w:style>
  <w:style w:type="character" w:customStyle="1" w:styleId="FooterChar">
    <w:name w:val="Footer Char"/>
    <w:basedOn w:val="DefaultParagraphFont"/>
    <w:link w:val="Footer"/>
    <w:uiPriority w:val="99"/>
    <w:rsid w:val="009703AA"/>
    <w:rPr>
      <w:rFonts w:cs="Mangal"/>
      <w:szCs w:val="20"/>
    </w:rPr>
  </w:style>
  <w:style w:type="paragraph" w:styleId="NormalWeb">
    <w:name w:val="Normal (Web)"/>
    <w:basedOn w:val="Normal"/>
    <w:uiPriority w:val="99"/>
    <w:semiHidden/>
    <w:unhideWhenUsed/>
    <w:rsid w:val="00611885"/>
    <w:pPr>
      <w:spacing w:before="100" w:beforeAutospacing="1" w:after="100" w:afterAutospacing="1" w:line="240" w:lineRule="auto"/>
    </w:pPr>
    <w:rPr>
      <w:rFonts w:ascii="Times New Roman" w:eastAsia="Times New Roman" w:hAnsi="Times New Roman" w:cs="Times New Roman"/>
      <w:sz w:val="24"/>
      <w:szCs w:val="24"/>
      <w:lang w:val="en-US" w:bidi="ar-SA"/>
    </w:rPr>
  </w:style>
  <w:style w:type="paragraph" w:styleId="ListParagraph">
    <w:name w:val="List Paragraph"/>
    <w:basedOn w:val="Normal"/>
    <w:uiPriority w:val="34"/>
    <w:qFormat/>
    <w:rsid w:val="009129D6"/>
    <w:pPr>
      <w:ind w:left="720"/>
      <w:contextualSpacing/>
    </w:pPr>
    <w:rPr>
      <w:rFonts w:cs="Mang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7867285">
      <w:bodyDiv w:val="1"/>
      <w:marLeft w:val="0"/>
      <w:marRight w:val="0"/>
      <w:marTop w:val="0"/>
      <w:marBottom w:val="0"/>
      <w:divBdr>
        <w:top w:val="none" w:sz="0" w:space="0" w:color="auto"/>
        <w:left w:val="none" w:sz="0" w:space="0" w:color="auto"/>
        <w:bottom w:val="none" w:sz="0" w:space="0" w:color="auto"/>
        <w:right w:val="none" w:sz="0" w:space="0" w:color="auto"/>
      </w:divBdr>
    </w:div>
    <w:div w:id="857740879">
      <w:bodyDiv w:val="1"/>
      <w:marLeft w:val="0"/>
      <w:marRight w:val="0"/>
      <w:marTop w:val="0"/>
      <w:marBottom w:val="0"/>
      <w:divBdr>
        <w:top w:val="none" w:sz="0" w:space="0" w:color="auto"/>
        <w:left w:val="none" w:sz="0" w:space="0" w:color="auto"/>
        <w:bottom w:val="none" w:sz="0" w:space="0" w:color="auto"/>
        <w:right w:val="none" w:sz="0" w:space="0" w:color="auto"/>
      </w:divBdr>
    </w:div>
    <w:div w:id="886796566">
      <w:bodyDiv w:val="1"/>
      <w:marLeft w:val="0"/>
      <w:marRight w:val="0"/>
      <w:marTop w:val="0"/>
      <w:marBottom w:val="0"/>
      <w:divBdr>
        <w:top w:val="none" w:sz="0" w:space="0" w:color="auto"/>
        <w:left w:val="none" w:sz="0" w:space="0" w:color="auto"/>
        <w:bottom w:val="none" w:sz="0" w:space="0" w:color="auto"/>
        <w:right w:val="none" w:sz="0" w:space="0" w:color="auto"/>
      </w:divBdr>
    </w:div>
    <w:div w:id="1439060722">
      <w:bodyDiv w:val="1"/>
      <w:marLeft w:val="0"/>
      <w:marRight w:val="0"/>
      <w:marTop w:val="0"/>
      <w:marBottom w:val="0"/>
      <w:divBdr>
        <w:top w:val="none" w:sz="0" w:space="0" w:color="auto"/>
        <w:left w:val="none" w:sz="0" w:space="0" w:color="auto"/>
        <w:bottom w:val="none" w:sz="0" w:space="0" w:color="auto"/>
        <w:right w:val="none" w:sz="0" w:space="0" w:color="auto"/>
      </w:divBdr>
    </w:div>
    <w:div w:id="1467893175">
      <w:bodyDiv w:val="1"/>
      <w:marLeft w:val="0"/>
      <w:marRight w:val="0"/>
      <w:marTop w:val="0"/>
      <w:marBottom w:val="0"/>
      <w:divBdr>
        <w:top w:val="none" w:sz="0" w:space="0" w:color="auto"/>
        <w:left w:val="none" w:sz="0" w:space="0" w:color="auto"/>
        <w:bottom w:val="none" w:sz="0" w:space="0" w:color="auto"/>
        <w:right w:val="none" w:sz="0" w:space="0" w:color="auto"/>
      </w:divBdr>
    </w:div>
    <w:div w:id="16617367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footer" Target="footer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4" Type="http://schemas.openxmlformats.org/officeDocument/2006/relationships/font" Target="fonts/font4.odttf" /></Relationships>
</file>

<file path=word/_rels/header2.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Car24</b:Tag>
    <b:SourceType>InternetSite</b:SourceType>
    <b:Guid>{39932323-78B5-4486-B828-F8723CB91D18}</b:Guid>
    <b:Author>
      <b:Author>
        <b:Corporate>Careers in Blue</b:Corporate>
      </b:Author>
    </b:Author>
    <b:Title>Policing &amp; Partnership Working – Why is this important </b:Title>
    <b:Year>2024</b:Year>
    <b:YearAccessed>2024</b:YearAccessed>
    <b:MonthAccessed>April</b:MonthAccessed>
    <b:DayAccessed>19</b:DayAccessed>
    <b:URL>https://careersinblue.co.uk/partnership-working-why-is-this-important/</b:URL>
    <b:RefOrder>1</b:RefOrder>
  </b:Source>
  <b:Source>
    <b:Tag>BRC24</b:Tag>
    <b:SourceType>InternetSite</b:SourceType>
    <b:Guid>{3AE9C538-7909-46E7-AE19-4EC26CA4DF9A}</b:Guid>
    <b:Author>
      <b:Author>
        <b:Corporate>BRC</b:Corporate>
      </b:Author>
    </b:Author>
    <b:Title>Partnership Working Best Practice Examples</b:Title>
    <b:Year>2024</b:Year>
    <b:YearAccessed>2024</b:YearAccessed>
    <b:MonthAccessed>April</b:MonthAccessed>
    <b:DayAccessed>19</b:DayAccessed>
    <b:URL>https://brc.org.uk/nrcsg-against-shop-worker-abuse-and-violence/partnership-working/section-4-partnership-working-best-practice-examples/</b:URL>
    <b:RefOrder>2</b:RefOrder>
  </b:Source>
  <b:Source>
    <b:Tag>Col233</b:Tag>
    <b:SourceType>InternetSite</b:SourceType>
    <b:Guid>{BA6EAC4E-DB50-410B-A75B-988A74C52C07}</b:Guid>
    <b:Author>
      <b:Author>
        <b:Corporate>College of Policing</b:Corporate>
      </b:Author>
    </b:Author>
    <b:Title>Partnerships </b:Title>
    <b:Year>2023</b:Year>
    <b:YearAccessed>2024</b:YearAccessed>
    <b:MonthAccessed>April</b:MonthAccessed>
    <b:DayAccessed>22</b:DayAccessed>
    <b:URL>https://www.college.police.uk/guidance/effective-implementation-problem-oriented-policing/partnerships</b:URL>
    <b:RefOrder>3</b:RefOrder>
  </b:Source>
  <b:Source>
    <b:Tag>The2411</b:Tag>
    <b:SourceType>InternetSite</b:SourceType>
    <b:Guid>{66F84434-023D-498E-A204-C51633FFF6F1}</b:Guid>
    <b:Author>
      <b:Author>
        <b:Corporate>The Henry C. Lee Institute of Forensic Science</b:Corporate>
      </b:Author>
    </b:Author>
    <b:Title>SMART POLICING COLLABORATION PRINCIPLES</b:Title>
    <b:Year>2024</b:Year>
    <b:YearAccessed>2024</b:YearAccessed>
    <b:MonthAccessed>April</b:MonthAccessed>
    <b:DayAccessed>22</b:DayAccessed>
    <b:URL>http://www.henryleeinstitute.com/wp-content/uploads/2017/03/SPICollaborationPrinciples.pdf</b:URL>
    <b:RefOrder>4</b:RefOrder>
  </b:Source>
  <b:Source>
    <b:Tag>OSC22</b:Tag>
    <b:SourceType>InternetSite</b:SourceType>
    <b:Guid>{EA8373F6-C4FC-4E81-BE55-0C664FEFD0C1}</b:Guid>
    <b:Author>
      <b:Author>
        <b:Corporate>OSCE</b:Corporate>
      </b:Author>
    </b:Author>
    <b:Title>Police-Public Partnerships</b:Title>
    <b:Year>2022</b:Year>
    <b:YearAccessed>2024</b:YearAccessed>
    <b:MonthAccessed>April</b:MonthAccessed>
    <b:DayAccessed>22</b:DayAccessed>
    <b:URL>https://www.osce.org/files/f/documents/8/4/32547_0.pdf</b:URL>
    <b:RefOrder>5</b:RefOrder>
  </b:Source>
  <b:Source>
    <b:Tag>ass24</b:Tag>
    <b:SourceType>DocumentFromInternetSite</b:SourceType>
    <b:Guid>{A23F153A-2932-4B50-9BA2-127D6033303A}</b:Guid>
    <b:Title>National support framework: delivering safter and confident communities</b:Title>
    <b:Year>2024</b:Year>
    <b:YearAccessed>2024</b:YearAccessed>
    <b:MonthAccessed>April</b:MonthAccessed>
    <b:DayAccessed>21</b:DayAccessed>
    <b:URL>https://assets.publishing.service.gov.uk/media/5a799b2d40f0b642860d960a/guidance.pdf</b:URL>
    <b:Author>
      <b:Author>
        <b:Corporate>assets</b:Corporate>
      </b:Author>
    </b:Author>
    <b:RefOrder>1</b:RefOrder>
  </b:Source>
  <b:Source>
    <b:Tag>Col241</b:Tag>
    <b:SourceType>InternetSite</b:SourceType>
    <b:Guid>{BF1E7C96-B790-4FF1-8881-F112626D8BD1}</b:Guid>
    <b:Title>Information sharing | College of Policing</b:Title>
    <b:Year>2024</b:Year>
    <b:YearAccessed>2024</b:YearAccessed>
    <b:MonthAccessed>April</b:MonthAccessed>
    <b:DayAccessed>21</b:DayAccessed>
    <b:URL>https://www.college.police.uk/app/information-management/information-sharing</b:URL>
    <b:Author>
      <b:Author>
        <b:Corporate>College</b:Corporate>
      </b:Author>
    </b:Author>
    <b:RefOrder>2</b:RefOrder>
  </b:Source>
  <b:Source>
    <b:Tag>GOV243</b:Tag>
    <b:SourceType>InternetSite</b:SourceType>
    <b:Guid>{D7995CD2-28F7-4AD1-960D-AAEB29A7E105}</b:Guid>
    <b:Author>
      <b:Author>
        <b:Corporate>GOV.UK</b:Corporate>
      </b:Author>
    </b:Author>
    <b:Title>Review of data sharing: migrant victims and witnesses of crime (accessible version)</b:Title>
    <b:Year>2024</b:Year>
    <b:YearAccessed>2024</b:YearAccessed>
    <b:MonthAccessed>April</b:MonthAccessed>
    <b:DayAccessed>21</b:DayAccessed>
    <b:URL>https://www.gov.uk/government/publications/review-of-data-sharing-migrant-victims-and-witnesses-of-crime/review-of-data-sharing-migrant-victims-and-witnesses-of-crime-accessible-version</b:URL>
    <b:RefOrder>3</b:RefOrder>
  </b:Source>
  <b:Source>
    <b:Tag>Mar211</b:Tag>
    <b:SourceType>InternetSite</b:SourceType>
    <b:Guid>{9390391C-0C38-4F05-BF7E-2FA30BCD44F8}</b:Guid>
    <b:Author>
      <b:Author>
        <b:NameList>
          <b:Person>
            <b:Last>Emerson</b:Last>
            <b:First>Mary</b:First>
            <b:Middle>Sharp</b:Middle>
          </b:Person>
        </b:NameList>
      </b:Author>
    </b:Author>
    <b:Title>8 Ways You Can Improve Your Communication Skills</b:Title>
    <b:Year>2021</b:Year>
    <b:YearAccessed>2024</b:YearAccessed>
    <b:MonthAccessed>April</b:MonthAccessed>
    <b:DayAccessed>20</b:DayAccessed>
    <b:URL>https://professional.dce.harvard.edu/blog/8-ways-you-can-improve-your-communication-skills/</b:URL>
    <b:RefOrder>1</b:RefOrder>
  </b:Source>
</b:Sources>
</file>

<file path=customXml/itemProps1.xml><?xml version="1.0" encoding="utf-8"?>
<ds:datastoreItem xmlns:ds="http://schemas.openxmlformats.org/officeDocument/2006/customXml" ds:itemID="{A2AB7D8C-DCDF-4290-92C1-D11F37CA741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1781</Words>
  <Characters>11519</Characters>
  <Application>Microsoft Office Word</Application>
  <DocSecurity>0</DocSecurity>
  <Lines>95</Lines>
  <Paragraphs>26</Paragraphs>
  <ScaleCrop>false</ScaleCrop>
  <Company/>
  <LinksUpToDate>false</LinksUpToDate>
  <CharactersWithSpaces>13274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2024-05-04T12:56:00Z</dcterms:created>
  <dcterms:modified xsi:type="dcterms:W3CDTF">2024-05-04T12:56:00Z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da7b8c5bea7e4fb492723fc276f134ec89c7c8abf00c62371d5052c6fdbf5d19</vt:lpwstr>
  </property>
</Properties>
</file>