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16E79" w14:textId="1EEC8F1F" w:rsidR="007D2D20" w:rsidRDefault="00D268F6" w:rsidP="00D268F6">
      <w:pPr>
        <w:jc w:val="center"/>
        <w:rPr>
          <w:rFonts w:ascii="Algerian" w:hAnsi="Algerian"/>
          <w:sz w:val="120"/>
          <w:szCs w:val="120"/>
        </w:rPr>
      </w:pPr>
      <w:r w:rsidRPr="00D268F6">
        <w:rPr>
          <w:rFonts w:ascii="Algerian" w:hAnsi="Algerian"/>
          <w:sz w:val="120"/>
          <w:szCs w:val="120"/>
        </w:rPr>
        <w:t>Blogs</w:t>
      </w:r>
    </w:p>
    <w:p w14:paraId="15638915" w14:textId="2C6621E2" w:rsidR="00D268F6" w:rsidRDefault="00D268F6" w:rsidP="00D268F6">
      <w:pPr>
        <w:jc w:val="right"/>
        <w:rPr>
          <w:rFonts w:ascii="Aptos" w:hAnsi="Aptos"/>
          <w:sz w:val="40"/>
          <w:szCs w:val="40"/>
        </w:rPr>
      </w:pPr>
      <w:r w:rsidRPr="00D268F6">
        <w:rPr>
          <w:rFonts w:ascii="Aptos" w:hAnsi="Aptos"/>
          <w:sz w:val="40"/>
          <w:szCs w:val="40"/>
        </w:rPr>
        <w:t xml:space="preserve">Managing </w:t>
      </w:r>
      <w:r>
        <w:rPr>
          <w:rFonts w:ascii="Aptos" w:hAnsi="Aptos"/>
          <w:sz w:val="40"/>
          <w:szCs w:val="40"/>
        </w:rPr>
        <w:t xml:space="preserve">Projects in Organisations </w:t>
      </w:r>
    </w:p>
    <w:p w14:paraId="47822588" w14:textId="643DFCC3" w:rsidR="00D268F6" w:rsidRDefault="00D268F6" w:rsidP="00D268F6">
      <w:pPr>
        <w:jc w:val="right"/>
        <w:rPr>
          <w:rFonts w:ascii="Aptos" w:hAnsi="Aptos"/>
          <w:sz w:val="40"/>
          <w:szCs w:val="40"/>
        </w:rPr>
      </w:pPr>
      <w:r>
        <w:rPr>
          <w:rFonts w:ascii="Aptos" w:hAnsi="Aptos"/>
          <w:sz w:val="40"/>
          <w:szCs w:val="40"/>
        </w:rPr>
        <w:t>(</w:t>
      </w:r>
      <w:r w:rsidRPr="00D268F6">
        <w:rPr>
          <w:rFonts w:ascii="Aptos" w:hAnsi="Aptos"/>
          <w:sz w:val="32"/>
          <w:szCs w:val="32"/>
        </w:rPr>
        <w:t>BMSW5009</w:t>
      </w:r>
      <w:r>
        <w:rPr>
          <w:rFonts w:ascii="Aptos" w:hAnsi="Aptos"/>
          <w:sz w:val="40"/>
          <w:szCs w:val="40"/>
        </w:rPr>
        <w:t>)</w:t>
      </w:r>
    </w:p>
    <w:p w14:paraId="391C2DF9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734E933F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7C671C6E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05F78341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6CB1670E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5365E1AC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43F396B9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17DF1392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35484374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1C5D4D4B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1A5BB278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36611029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0ABAF726" w14:textId="77777777" w:rsidR="00D268F6" w:rsidRDefault="00D268F6" w:rsidP="00D268F6">
      <w:pPr>
        <w:jc w:val="center"/>
        <w:rPr>
          <w:rFonts w:ascii="Aptos" w:hAnsi="Aptos"/>
          <w:sz w:val="40"/>
          <w:szCs w:val="40"/>
        </w:rPr>
      </w:pPr>
    </w:p>
    <w:p w14:paraId="57D12F44" w14:textId="54BC501F" w:rsidR="00D268F6" w:rsidRDefault="00D268F6" w:rsidP="00D268F6">
      <w:pPr>
        <w:rPr>
          <w:rFonts w:ascii="Aptos" w:hAnsi="Aptos"/>
          <w:sz w:val="40"/>
          <w:szCs w:val="40"/>
        </w:rPr>
      </w:pPr>
      <w:r>
        <w:rPr>
          <w:rFonts w:ascii="Aptos" w:hAnsi="Aptos"/>
          <w:sz w:val="40"/>
          <w:szCs w:val="40"/>
        </w:rPr>
        <w:t xml:space="preserve">Name: Strugaru Georgiana (2222489) </w:t>
      </w:r>
    </w:p>
    <w:p w14:paraId="4730D5A1" w14:textId="735D8408" w:rsidR="00D268F6" w:rsidRDefault="00D268F6" w:rsidP="00D268F6">
      <w:pPr>
        <w:rPr>
          <w:rFonts w:ascii="Aptos" w:hAnsi="Aptos"/>
          <w:sz w:val="40"/>
          <w:szCs w:val="40"/>
        </w:rPr>
      </w:pPr>
      <w:r>
        <w:rPr>
          <w:rFonts w:ascii="Aptos" w:hAnsi="Aptos"/>
          <w:sz w:val="40"/>
          <w:szCs w:val="40"/>
        </w:rPr>
        <w:t>Date submitted:</w:t>
      </w:r>
      <w:r w:rsidR="002C0999">
        <w:rPr>
          <w:rFonts w:ascii="Aptos" w:hAnsi="Aptos"/>
          <w:sz w:val="40"/>
          <w:szCs w:val="40"/>
        </w:rPr>
        <w:t xml:space="preserve"> 9</w:t>
      </w:r>
      <w:r w:rsidR="002C0999" w:rsidRPr="002C0999">
        <w:rPr>
          <w:rFonts w:ascii="Aptos" w:hAnsi="Aptos"/>
          <w:sz w:val="40"/>
          <w:szCs w:val="40"/>
          <w:vertAlign w:val="superscript"/>
        </w:rPr>
        <w:t>th</w:t>
      </w:r>
      <w:r w:rsidR="002C0999">
        <w:rPr>
          <w:rFonts w:ascii="Aptos" w:hAnsi="Aptos"/>
          <w:sz w:val="40"/>
          <w:szCs w:val="40"/>
        </w:rPr>
        <w:t xml:space="preserve"> of July 2025 </w:t>
      </w:r>
    </w:p>
    <w:p w14:paraId="5278AC87" w14:textId="1759A5DC" w:rsidR="00D268F6" w:rsidRDefault="00D268F6" w:rsidP="00D268F6">
      <w:pPr>
        <w:rPr>
          <w:rFonts w:ascii="Aptos" w:hAnsi="Aptos"/>
          <w:sz w:val="40"/>
          <w:szCs w:val="40"/>
        </w:rPr>
      </w:pPr>
      <w:r>
        <w:rPr>
          <w:rFonts w:ascii="Aptos" w:hAnsi="Aptos"/>
          <w:sz w:val="40"/>
          <w:szCs w:val="40"/>
        </w:rPr>
        <w:t xml:space="preserve">Word count: </w:t>
      </w:r>
      <w:r w:rsidR="008D2485">
        <w:rPr>
          <w:rFonts w:ascii="Aptos" w:hAnsi="Aptos"/>
          <w:sz w:val="40"/>
          <w:szCs w:val="40"/>
        </w:rPr>
        <w:t xml:space="preserve">963 </w:t>
      </w:r>
    </w:p>
    <w:p w14:paraId="479D452E" w14:textId="5BEA6211" w:rsidR="00D268F6" w:rsidRDefault="00D268F6" w:rsidP="00D268F6">
      <w:pPr>
        <w:rPr>
          <w:rFonts w:ascii="Algerian" w:hAnsi="Algerian"/>
          <w:sz w:val="80"/>
          <w:szCs w:val="80"/>
        </w:rPr>
      </w:pPr>
      <w:r w:rsidRPr="00D268F6">
        <w:rPr>
          <w:rFonts w:ascii="Algerian" w:hAnsi="Algerian"/>
          <w:sz w:val="80"/>
          <w:szCs w:val="80"/>
        </w:rPr>
        <w:lastRenderedPageBreak/>
        <w:t xml:space="preserve">Agile </w:t>
      </w:r>
    </w:p>
    <w:p w14:paraId="7E366348" w14:textId="24004108" w:rsidR="00D268F6" w:rsidRDefault="00D268F6" w:rsidP="00D268F6">
      <w:pPr>
        <w:rPr>
          <w:rFonts w:ascii="Aptos" w:hAnsi="Aptos"/>
          <w:sz w:val="32"/>
          <w:szCs w:val="32"/>
        </w:rPr>
      </w:pPr>
    </w:p>
    <w:p w14:paraId="70044C15" w14:textId="13568DDB" w:rsidR="00D268F6" w:rsidRDefault="00D268F6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Agile methodology has emerged as a dominant project management </w:t>
      </w:r>
      <w:r w:rsidR="007F216D">
        <w:rPr>
          <w:rFonts w:ascii="Aptos" w:hAnsi="Aptos"/>
          <w:sz w:val="32"/>
          <w:szCs w:val="32"/>
        </w:rPr>
        <w:t xml:space="preserve">and software development that prioritizes collaboration, stakeholder engagement and flexibility over rigid planning frameworks (Asana, 2025). Originating from the 2001 Agile Manifesto, it emphasises </w:t>
      </w:r>
      <w:r w:rsidR="00D26BBB">
        <w:rPr>
          <w:rFonts w:ascii="Aptos" w:hAnsi="Aptos"/>
          <w:sz w:val="32"/>
          <w:szCs w:val="32"/>
        </w:rPr>
        <w:t xml:space="preserve">four key values, such as, </w:t>
      </w:r>
      <w:r w:rsidR="007F216D">
        <w:rPr>
          <w:rFonts w:ascii="Aptos" w:hAnsi="Aptos"/>
          <w:sz w:val="32"/>
          <w:szCs w:val="32"/>
        </w:rPr>
        <w:t>individuals and interactions over processes and tools, working software over comprehensive documentation, customer collaboration over contract negotiation and responding to change over following a plan (TechTarget, 202</w:t>
      </w:r>
      <w:r w:rsidR="0012654D">
        <w:rPr>
          <w:rFonts w:ascii="Aptos" w:hAnsi="Aptos"/>
          <w:sz w:val="32"/>
          <w:szCs w:val="32"/>
        </w:rPr>
        <w:t>3</w:t>
      </w:r>
      <w:r w:rsidR="007F216D">
        <w:rPr>
          <w:rFonts w:ascii="Aptos" w:hAnsi="Aptos"/>
          <w:sz w:val="32"/>
          <w:szCs w:val="32"/>
        </w:rPr>
        <w:t>). These values are furthe</w:t>
      </w:r>
      <w:r w:rsidR="00D26BBB">
        <w:rPr>
          <w:rFonts w:ascii="Aptos" w:hAnsi="Aptos"/>
          <w:sz w:val="32"/>
          <w:szCs w:val="32"/>
        </w:rPr>
        <w:t xml:space="preserve">r supported by their twelve principles, which then guides teams in creating a work environment focused on customer satisfaction, aligns them with their business objectives and that helps them adapt quickly to changing needs.  </w:t>
      </w:r>
    </w:p>
    <w:p w14:paraId="1D3E4C11" w14:textId="3575A34A" w:rsidR="00E805EF" w:rsidRDefault="00D26BBB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Empirical evidence </w:t>
      </w:r>
      <w:r w:rsidR="00E805EF">
        <w:rPr>
          <w:rFonts w:ascii="Aptos" w:hAnsi="Aptos"/>
          <w:sz w:val="32"/>
          <w:szCs w:val="32"/>
        </w:rPr>
        <w:t xml:space="preserve">underscores </w:t>
      </w:r>
      <w:proofErr w:type="spellStart"/>
      <w:r w:rsidR="00E805EF">
        <w:rPr>
          <w:rFonts w:ascii="Aptos" w:hAnsi="Aptos"/>
          <w:sz w:val="32"/>
          <w:szCs w:val="32"/>
        </w:rPr>
        <w:t>Agile’s</w:t>
      </w:r>
      <w:proofErr w:type="spellEnd"/>
      <w:r w:rsidR="00E805EF">
        <w:rPr>
          <w:rFonts w:ascii="Aptos" w:hAnsi="Aptos"/>
          <w:sz w:val="32"/>
          <w:szCs w:val="32"/>
        </w:rPr>
        <w:t xml:space="preserve"> impact on project success across industries. A data sample of 1,002 projects found enhanced efficiency, stakeholder satisfaction, time management, budget control and scope flexibility in Agile implementations compared to traditional methods (ResearchGate, 2015). Furthermore, </w:t>
      </w:r>
      <w:r w:rsidR="00CC6B23">
        <w:rPr>
          <w:rFonts w:ascii="Aptos" w:hAnsi="Aptos"/>
          <w:sz w:val="32"/>
          <w:szCs w:val="32"/>
        </w:rPr>
        <w:t xml:space="preserve">the </w:t>
      </w:r>
      <w:r w:rsidR="00E805EF">
        <w:rPr>
          <w:rFonts w:ascii="Aptos" w:hAnsi="Aptos"/>
          <w:sz w:val="32"/>
          <w:szCs w:val="32"/>
        </w:rPr>
        <w:t>healthcare sector research reported Agile projects were completed 28% faster and achieved significantly higher adaptability and ROI, despite slightly increased cost overruns</w:t>
      </w:r>
      <w:r w:rsidR="009604C8">
        <w:rPr>
          <w:rFonts w:ascii="Aptos" w:hAnsi="Aptos"/>
          <w:sz w:val="32"/>
          <w:szCs w:val="32"/>
        </w:rPr>
        <w:t xml:space="preserve"> (ResearchGate, 2024). </w:t>
      </w:r>
    </w:p>
    <w:p w14:paraId="26D7A3F1" w14:textId="68BF14C9" w:rsidR="009604C8" w:rsidRDefault="009604C8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Agile also fosters improved team well-being and </w:t>
      </w:r>
      <w:r w:rsidR="00CC6B23">
        <w:rPr>
          <w:rFonts w:ascii="Aptos" w:hAnsi="Aptos"/>
          <w:sz w:val="32"/>
          <w:szCs w:val="32"/>
        </w:rPr>
        <w:t>motivation</w:t>
      </w:r>
      <w:r>
        <w:rPr>
          <w:rFonts w:ascii="Aptos" w:hAnsi="Aptos"/>
          <w:sz w:val="32"/>
          <w:szCs w:val="32"/>
        </w:rPr>
        <w:t xml:space="preserve">, with daily stand-ups, sprint reviews and retrospectives strengthening collaboration, factors which are positively correlated with project success. </w:t>
      </w:r>
    </w:p>
    <w:p w14:paraId="4742248C" w14:textId="4D69AC50" w:rsidR="009604C8" w:rsidRDefault="009604C8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lastRenderedPageBreak/>
        <w:t>However, successful implementation relies on tailoring Agile to contextual factors like organisational culture and management support (IJPREMS, 2024</w:t>
      </w:r>
      <w:r w:rsidR="00CC6B23">
        <w:rPr>
          <w:rFonts w:ascii="Aptos" w:hAnsi="Aptos"/>
          <w:sz w:val="32"/>
          <w:szCs w:val="32"/>
        </w:rPr>
        <w:t xml:space="preserve">, p. 3-6). Hybrid models combining Agile with traditional frameworks are increasingly adapted where full Agile implementation is impractical (ResearchGate, 2018). </w:t>
      </w:r>
    </w:p>
    <w:p w14:paraId="76FFFB3A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64AF4CA9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528A97E9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5CA94089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61E1776B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56BD3928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15677C1F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3D9189FA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7515A1CC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733E06BD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5B4C924E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3D67E840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4D13CAEE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0796F728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6801B019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21F315EA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5CE26CB9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2F0EB842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69EC0FB8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1C967F3F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7082F9D7" w14:textId="77777777" w:rsidR="00CC6B23" w:rsidRDefault="00CC6B23" w:rsidP="00D268F6">
      <w:pPr>
        <w:rPr>
          <w:rFonts w:ascii="Aptos" w:hAnsi="Aptos"/>
          <w:sz w:val="32"/>
          <w:szCs w:val="32"/>
        </w:rPr>
      </w:pPr>
    </w:p>
    <w:p w14:paraId="39636965" w14:textId="4B23AA84" w:rsidR="00CC6B23" w:rsidRDefault="00CC6B23" w:rsidP="00CC6B23">
      <w:pPr>
        <w:rPr>
          <w:rFonts w:ascii="Algerian" w:hAnsi="Algerian"/>
          <w:sz w:val="80"/>
          <w:szCs w:val="80"/>
        </w:rPr>
      </w:pPr>
      <w:r>
        <w:rPr>
          <w:rFonts w:ascii="Algerian" w:hAnsi="Algerian"/>
          <w:sz w:val="80"/>
          <w:szCs w:val="80"/>
        </w:rPr>
        <w:lastRenderedPageBreak/>
        <w:t xml:space="preserve">Quad chart </w:t>
      </w:r>
    </w:p>
    <w:p w14:paraId="6C109A87" w14:textId="77777777" w:rsidR="00CC6B23" w:rsidRDefault="00CC6B23" w:rsidP="00CC6B23">
      <w:pPr>
        <w:rPr>
          <w:rFonts w:ascii="Aptos" w:hAnsi="Aptos"/>
          <w:sz w:val="32"/>
          <w:szCs w:val="32"/>
        </w:rPr>
      </w:pPr>
    </w:p>
    <w:p w14:paraId="014118DC" w14:textId="7BA8446E" w:rsidR="00CC6B23" w:rsidRDefault="0012654D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A quad chart is a concise, one page summary tool used to </w:t>
      </w:r>
      <w:r w:rsidR="0004399D">
        <w:rPr>
          <w:rFonts w:ascii="Aptos" w:hAnsi="Aptos"/>
          <w:sz w:val="32"/>
          <w:szCs w:val="32"/>
        </w:rPr>
        <w:t xml:space="preserve">present essential aspects of a project or proposal. It’s typically divided into four quadrants, it includes key components </w:t>
      </w:r>
      <w:r w:rsidR="009C102C">
        <w:rPr>
          <w:rFonts w:ascii="Aptos" w:hAnsi="Aptos"/>
          <w:sz w:val="32"/>
          <w:szCs w:val="32"/>
        </w:rPr>
        <w:t xml:space="preserve">such as objectives, approach or methodology, resources or milestones and stakeholders. </w:t>
      </w:r>
      <w:r w:rsidR="0004399D">
        <w:rPr>
          <w:rFonts w:ascii="Aptos" w:hAnsi="Aptos"/>
          <w:sz w:val="32"/>
          <w:szCs w:val="32"/>
        </w:rPr>
        <w:t>(</w:t>
      </w:r>
      <w:proofErr w:type="spellStart"/>
      <w:r w:rsidR="0004399D">
        <w:rPr>
          <w:rFonts w:ascii="Aptos" w:hAnsi="Aptos"/>
          <w:sz w:val="32"/>
          <w:szCs w:val="32"/>
        </w:rPr>
        <w:t>Wiscosinctc</w:t>
      </w:r>
      <w:proofErr w:type="spellEnd"/>
      <w:r w:rsidR="0004399D">
        <w:rPr>
          <w:rFonts w:ascii="Aptos" w:hAnsi="Aptos"/>
          <w:sz w:val="32"/>
          <w:szCs w:val="32"/>
        </w:rPr>
        <w:t xml:space="preserve">, 2024). </w:t>
      </w:r>
      <w:r w:rsidR="009C102C">
        <w:rPr>
          <w:rFonts w:ascii="Aptos" w:hAnsi="Aptos"/>
          <w:sz w:val="32"/>
          <w:szCs w:val="32"/>
        </w:rPr>
        <w:t xml:space="preserve">This format allows swift summarisation of complex projects, facilitating informed decision-making and efficient briefings. </w:t>
      </w:r>
    </w:p>
    <w:p w14:paraId="0C013301" w14:textId="4D4AEE6A" w:rsidR="00C303AD" w:rsidRDefault="009C102C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>Academically, the quad chart enhances clarity and conciseness by structuring information categories. It supports cognitive pro</w:t>
      </w:r>
      <w:r w:rsidR="00C303AD">
        <w:rPr>
          <w:rFonts w:ascii="Aptos" w:hAnsi="Aptos"/>
          <w:sz w:val="32"/>
          <w:szCs w:val="32"/>
        </w:rPr>
        <w:t xml:space="preserve">cessing by chinking content into quadrants with titles, visuals and bullet points, improving retention and reducing cognitive load </w:t>
      </w:r>
      <w:r w:rsidR="004261B0">
        <w:rPr>
          <w:rFonts w:ascii="Aptos" w:hAnsi="Aptos"/>
          <w:sz w:val="32"/>
          <w:szCs w:val="32"/>
        </w:rPr>
        <w:t xml:space="preserve">(ResearchGate, 2019). </w:t>
      </w:r>
      <w:r w:rsidR="00C303AD">
        <w:rPr>
          <w:rFonts w:ascii="Aptos" w:hAnsi="Aptos"/>
          <w:sz w:val="32"/>
          <w:szCs w:val="32"/>
        </w:rPr>
        <w:t xml:space="preserve">In government and defence, its brevity and standardisation augment rapid evaluation and inter-project comparability (The Bid Agency, 2024). </w:t>
      </w:r>
    </w:p>
    <w:p w14:paraId="0E8A0284" w14:textId="77777777" w:rsidR="00C303AD" w:rsidRDefault="00C303AD" w:rsidP="00D268F6">
      <w:pPr>
        <w:rPr>
          <w:rFonts w:ascii="Aptos" w:hAnsi="Aptos"/>
          <w:sz w:val="32"/>
          <w:szCs w:val="32"/>
        </w:rPr>
      </w:pPr>
    </w:p>
    <w:p w14:paraId="0095840C" w14:textId="628F2D03" w:rsidR="004261B0" w:rsidRDefault="00C303AD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Pedagogical research shows that quad charts are useful for teaching technical communication. In a 2022 ASEE study, first-year engineering students improved in succinct technical reporting and audience-focused visual design through quad chart assignments </w:t>
      </w:r>
      <w:r w:rsidR="004261B0">
        <w:rPr>
          <w:rFonts w:ascii="Aptos" w:hAnsi="Aptos"/>
          <w:sz w:val="32"/>
          <w:szCs w:val="32"/>
        </w:rPr>
        <w:t xml:space="preserve">(Sarkar and Hinds, 2022). </w:t>
      </w:r>
      <w:r>
        <w:rPr>
          <w:rFonts w:ascii="Aptos" w:hAnsi="Aptos"/>
          <w:sz w:val="32"/>
          <w:szCs w:val="32"/>
        </w:rPr>
        <w:t>In software project management courses, quad charts introduce</w:t>
      </w:r>
      <w:r w:rsidR="00126C5B">
        <w:rPr>
          <w:rFonts w:ascii="Aptos" w:hAnsi="Aptos"/>
          <w:sz w:val="32"/>
          <w:szCs w:val="32"/>
        </w:rPr>
        <w:t>d</w:t>
      </w:r>
      <w:r>
        <w:rPr>
          <w:rFonts w:ascii="Aptos" w:hAnsi="Aptos"/>
          <w:sz w:val="32"/>
          <w:szCs w:val="32"/>
        </w:rPr>
        <w:t xml:space="preserve"> practical skills condensing project data gaining, according to a journal of computing sciences study, traction as a curricular supplement in the mid-2000s (JCSC 2005). </w:t>
      </w:r>
    </w:p>
    <w:p w14:paraId="45FFFDBA" w14:textId="08A9B0F8" w:rsidR="00126C5B" w:rsidRDefault="00126C5B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Nonetheless, misuse can occur, and critics think that four compressed sections may overwhelm the readers, turning one </w:t>
      </w:r>
      <w:r>
        <w:rPr>
          <w:rFonts w:ascii="Aptos" w:hAnsi="Aptos"/>
          <w:sz w:val="32"/>
          <w:szCs w:val="32"/>
        </w:rPr>
        <w:lastRenderedPageBreak/>
        <w:t xml:space="preserve">slide into four micro-slides, suggesting actual dashboards may sometimes be preferable. </w:t>
      </w:r>
    </w:p>
    <w:p w14:paraId="33EAC37F" w14:textId="77777777" w:rsidR="00D268F6" w:rsidRDefault="00D268F6" w:rsidP="00D268F6">
      <w:pPr>
        <w:rPr>
          <w:rFonts w:ascii="Algerian" w:hAnsi="Algerian"/>
          <w:sz w:val="40"/>
          <w:szCs w:val="40"/>
        </w:rPr>
      </w:pPr>
    </w:p>
    <w:p w14:paraId="4D4BA136" w14:textId="77777777" w:rsidR="00126C5B" w:rsidRDefault="00126C5B" w:rsidP="00D268F6">
      <w:pPr>
        <w:rPr>
          <w:rFonts w:ascii="Algerian" w:hAnsi="Algerian"/>
          <w:sz w:val="80"/>
          <w:szCs w:val="80"/>
        </w:rPr>
      </w:pPr>
    </w:p>
    <w:p w14:paraId="35E32BF7" w14:textId="77777777" w:rsidR="00126C5B" w:rsidRDefault="00126C5B" w:rsidP="00D268F6">
      <w:pPr>
        <w:rPr>
          <w:rFonts w:ascii="Algerian" w:hAnsi="Algerian"/>
          <w:sz w:val="80"/>
          <w:szCs w:val="80"/>
        </w:rPr>
      </w:pPr>
    </w:p>
    <w:p w14:paraId="7DA584A8" w14:textId="77777777" w:rsidR="00126C5B" w:rsidRDefault="00126C5B" w:rsidP="00D268F6">
      <w:pPr>
        <w:rPr>
          <w:rFonts w:ascii="Algerian" w:hAnsi="Algerian"/>
          <w:sz w:val="80"/>
          <w:szCs w:val="80"/>
        </w:rPr>
      </w:pPr>
    </w:p>
    <w:p w14:paraId="77A35132" w14:textId="77777777" w:rsidR="00126C5B" w:rsidRDefault="00126C5B" w:rsidP="00D268F6">
      <w:pPr>
        <w:rPr>
          <w:rFonts w:ascii="Algerian" w:hAnsi="Algerian"/>
          <w:sz w:val="80"/>
          <w:szCs w:val="80"/>
        </w:rPr>
      </w:pPr>
    </w:p>
    <w:p w14:paraId="6D7EE483" w14:textId="77777777" w:rsidR="00126C5B" w:rsidRDefault="00126C5B" w:rsidP="00D268F6">
      <w:pPr>
        <w:rPr>
          <w:rFonts w:ascii="Algerian" w:hAnsi="Algerian"/>
          <w:sz w:val="80"/>
          <w:szCs w:val="80"/>
        </w:rPr>
      </w:pPr>
    </w:p>
    <w:p w14:paraId="0CEA0C39" w14:textId="77777777" w:rsidR="00126C5B" w:rsidRDefault="00126C5B" w:rsidP="00D268F6">
      <w:pPr>
        <w:rPr>
          <w:rFonts w:ascii="Algerian" w:hAnsi="Algerian"/>
          <w:sz w:val="80"/>
          <w:szCs w:val="80"/>
        </w:rPr>
      </w:pPr>
    </w:p>
    <w:p w14:paraId="7D2E5CC4" w14:textId="77777777" w:rsidR="00126C5B" w:rsidRDefault="00126C5B" w:rsidP="00D268F6">
      <w:pPr>
        <w:rPr>
          <w:rFonts w:ascii="Algerian" w:hAnsi="Algerian"/>
          <w:sz w:val="80"/>
          <w:szCs w:val="80"/>
        </w:rPr>
      </w:pPr>
    </w:p>
    <w:p w14:paraId="6B4082B3" w14:textId="77777777" w:rsidR="00126C5B" w:rsidRDefault="00126C5B" w:rsidP="00D268F6">
      <w:pPr>
        <w:rPr>
          <w:rFonts w:ascii="Algerian" w:hAnsi="Algerian"/>
          <w:sz w:val="80"/>
          <w:szCs w:val="80"/>
        </w:rPr>
      </w:pPr>
    </w:p>
    <w:p w14:paraId="37C5F2AB" w14:textId="77777777" w:rsidR="00126C5B" w:rsidRDefault="00126C5B" w:rsidP="00D268F6">
      <w:pPr>
        <w:rPr>
          <w:rFonts w:ascii="Algerian" w:hAnsi="Algerian"/>
          <w:sz w:val="80"/>
          <w:szCs w:val="80"/>
        </w:rPr>
      </w:pPr>
    </w:p>
    <w:p w14:paraId="279C7C08" w14:textId="77777777" w:rsidR="00126C5B" w:rsidRDefault="00126C5B" w:rsidP="00D268F6">
      <w:pPr>
        <w:rPr>
          <w:rFonts w:ascii="Algerian" w:hAnsi="Algerian"/>
          <w:sz w:val="80"/>
          <w:szCs w:val="80"/>
        </w:rPr>
      </w:pPr>
      <w:r>
        <w:rPr>
          <w:rFonts w:ascii="Algerian" w:hAnsi="Algerian"/>
          <w:sz w:val="80"/>
          <w:szCs w:val="80"/>
        </w:rPr>
        <w:lastRenderedPageBreak/>
        <w:t>Kanban</w:t>
      </w:r>
    </w:p>
    <w:p w14:paraId="22487295" w14:textId="77777777" w:rsidR="00126C5B" w:rsidRDefault="00126C5B" w:rsidP="00D268F6">
      <w:pPr>
        <w:rPr>
          <w:rFonts w:ascii="Aptos" w:hAnsi="Aptos"/>
          <w:sz w:val="32"/>
          <w:szCs w:val="32"/>
        </w:rPr>
      </w:pPr>
    </w:p>
    <w:p w14:paraId="64EB533F" w14:textId="4795718B" w:rsidR="00126C5B" w:rsidRDefault="000920E9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>Kanban is a</w:t>
      </w:r>
      <w:r w:rsidR="00A2797F">
        <w:rPr>
          <w:rFonts w:ascii="Aptos" w:hAnsi="Aptos"/>
          <w:sz w:val="32"/>
          <w:szCs w:val="32"/>
        </w:rPr>
        <w:t xml:space="preserve"> visual method originating </w:t>
      </w:r>
      <w:r w:rsidR="005A6978">
        <w:rPr>
          <w:rFonts w:ascii="Aptos" w:hAnsi="Aptos"/>
          <w:sz w:val="32"/>
          <w:szCs w:val="32"/>
        </w:rPr>
        <w:t xml:space="preserve">from </w:t>
      </w:r>
      <w:r w:rsidR="00523FA2">
        <w:rPr>
          <w:rFonts w:ascii="Aptos" w:hAnsi="Aptos"/>
          <w:sz w:val="32"/>
          <w:szCs w:val="32"/>
        </w:rPr>
        <w:t xml:space="preserve">Japan, </w:t>
      </w:r>
      <w:r w:rsidR="00114FB5">
        <w:rPr>
          <w:rFonts w:ascii="Aptos" w:hAnsi="Aptos"/>
          <w:sz w:val="32"/>
          <w:szCs w:val="32"/>
        </w:rPr>
        <w:t>specifically</w:t>
      </w:r>
      <w:r w:rsidR="00523FA2">
        <w:rPr>
          <w:rFonts w:ascii="Aptos" w:hAnsi="Aptos"/>
          <w:sz w:val="32"/>
          <w:szCs w:val="32"/>
        </w:rPr>
        <w:t xml:space="preserve"> at </w:t>
      </w:r>
      <w:r w:rsidR="00851440">
        <w:rPr>
          <w:rFonts w:ascii="Aptos" w:hAnsi="Aptos"/>
          <w:sz w:val="32"/>
          <w:szCs w:val="32"/>
        </w:rPr>
        <w:t xml:space="preserve">Toyota, in the late 1940s. </w:t>
      </w:r>
      <w:r w:rsidR="00114FB5">
        <w:rPr>
          <w:rFonts w:ascii="Aptos" w:hAnsi="Aptos"/>
          <w:sz w:val="32"/>
          <w:szCs w:val="32"/>
        </w:rPr>
        <w:t>It was developed by Taiichi Ohno, a Toyota engineer, as a</w:t>
      </w:r>
      <w:r w:rsidR="00CA6B92">
        <w:rPr>
          <w:rFonts w:ascii="Aptos" w:hAnsi="Aptos"/>
          <w:sz w:val="32"/>
          <w:szCs w:val="32"/>
        </w:rPr>
        <w:t xml:space="preserve"> system to improve production effi</w:t>
      </w:r>
      <w:r w:rsidR="00BB1A2F">
        <w:rPr>
          <w:rFonts w:ascii="Aptos" w:hAnsi="Aptos"/>
          <w:sz w:val="32"/>
          <w:szCs w:val="32"/>
        </w:rPr>
        <w:t xml:space="preserve">ciency and inventory management (Kanban tool, </w:t>
      </w:r>
      <w:r w:rsidR="00236209">
        <w:rPr>
          <w:rFonts w:ascii="Aptos" w:hAnsi="Aptos"/>
          <w:sz w:val="32"/>
          <w:szCs w:val="32"/>
        </w:rPr>
        <w:t>202</w:t>
      </w:r>
      <w:r w:rsidR="00471AFC">
        <w:rPr>
          <w:rFonts w:ascii="Aptos" w:hAnsi="Aptos"/>
          <w:sz w:val="32"/>
          <w:szCs w:val="32"/>
        </w:rPr>
        <w:t>0</w:t>
      </w:r>
      <w:r w:rsidR="00236209">
        <w:rPr>
          <w:rFonts w:ascii="Aptos" w:hAnsi="Aptos"/>
          <w:sz w:val="32"/>
          <w:szCs w:val="32"/>
        </w:rPr>
        <w:t>)</w:t>
      </w:r>
      <w:r w:rsidR="00471AFC">
        <w:rPr>
          <w:rFonts w:ascii="Aptos" w:hAnsi="Aptos"/>
          <w:sz w:val="32"/>
          <w:szCs w:val="32"/>
        </w:rPr>
        <w:t>. It uti</w:t>
      </w:r>
      <w:r w:rsidR="000A30D3">
        <w:rPr>
          <w:rFonts w:ascii="Aptos" w:hAnsi="Aptos"/>
          <w:sz w:val="32"/>
          <w:szCs w:val="32"/>
        </w:rPr>
        <w:t xml:space="preserve">lises a visual board, which is typically split into </w:t>
      </w:r>
      <w:r w:rsidR="002E7849">
        <w:rPr>
          <w:rFonts w:ascii="Aptos" w:hAnsi="Aptos"/>
          <w:sz w:val="32"/>
          <w:szCs w:val="32"/>
        </w:rPr>
        <w:t>“To do”, “Doing” and “Done” columns, with cards re</w:t>
      </w:r>
      <w:r w:rsidR="00C53F1D">
        <w:rPr>
          <w:rFonts w:ascii="Aptos" w:hAnsi="Aptos"/>
          <w:sz w:val="32"/>
          <w:szCs w:val="32"/>
        </w:rPr>
        <w:t xml:space="preserve">presenting </w:t>
      </w:r>
      <w:r w:rsidR="00087DA2">
        <w:rPr>
          <w:rFonts w:ascii="Aptos" w:hAnsi="Aptos"/>
          <w:sz w:val="32"/>
          <w:szCs w:val="32"/>
        </w:rPr>
        <w:t>tasks</w:t>
      </w:r>
      <w:r w:rsidR="00C53F1D">
        <w:rPr>
          <w:rFonts w:ascii="Aptos" w:hAnsi="Aptos"/>
          <w:sz w:val="32"/>
          <w:szCs w:val="32"/>
        </w:rPr>
        <w:t xml:space="preserve"> to streamline workflow and limit work-in-progress (WIP)</w:t>
      </w:r>
      <w:r w:rsidR="0073703B">
        <w:rPr>
          <w:rFonts w:ascii="Aptos" w:hAnsi="Aptos"/>
          <w:sz w:val="32"/>
          <w:szCs w:val="32"/>
        </w:rPr>
        <w:t xml:space="preserve"> (Wired, 2014). </w:t>
      </w:r>
    </w:p>
    <w:p w14:paraId="04F62F30" w14:textId="4340474D" w:rsidR="0073703B" w:rsidRDefault="00EC2A12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The visual </w:t>
      </w:r>
      <w:r w:rsidR="00087DA2">
        <w:rPr>
          <w:rFonts w:ascii="Aptos" w:hAnsi="Aptos"/>
          <w:sz w:val="32"/>
          <w:szCs w:val="32"/>
        </w:rPr>
        <w:t xml:space="preserve">format increases </w:t>
      </w:r>
      <w:r w:rsidR="008F0546">
        <w:rPr>
          <w:rFonts w:ascii="Aptos" w:hAnsi="Aptos"/>
          <w:sz w:val="32"/>
          <w:szCs w:val="32"/>
        </w:rPr>
        <w:t>workflow trans</w:t>
      </w:r>
      <w:r w:rsidR="004C1850">
        <w:rPr>
          <w:rFonts w:ascii="Aptos" w:hAnsi="Aptos"/>
          <w:sz w:val="32"/>
          <w:szCs w:val="32"/>
        </w:rPr>
        <w:t xml:space="preserve">parency, helping teams identify </w:t>
      </w:r>
      <w:r w:rsidR="00555E55">
        <w:rPr>
          <w:rFonts w:ascii="Aptos" w:hAnsi="Aptos"/>
          <w:sz w:val="32"/>
          <w:szCs w:val="32"/>
        </w:rPr>
        <w:t xml:space="preserve">bottlenecks and improving </w:t>
      </w:r>
      <w:r w:rsidR="00F60661">
        <w:rPr>
          <w:rFonts w:ascii="Aptos" w:hAnsi="Aptos"/>
          <w:sz w:val="32"/>
          <w:szCs w:val="32"/>
        </w:rPr>
        <w:t xml:space="preserve">task prioritisation. </w:t>
      </w:r>
      <w:r w:rsidR="00721B05">
        <w:rPr>
          <w:rFonts w:ascii="Aptos" w:hAnsi="Aptos"/>
          <w:sz w:val="32"/>
          <w:szCs w:val="32"/>
        </w:rPr>
        <w:t xml:space="preserve">It fosters focus </w:t>
      </w:r>
      <w:r w:rsidR="00264FB0">
        <w:rPr>
          <w:rFonts w:ascii="Aptos" w:hAnsi="Aptos"/>
          <w:sz w:val="32"/>
          <w:szCs w:val="32"/>
        </w:rPr>
        <w:t xml:space="preserve">and productivity, </w:t>
      </w:r>
      <w:r w:rsidR="004A0C88">
        <w:rPr>
          <w:rFonts w:ascii="Aptos" w:hAnsi="Aptos"/>
          <w:sz w:val="32"/>
          <w:szCs w:val="32"/>
        </w:rPr>
        <w:t xml:space="preserve">and </w:t>
      </w:r>
      <w:r w:rsidR="00154373">
        <w:rPr>
          <w:rFonts w:ascii="Aptos" w:hAnsi="Aptos"/>
          <w:sz w:val="32"/>
          <w:szCs w:val="32"/>
        </w:rPr>
        <w:t xml:space="preserve">studies show </w:t>
      </w:r>
      <w:r w:rsidR="00221586">
        <w:rPr>
          <w:rFonts w:ascii="Aptos" w:hAnsi="Aptos"/>
          <w:sz w:val="32"/>
          <w:szCs w:val="32"/>
        </w:rPr>
        <w:t xml:space="preserve">WIP limits reduce task switching, yielding up to 35% </w:t>
      </w:r>
      <w:r w:rsidR="00A305C0">
        <w:rPr>
          <w:rFonts w:ascii="Aptos" w:hAnsi="Aptos"/>
          <w:sz w:val="32"/>
          <w:szCs w:val="32"/>
        </w:rPr>
        <w:t>faster deli</w:t>
      </w:r>
      <w:r w:rsidR="005E6D09">
        <w:rPr>
          <w:rFonts w:ascii="Aptos" w:hAnsi="Aptos"/>
          <w:sz w:val="32"/>
          <w:szCs w:val="32"/>
        </w:rPr>
        <w:t xml:space="preserve">very and 15% better productivity </w:t>
      </w:r>
      <w:r w:rsidR="008F35AE">
        <w:rPr>
          <w:rFonts w:ascii="Aptos" w:hAnsi="Aptos"/>
          <w:sz w:val="32"/>
          <w:szCs w:val="32"/>
        </w:rPr>
        <w:t>(</w:t>
      </w:r>
      <w:proofErr w:type="spellStart"/>
      <w:r w:rsidR="00E5290F">
        <w:rPr>
          <w:rFonts w:ascii="Aptos" w:hAnsi="Aptos"/>
          <w:sz w:val="32"/>
          <w:szCs w:val="32"/>
        </w:rPr>
        <w:t>GelwicksTech</w:t>
      </w:r>
      <w:proofErr w:type="spellEnd"/>
      <w:r w:rsidR="00E5290F">
        <w:rPr>
          <w:rFonts w:ascii="Aptos" w:hAnsi="Aptos"/>
          <w:sz w:val="32"/>
          <w:szCs w:val="32"/>
        </w:rPr>
        <w:t xml:space="preserve">, 2024). </w:t>
      </w:r>
      <w:r w:rsidR="000303BA">
        <w:rPr>
          <w:rFonts w:ascii="Aptos" w:hAnsi="Aptos"/>
          <w:sz w:val="32"/>
          <w:szCs w:val="32"/>
        </w:rPr>
        <w:t xml:space="preserve">Additionally, </w:t>
      </w:r>
      <w:r w:rsidR="007C6E60">
        <w:rPr>
          <w:rFonts w:ascii="Aptos" w:hAnsi="Aptos"/>
          <w:sz w:val="32"/>
          <w:szCs w:val="32"/>
        </w:rPr>
        <w:t>teams report improved collaboration and communication, thanks to shared visibility and pu</w:t>
      </w:r>
      <w:r w:rsidR="00450067">
        <w:rPr>
          <w:rFonts w:ascii="Aptos" w:hAnsi="Aptos"/>
          <w:sz w:val="32"/>
          <w:szCs w:val="32"/>
        </w:rPr>
        <w:t>ll-based task allocation</w:t>
      </w:r>
      <w:r w:rsidR="00926F88">
        <w:rPr>
          <w:rFonts w:ascii="Aptos" w:hAnsi="Aptos"/>
          <w:sz w:val="32"/>
          <w:szCs w:val="32"/>
        </w:rPr>
        <w:t xml:space="preserve">. </w:t>
      </w:r>
      <w:r w:rsidR="00924FFE">
        <w:rPr>
          <w:rFonts w:ascii="Aptos" w:hAnsi="Aptos"/>
          <w:sz w:val="32"/>
          <w:szCs w:val="32"/>
        </w:rPr>
        <w:t xml:space="preserve"> </w:t>
      </w:r>
    </w:p>
    <w:p w14:paraId="5177FDF1" w14:textId="5CB6C343" w:rsidR="00826843" w:rsidRDefault="00826843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Academically, Kanban’s continuous </w:t>
      </w:r>
      <w:r w:rsidR="00BF3FF3">
        <w:rPr>
          <w:rFonts w:ascii="Aptos" w:hAnsi="Aptos"/>
          <w:sz w:val="32"/>
          <w:szCs w:val="32"/>
        </w:rPr>
        <w:t>flow model</w:t>
      </w:r>
      <w:r w:rsidR="008C65F8">
        <w:rPr>
          <w:rFonts w:ascii="Aptos" w:hAnsi="Aptos"/>
          <w:sz w:val="32"/>
          <w:szCs w:val="32"/>
        </w:rPr>
        <w:t xml:space="preserve"> </w:t>
      </w:r>
      <w:r w:rsidR="00076ABD">
        <w:rPr>
          <w:rFonts w:ascii="Aptos" w:hAnsi="Aptos"/>
          <w:sz w:val="32"/>
          <w:szCs w:val="32"/>
        </w:rPr>
        <w:t xml:space="preserve">supports agility and responsiveness, enabling swift adaptation to changing priorities </w:t>
      </w:r>
      <w:r w:rsidR="00EC6E03">
        <w:rPr>
          <w:rFonts w:ascii="Aptos" w:hAnsi="Aptos"/>
          <w:sz w:val="32"/>
          <w:szCs w:val="32"/>
        </w:rPr>
        <w:t xml:space="preserve">through metric like cycle times. Its use in education, such as in engineering </w:t>
      </w:r>
      <w:r w:rsidR="00324D5E">
        <w:rPr>
          <w:rFonts w:ascii="Aptos" w:hAnsi="Aptos"/>
          <w:sz w:val="32"/>
          <w:szCs w:val="32"/>
        </w:rPr>
        <w:t xml:space="preserve">courses, has </w:t>
      </w:r>
      <w:r w:rsidR="00AE141D">
        <w:rPr>
          <w:rFonts w:ascii="Aptos" w:hAnsi="Aptos"/>
          <w:sz w:val="32"/>
          <w:szCs w:val="32"/>
        </w:rPr>
        <w:t xml:space="preserve">shown </w:t>
      </w:r>
      <w:r w:rsidR="004B4517">
        <w:rPr>
          <w:rFonts w:ascii="Aptos" w:hAnsi="Aptos"/>
          <w:sz w:val="32"/>
          <w:szCs w:val="32"/>
        </w:rPr>
        <w:t xml:space="preserve">improved </w:t>
      </w:r>
      <w:r w:rsidR="00931B15">
        <w:rPr>
          <w:rFonts w:ascii="Aptos" w:hAnsi="Aptos"/>
          <w:sz w:val="32"/>
          <w:szCs w:val="32"/>
        </w:rPr>
        <w:t>learning</w:t>
      </w:r>
      <w:r w:rsidR="00EA0C3E">
        <w:rPr>
          <w:rFonts w:ascii="Aptos" w:hAnsi="Aptos"/>
          <w:sz w:val="32"/>
          <w:szCs w:val="32"/>
        </w:rPr>
        <w:t xml:space="preserve">, and students reflect more clearly on workflow and </w:t>
      </w:r>
      <w:r w:rsidR="001E2D11">
        <w:rPr>
          <w:rFonts w:ascii="Aptos" w:hAnsi="Aptos"/>
          <w:sz w:val="32"/>
          <w:szCs w:val="32"/>
        </w:rPr>
        <w:t>technical communication</w:t>
      </w:r>
      <w:r w:rsidR="0008156F">
        <w:rPr>
          <w:rFonts w:ascii="Aptos" w:hAnsi="Aptos"/>
          <w:sz w:val="32"/>
          <w:szCs w:val="32"/>
        </w:rPr>
        <w:t xml:space="preserve"> (Planview, </w:t>
      </w:r>
      <w:r w:rsidR="006F17E6">
        <w:rPr>
          <w:rFonts w:ascii="Aptos" w:hAnsi="Aptos"/>
          <w:sz w:val="32"/>
          <w:szCs w:val="32"/>
        </w:rPr>
        <w:t xml:space="preserve">2020). However, </w:t>
      </w:r>
      <w:r w:rsidR="00D47919">
        <w:rPr>
          <w:rFonts w:ascii="Aptos" w:hAnsi="Aptos"/>
          <w:sz w:val="32"/>
          <w:szCs w:val="32"/>
        </w:rPr>
        <w:t xml:space="preserve">successful implementation requires training and organisational support. Research stresses that without </w:t>
      </w:r>
      <w:r w:rsidR="00483D0C">
        <w:rPr>
          <w:rFonts w:ascii="Aptos" w:hAnsi="Aptos"/>
          <w:sz w:val="32"/>
          <w:szCs w:val="32"/>
        </w:rPr>
        <w:t xml:space="preserve">understanding WIP disciplines and cultural alignment, Kanban </w:t>
      </w:r>
      <w:r w:rsidR="00F1579D">
        <w:rPr>
          <w:rFonts w:ascii="Aptos" w:hAnsi="Aptos"/>
          <w:sz w:val="32"/>
          <w:szCs w:val="32"/>
        </w:rPr>
        <w:t xml:space="preserve">adaptation may </w:t>
      </w:r>
      <w:r w:rsidR="008A05B0">
        <w:rPr>
          <w:rFonts w:ascii="Aptos" w:hAnsi="Aptos"/>
          <w:sz w:val="32"/>
          <w:szCs w:val="32"/>
        </w:rPr>
        <w:t>stall</w:t>
      </w:r>
      <w:r w:rsidR="005543E6">
        <w:rPr>
          <w:rFonts w:ascii="Aptos" w:hAnsi="Aptos"/>
          <w:sz w:val="32"/>
          <w:szCs w:val="32"/>
        </w:rPr>
        <w:t xml:space="preserve"> (Springer Nature Link, 2016). </w:t>
      </w:r>
      <w:r w:rsidR="00F1579D">
        <w:rPr>
          <w:rFonts w:ascii="Aptos" w:hAnsi="Aptos"/>
          <w:sz w:val="32"/>
          <w:szCs w:val="32"/>
        </w:rPr>
        <w:t xml:space="preserve"> </w:t>
      </w:r>
    </w:p>
    <w:p w14:paraId="24B1BFE8" w14:textId="77777777" w:rsidR="005543E6" w:rsidRDefault="005543E6" w:rsidP="00D268F6">
      <w:pPr>
        <w:rPr>
          <w:rFonts w:ascii="Aptos" w:hAnsi="Aptos"/>
          <w:sz w:val="32"/>
          <w:szCs w:val="32"/>
        </w:rPr>
      </w:pPr>
    </w:p>
    <w:p w14:paraId="647AB8A5" w14:textId="48CE3C3C" w:rsidR="005543E6" w:rsidRPr="003F2847" w:rsidRDefault="005543E6" w:rsidP="00D268F6">
      <w:pPr>
        <w:rPr>
          <w:rFonts w:ascii="Algerian" w:hAnsi="Algerian"/>
          <w:sz w:val="70"/>
          <w:szCs w:val="70"/>
        </w:rPr>
      </w:pPr>
      <w:r w:rsidRPr="003F2847">
        <w:rPr>
          <w:rFonts w:ascii="Algerian" w:hAnsi="Algerian"/>
          <w:sz w:val="70"/>
          <w:szCs w:val="70"/>
        </w:rPr>
        <w:lastRenderedPageBreak/>
        <w:t>Stakeholder</w:t>
      </w:r>
      <w:r w:rsidR="00A30463" w:rsidRPr="003F2847">
        <w:rPr>
          <w:rFonts w:ascii="Algerian" w:hAnsi="Algerian"/>
          <w:sz w:val="70"/>
          <w:szCs w:val="70"/>
        </w:rPr>
        <w:t xml:space="preserve"> analysis</w:t>
      </w:r>
    </w:p>
    <w:p w14:paraId="6ED98CA5" w14:textId="77777777" w:rsidR="008C2301" w:rsidRDefault="008C2301" w:rsidP="00D268F6">
      <w:pPr>
        <w:rPr>
          <w:rFonts w:ascii="Aptos" w:hAnsi="Aptos"/>
          <w:sz w:val="32"/>
          <w:szCs w:val="32"/>
        </w:rPr>
      </w:pPr>
    </w:p>
    <w:p w14:paraId="70C82B76" w14:textId="7AE1843F" w:rsidR="009631B2" w:rsidRDefault="008C2301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>Stake</w:t>
      </w:r>
      <w:r w:rsidR="003F2847">
        <w:rPr>
          <w:rFonts w:ascii="Aptos" w:hAnsi="Aptos"/>
          <w:sz w:val="32"/>
          <w:szCs w:val="32"/>
        </w:rPr>
        <w:t xml:space="preserve">holder analysis is a critical component of effective project </w:t>
      </w:r>
      <w:r w:rsidR="002C0999">
        <w:rPr>
          <w:rFonts w:ascii="Aptos" w:hAnsi="Aptos"/>
          <w:sz w:val="32"/>
          <w:szCs w:val="32"/>
        </w:rPr>
        <w:t xml:space="preserve">management. </w:t>
      </w:r>
      <w:r w:rsidR="007F0B1F">
        <w:rPr>
          <w:rFonts w:ascii="Aptos" w:hAnsi="Aptos"/>
          <w:sz w:val="32"/>
          <w:szCs w:val="32"/>
        </w:rPr>
        <w:t xml:space="preserve">It involves </w:t>
      </w:r>
      <w:r w:rsidR="00EF0E00">
        <w:rPr>
          <w:rFonts w:ascii="Aptos" w:hAnsi="Aptos"/>
          <w:sz w:val="32"/>
          <w:szCs w:val="32"/>
        </w:rPr>
        <w:t xml:space="preserve">identifying individuals or groups </w:t>
      </w:r>
      <w:r w:rsidR="002B17DA">
        <w:rPr>
          <w:rFonts w:ascii="Aptos" w:hAnsi="Aptos"/>
          <w:sz w:val="32"/>
          <w:szCs w:val="32"/>
        </w:rPr>
        <w:t xml:space="preserve">affected </w:t>
      </w:r>
      <w:r w:rsidR="0061688E">
        <w:rPr>
          <w:rFonts w:ascii="Aptos" w:hAnsi="Aptos"/>
          <w:sz w:val="32"/>
          <w:szCs w:val="32"/>
        </w:rPr>
        <w:t xml:space="preserve">by or capable of influencing a project, and assessing their interests, influence and </w:t>
      </w:r>
      <w:r w:rsidR="007F0E21">
        <w:rPr>
          <w:rFonts w:ascii="Aptos" w:hAnsi="Aptos"/>
          <w:sz w:val="32"/>
          <w:szCs w:val="32"/>
        </w:rPr>
        <w:t>potential impact</w:t>
      </w:r>
      <w:r w:rsidR="009631B2">
        <w:rPr>
          <w:rFonts w:ascii="Aptos" w:hAnsi="Aptos"/>
          <w:sz w:val="32"/>
          <w:szCs w:val="32"/>
        </w:rPr>
        <w:t xml:space="preserve"> (Purple Griffon, 2025). </w:t>
      </w:r>
      <w:r w:rsidR="00367689">
        <w:rPr>
          <w:rFonts w:ascii="Aptos" w:hAnsi="Aptos"/>
          <w:sz w:val="32"/>
          <w:szCs w:val="32"/>
        </w:rPr>
        <w:t xml:space="preserve">Engaging </w:t>
      </w:r>
      <w:r w:rsidR="001F7110">
        <w:rPr>
          <w:rFonts w:ascii="Aptos" w:hAnsi="Aptos"/>
          <w:sz w:val="32"/>
          <w:szCs w:val="32"/>
        </w:rPr>
        <w:t>stakeholders early ensures transparency and can significantly improve project outcomes</w:t>
      </w:r>
      <w:r w:rsidR="00DD0F12">
        <w:rPr>
          <w:rFonts w:ascii="Aptos" w:hAnsi="Aptos"/>
          <w:sz w:val="32"/>
          <w:szCs w:val="32"/>
        </w:rPr>
        <w:t xml:space="preserve">. </w:t>
      </w:r>
    </w:p>
    <w:p w14:paraId="38F59DF8" w14:textId="494E8D8E" w:rsidR="00DD0F12" w:rsidRDefault="0073334D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A structured analysis helps in prioritising stakeholder needs and tailoring communication strategies. </w:t>
      </w:r>
      <w:r w:rsidR="000A4094">
        <w:rPr>
          <w:rFonts w:ascii="Aptos" w:hAnsi="Aptos"/>
          <w:sz w:val="32"/>
          <w:szCs w:val="32"/>
        </w:rPr>
        <w:t xml:space="preserve">For </w:t>
      </w:r>
      <w:r w:rsidR="00FF3B3A">
        <w:rPr>
          <w:rFonts w:ascii="Aptos" w:hAnsi="Aptos"/>
          <w:sz w:val="32"/>
          <w:szCs w:val="32"/>
        </w:rPr>
        <w:t>example</w:t>
      </w:r>
      <w:r w:rsidR="000A4094">
        <w:rPr>
          <w:rFonts w:ascii="Aptos" w:hAnsi="Aptos"/>
          <w:sz w:val="32"/>
          <w:szCs w:val="32"/>
        </w:rPr>
        <w:t>, the Power</w:t>
      </w:r>
      <w:r w:rsidR="00682824">
        <w:rPr>
          <w:rFonts w:ascii="Aptos" w:hAnsi="Aptos"/>
          <w:sz w:val="32"/>
          <w:szCs w:val="32"/>
        </w:rPr>
        <w:t>/Interest Grid</w:t>
      </w:r>
      <w:r w:rsidR="00A1187A">
        <w:rPr>
          <w:rFonts w:ascii="Aptos" w:hAnsi="Aptos"/>
          <w:sz w:val="32"/>
          <w:szCs w:val="32"/>
        </w:rPr>
        <w:t xml:space="preserve"> is a project management tool used to categorise stakeholders </w:t>
      </w:r>
      <w:r w:rsidR="0047157A">
        <w:rPr>
          <w:rFonts w:ascii="Aptos" w:hAnsi="Aptos"/>
          <w:sz w:val="32"/>
          <w:szCs w:val="32"/>
        </w:rPr>
        <w:t xml:space="preserve">based on their level of influence (power) and their level of concern </w:t>
      </w:r>
      <w:r w:rsidR="00EF1D26">
        <w:rPr>
          <w:rFonts w:ascii="Aptos" w:hAnsi="Aptos"/>
          <w:sz w:val="32"/>
          <w:szCs w:val="32"/>
        </w:rPr>
        <w:t>or interest in the project</w:t>
      </w:r>
      <w:r w:rsidR="00E4044E">
        <w:rPr>
          <w:rFonts w:ascii="Aptos" w:hAnsi="Aptos"/>
          <w:sz w:val="32"/>
          <w:szCs w:val="32"/>
        </w:rPr>
        <w:t xml:space="preserve"> </w:t>
      </w:r>
      <w:r w:rsidR="0072009B">
        <w:rPr>
          <w:rFonts w:ascii="Aptos" w:hAnsi="Aptos"/>
          <w:sz w:val="32"/>
          <w:szCs w:val="32"/>
        </w:rPr>
        <w:t xml:space="preserve">(Improvement Service, 2022). </w:t>
      </w:r>
      <w:r w:rsidR="00C129B5">
        <w:rPr>
          <w:rFonts w:ascii="Aptos" w:hAnsi="Aptos"/>
          <w:sz w:val="32"/>
          <w:szCs w:val="32"/>
        </w:rPr>
        <w:t xml:space="preserve">Failure </w:t>
      </w:r>
      <w:r w:rsidR="00FB7D85">
        <w:rPr>
          <w:rFonts w:ascii="Aptos" w:hAnsi="Aptos"/>
          <w:sz w:val="32"/>
          <w:szCs w:val="32"/>
        </w:rPr>
        <w:t xml:space="preserve">to address key stakeholders may result in conflict, project delays or failure. </w:t>
      </w:r>
    </w:p>
    <w:p w14:paraId="26110626" w14:textId="5092B6AA" w:rsidR="00BF3CEF" w:rsidRDefault="00445F95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>In academic and professional settings, under</w:t>
      </w:r>
      <w:r w:rsidR="0055605B">
        <w:rPr>
          <w:rFonts w:ascii="Aptos" w:hAnsi="Aptos"/>
          <w:sz w:val="32"/>
          <w:szCs w:val="32"/>
        </w:rPr>
        <w:t xml:space="preserve">standing stakeholder dynamics enables students and practitioners to make ethical, inclusive and informed decisions. </w:t>
      </w:r>
      <w:r w:rsidR="00314A3C">
        <w:rPr>
          <w:rFonts w:ascii="Aptos" w:hAnsi="Aptos"/>
          <w:sz w:val="32"/>
          <w:szCs w:val="32"/>
        </w:rPr>
        <w:t xml:space="preserve">For examples, in healthcare, balancing </w:t>
      </w:r>
      <w:r w:rsidR="007E3CC2">
        <w:rPr>
          <w:rFonts w:ascii="Aptos" w:hAnsi="Aptos"/>
          <w:sz w:val="32"/>
          <w:szCs w:val="32"/>
        </w:rPr>
        <w:t xml:space="preserve">patients, </w:t>
      </w:r>
      <w:r w:rsidR="00CA3491">
        <w:rPr>
          <w:rFonts w:ascii="Aptos" w:hAnsi="Aptos"/>
          <w:sz w:val="32"/>
          <w:szCs w:val="32"/>
        </w:rPr>
        <w:t xml:space="preserve">payers, </w:t>
      </w:r>
      <w:r w:rsidR="007E3CC2">
        <w:rPr>
          <w:rFonts w:ascii="Aptos" w:hAnsi="Aptos"/>
          <w:sz w:val="32"/>
          <w:szCs w:val="32"/>
        </w:rPr>
        <w:t xml:space="preserve">providers and policy-maker interests is essential for ethical practice and service </w:t>
      </w:r>
      <w:r w:rsidR="00632E8B">
        <w:rPr>
          <w:rFonts w:ascii="Aptos" w:hAnsi="Aptos"/>
          <w:sz w:val="32"/>
          <w:szCs w:val="32"/>
        </w:rPr>
        <w:t>delivery</w:t>
      </w:r>
      <w:r w:rsidR="007E3CC2">
        <w:rPr>
          <w:rFonts w:ascii="Aptos" w:hAnsi="Aptos"/>
          <w:sz w:val="32"/>
          <w:szCs w:val="32"/>
        </w:rPr>
        <w:t xml:space="preserve"> </w:t>
      </w:r>
      <w:r w:rsidR="00CA3491">
        <w:rPr>
          <w:rFonts w:ascii="Aptos" w:hAnsi="Aptos"/>
          <w:sz w:val="32"/>
          <w:szCs w:val="32"/>
        </w:rPr>
        <w:t xml:space="preserve">(Crowe Christine, 2023). </w:t>
      </w:r>
      <w:r w:rsidR="007650A2">
        <w:rPr>
          <w:rFonts w:ascii="Aptos" w:hAnsi="Aptos"/>
          <w:sz w:val="32"/>
          <w:szCs w:val="32"/>
        </w:rPr>
        <w:t xml:space="preserve">Ultimately, stakeholder analysis empowers </w:t>
      </w:r>
      <w:r w:rsidR="00F76456">
        <w:rPr>
          <w:rFonts w:ascii="Aptos" w:hAnsi="Aptos"/>
          <w:sz w:val="32"/>
          <w:szCs w:val="32"/>
        </w:rPr>
        <w:t xml:space="preserve">professionals to navigate complexity, improve outcomes and foster collaborative environments. </w:t>
      </w:r>
    </w:p>
    <w:p w14:paraId="3E0E9BC3" w14:textId="77777777" w:rsidR="0072009B" w:rsidRDefault="0072009B" w:rsidP="00D268F6">
      <w:pPr>
        <w:rPr>
          <w:rFonts w:ascii="Aptos" w:hAnsi="Aptos"/>
          <w:sz w:val="32"/>
          <w:szCs w:val="32"/>
        </w:rPr>
      </w:pPr>
    </w:p>
    <w:p w14:paraId="15AD5DBC" w14:textId="77777777" w:rsidR="007E0284" w:rsidRDefault="007E0284" w:rsidP="00D268F6">
      <w:pPr>
        <w:rPr>
          <w:rFonts w:ascii="Aptos" w:hAnsi="Aptos"/>
          <w:sz w:val="32"/>
          <w:szCs w:val="32"/>
        </w:rPr>
      </w:pPr>
    </w:p>
    <w:p w14:paraId="6EC7F267" w14:textId="77777777" w:rsidR="007E0284" w:rsidRDefault="007E0284" w:rsidP="00D268F6">
      <w:pPr>
        <w:rPr>
          <w:rFonts w:ascii="Aptos" w:hAnsi="Aptos"/>
          <w:sz w:val="32"/>
          <w:szCs w:val="32"/>
        </w:rPr>
      </w:pPr>
    </w:p>
    <w:p w14:paraId="516F338B" w14:textId="77777777" w:rsidR="007E0284" w:rsidRDefault="007E0284" w:rsidP="00D268F6">
      <w:pPr>
        <w:rPr>
          <w:rFonts w:ascii="Aptos" w:hAnsi="Aptos"/>
          <w:sz w:val="32"/>
          <w:szCs w:val="32"/>
        </w:rPr>
      </w:pPr>
    </w:p>
    <w:p w14:paraId="017EBA9A" w14:textId="77777777" w:rsidR="007E0284" w:rsidRDefault="007E0284" w:rsidP="00D268F6">
      <w:pPr>
        <w:rPr>
          <w:rFonts w:ascii="Aptos" w:hAnsi="Aptos"/>
          <w:sz w:val="32"/>
          <w:szCs w:val="32"/>
        </w:rPr>
      </w:pPr>
    </w:p>
    <w:p w14:paraId="7AF782D9" w14:textId="2305DAEA" w:rsidR="007E0284" w:rsidRDefault="007E0284" w:rsidP="00D268F6">
      <w:pPr>
        <w:rPr>
          <w:rFonts w:ascii="Algerian" w:hAnsi="Algerian"/>
          <w:sz w:val="70"/>
          <w:szCs w:val="70"/>
        </w:rPr>
      </w:pPr>
      <w:r>
        <w:rPr>
          <w:rFonts w:ascii="Algerian" w:hAnsi="Algerian"/>
          <w:sz w:val="70"/>
          <w:szCs w:val="70"/>
        </w:rPr>
        <w:lastRenderedPageBreak/>
        <w:t>CPD AND SELF-REFLECTION</w:t>
      </w:r>
    </w:p>
    <w:p w14:paraId="4C738D15" w14:textId="77777777" w:rsidR="000E160F" w:rsidRDefault="000E160F" w:rsidP="00D268F6">
      <w:pPr>
        <w:rPr>
          <w:rFonts w:ascii="Aptos" w:hAnsi="Aptos"/>
          <w:sz w:val="32"/>
          <w:szCs w:val="32"/>
        </w:rPr>
      </w:pPr>
    </w:p>
    <w:p w14:paraId="48EE33F4" w14:textId="6226D7D9" w:rsidR="00631E07" w:rsidRDefault="000E160F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Continuing Professional Development (CPD) and self-reflection are vital practices for lifelong learning and career progression. </w:t>
      </w:r>
      <w:r w:rsidR="007B4BC8">
        <w:rPr>
          <w:rFonts w:ascii="Aptos" w:hAnsi="Aptos"/>
          <w:sz w:val="32"/>
          <w:szCs w:val="32"/>
        </w:rPr>
        <w:t xml:space="preserve">CPD ensures that professionals stay updated with evolving standards, </w:t>
      </w:r>
      <w:r w:rsidR="00615F81">
        <w:rPr>
          <w:rFonts w:ascii="Aptos" w:hAnsi="Aptos"/>
          <w:sz w:val="32"/>
          <w:szCs w:val="32"/>
        </w:rPr>
        <w:t xml:space="preserve">technologies and best practices </w:t>
      </w:r>
      <w:r w:rsidR="00485456">
        <w:rPr>
          <w:rFonts w:ascii="Aptos" w:hAnsi="Aptos"/>
          <w:sz w:val="32"/>
          <w:szCs w:val="32"/>
        </w:rPr>
        <w:t>(CPD, n</w:t>
      </w:r>
      <w:r w:rsidR="00663683">
        <w:rPr>
          <w:rFonts w:ascii="Aptos" w:hAnsi="Aptos"/>
          <w:sz w:val="32"/>
          <w:szCs w:val="32"/>
        </w:rPr>
        <w:t xml:space="preserve">o date). </w:t>
      </w:r>
      <w:r w:rsidR="00631E07">
        <w:rPr>
          <w:rFonts w:ascii="Aptos" w:hAnsi="Aptos"/>
          <w:sz w:val="32"/>
          <w:szCs w:val="32"/>
        </w:rPr>
        <w:t xml:space="preserve">In encompasses structured learning, </w:t>
      </w:r>
      <w:r w:rsidR="00844DD6">
        <w:rPr>
          <w:rFonts w:ascii="Aptos" w:hAnsi="Aptos"/>
          <w:sz w:val="32"/>
          <w:szCs w:val="32"/>
        </w:rPr>
        <w:t xml:space="preserve">experiential opportunities and informal development such as mentoring and networking. </w:t>
      </w:r>
    </w:p>
    <w:p w14:paraId="453123D7" w14:textId="5F8B76AC" w:rsidR="008C2AA0" w:rsidRDefault="00052361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>Self-reflection complements CPD by encouraging</w:t>
      </w:r>
      <w:r w:rsidR="00ED6126">
        <w:rPr>
          <w:rFonts w:ascii="Aptos" w:hAnsi="Aptos"/>
          <w:sz w:val="32"/>
          <w:szCs w:val="32"/>
        </w:rPr>
        <w:t xml:space="preserve"> individuals to evaluate their performance, identify skills gaps and set rea</w:t>
      </w:r>
      <w:r w:rsidR="00B4311E">
        <w:rPr>
          <w:rFonts w:ascii="Aptos" w:hAnsi="Aptos"/>
          <w:sz w:val="32"/>
          <w:szCs w:val="32"/>
        </w:rPr>
        <w:t>listic goals</w:t>
      </w:r>
      <w:r w:rsidR="00E05DBC">
        <w:rPr>
          <w:rFonts w:ascii="Aptos" w:hAnsi="Aptos"/>
          <w:sz w:val="32"/>
          <w:szCs w:val="32"/>
        </w:rPr>
        <w:t xml:space="preserve"> (APM, 2021). </w:t>
      </w:r>
      <w:r w:rsidR="00335EEC">
        <w:rPr>
          <w:rFonts w:ascii="Aptos" w:hAnsi="Aptos"/>
          <w:sz w:val="32"/>
          <w:szCs w:val="32"/>
        </w:rPr>
        <w:t xml:space="preserve">Tools like Gibbs’ </w:t>
      </w:r>
      <w:r w:rsidR="00C04526">
        <w:rPr>
          <w:rFonts w:ascii="Aptos" w:hAnsi="Aptos"/>
          <w:sz w:val="32"/>
          <w:szCs w:val="32"/>
        </w:rPr>
        <w:t>reflective</w:t>
      </w:r>
      <w:r w:rsidR="00335EEC">
        <w:rPr>
          <w:rFonts w:ascii="Aptos" w:hAnsi="Aptos"/>
          <w:sz w:val="32"/>
          <w:szCs w:val="32"/>
        </w:rPr>
        <w:t xml:space="preserve"> </w:t>
      </w:r>
      <w:r w:rsidR="00C04526">
        <w:rPr>
          <w:rFonts w:ascii="Aptos" w:hAnsi="Aptos"/>
          <w:sz w:val="32"/>
          <w:szCs w:val="32"/>
        </w:rPr>
        <w:t>cycle offer a structured approach to this process, enhancing critical thinking and professional accountability</w:t>
      </w:r>
      <w:r w:rsidR="0055646E">
        <w:rPr>
          <w:rFonts w:ascii="Aptos" w:hAnsi="Aptos"/>
          <w:sz w:val="32"/>
          <w:szCs w:val="32"/>
        </w:rPr>
        <w:t xml:space="preserve"> </w:t>
      </w:r>
      <w:r w:rsidR="00C40169">
        <w:rPr>
          <w:rFonts w:ascii="Aptos" w:hAnsi="Aptos"/>
          <w:sz w:val="32"/>
          <w:szCs w:val="32"/>
        </w:rPr>
        <w:t xml:space="preserve">(Structural Learning, </w:t>
      </w:r>
      <w:r w:rsidR="00A26B3A">
        <w:rPr>
          <w:rFonts w:ascii="Aptos" w:hAnsi="Aptos"/>
          <w:sz w:val="32"/>
          <w:szCs w:val="32"/>
        </w:rPr>
        <w:t xml:space="preserve">2023). Regular reflection promotes adaptability and self-awareness, skills </w:t>
      </w:r>
      <w:r w:rsidR="00054E44">
        <w:rPr>
          <w:rFonts w:ascii="Aptos" w:hAnsi="Aptos"/>
          <w:sz w:val="32"/>
          <w:szCs w:val="32"/>
        </w:rPr>
        <w:t xml:space="preserve">that are increasingly valued in dynamic industries. </w:t>
      </w:r>
    </w:p>
    <w:p w14:paraId="383CEACD" w14:textId="44E201FD" w:rsidR="00054E44" w:rsidRDefault="00054E44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Universities </w:t>
      </w:r>
      <w:r w:rsidR="008E3043">
        <w:rPr>
          <w:rFonts w:ascii="Aptos" w:hAnsi="Aptos"/>
          <w:sz w:val="32"/>
          <w:szCs w:val="32"/>
        </w:rPr>
        <w:t xml:space="preserve">are embedding CPD and reflective practice into </w:t>
      </w:r>
      <w:r w:rsidR="00BD7329">
        <w:rPr>
          <w:rFonts w:ascii="Aptos" w:hAnsi="Aptos"/>
          <w:sz w:val="32"/>
          <w:szCs w:val="32"/>
        </w:rPr>
        <w:t xml:space="preserve">their subjects to prepare students for real world challenges. Reflective logs, </w:t>
      </w:r>
      <w:r w:rsidR="001B2E51">
        <w:rPr>
          <w:rFonts w:ascii="Aptos" w:hAnsi="Aptos"/>
          <w:sz w:val="32"/>
          <w:szCs w:val="32"/>
        </w:rPr>
        <w:t>portfolios and</w:t>
      </w:r>
      <w:r w:rsidR="00637270">
        <w:rPr>
          <w:rFonts w:ascii="Aptos" w:hAnsi="Aptos"/>
          <w:sz w:val="32"/>
          <w:szCs w:val="32"/>
        </w:rPr>
        <w:t xml:space="preserve"> feedback cultivates a proactive mindset and continuous improvement culture</w:t>
      </w:r>
      <w:r w:rsidR="009A1608">
        <w:rPr>
          <w:rFonts w:ascii="Aptos" w:hAnsi="Aptos"/>
          <w:sz w:val="32"/>
          <w:szCs w:val="32"/>
        </w:rPr>
        <w:t xml:space="preserve"> (CPD, 2019). </w:t>
      </w:r>
      <w:r w:rsidR="00637270">
        <w:rPr>
          <w:rFonts w:ascii="Aptos" w:hAnsi="Aptos"/>
          <w:sz w:val="32"/>
          <w:szCs w:val="32"/>
        </w:rPr>
        <w:t xml:space="preserve"> </w:t>
      </w:r>
      <w:r w:rsidR="001B2E51">
        <w:rPr>
          <w:rFonts w:ascii="Aptos" w:hAnsi="Aptos"/>
          <w:sz w:val="32"/>
          <w:szCs w:val="32"/>
        </w:rPr>
        <w:t xml:space="preserve">Engaging in CPD </w:t>
      </w:r>
      <w:r w:rsidR="00B11ADD">
        <w:rPr>
          <w:rFonts w:ascii="Aptos" w:hAnsi="Aptos"/>
          <w:sz w:val="32"/>
          <w:szCs w:val="32"/>
        </w:rPr>
        <w:t xml:space="preserve">and reflection not only </w:t>
      </w:r>
      <w:r w:rsidR="008D2485">
        <w:rPr>
          <w:rFonts w:ascii="Aptos" w:hAnsi="Aptos"/>
          <w:sz w:val="32"/>
          <w:szCs w:val="32"/>
        </w:rPr>
        <w:t xml:space="preserve">supports personal growth but also demonstrates commitment to ethical and professional standards. </w:t>
      </w:r>
    </w:p>
    <w:p w14:paraId="12E7109D" w14:textId="4615AF2D" w:rsidR="000E160F" w:rsidRDefault="003675F4" w:rsidP="00D268F6">
      <w:p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 </w:t>
      </w:r>
    </w:p>
    <w:p w14:paraId="086C8C25" w14:textId="77777777" w:rsidR="008D2485" w:rsidRDefault="008D2485" w:rsidP="00D268F6">
      <w:pPr>
        <w:rPr>
          <w:rFonts w:ascii="Aptos" w:hAnsi="Aptos"/>
          <w:sz w:val="32"/>
          <w:szCs w:val="32"/>
        </w:rPr>
      </w:pPr>
    </w:p>
    <w:p w14:paraId="5A1C00BB" w14:textId="77777777" w:rsidR="008D2485" w:rsidRDefault="008D2485" w:rsidP="00D268F6">
      <w:pPr>
        <w:rPr>
          <w:rFonts w:ascii="Aptos" w:hAnsi="Aptos"/>
          <w:sz w:val="32"/>
          <w:szCs w:val="32"/>
        </w:rPr>
      </w:pPr>
    </w:p>
    <w:p w14:paraId="7A359144" w14:textId="77777777" w:rsidR="008D2485" w:rsidRDefault="008D2485" w:rsidP="00D268F6">
      <w:pPr>
        <w:rPr>
          <w:rFonts w:ascii="Aptos" w:hAnsi="Aptos"/>
          <w:sz w:val="32"/>
          <w:szCs w:val="32"/>
        </w:rPr>
      </w:pPr>
    </w:p>
    <w:p w14:paraId="10F4F4C2" w14:textId="77777777" w:rsidR="008D2485" w:rsidRDefault="008D2485" w:rsidP="00D268F6">
      <w:pPr>
        <w:rPr>
          <w:rFonts w:ascii="Aptos" w:hAnsi="Aptos"/>
          <w:sz w:val="32"/>
          <w:szCs w:val="32"/>
        </w:rPr>
      </w:pPr>
    </w:p>
    <w:p w14:paraId="74004519" w14:textId="77777777" w:rsidR="008D2485" w:rsidRDefault="008D2485" w:rsidP="00D268F6">
      <w:pPr>
        <w:rPr>
          <w:rFonts w:ascii="Aptos" w:hAnsi="Aptos"/>
          <w:sz w:val="32"/>
          <w:szCs w:val="32"/>
        </w:rPr>
      </w:pPr>
    </w:p>
    <w:p w14:paraId="67425423" w14:textId="0C79D04A" w:rsidR="008D2485" w:rsidRDefault="008D2485" w:rsidP="00D268F6">
      <w:pPr>
        <w:rPr>
          <w:rFonts w:ascii="Algerian" w:hAnsi="Algerian"/>
          <w:sz w:val="80"/>
          <w:szCs w:val="80"/>
        </w:rPr>
      </w:pPr>
      <w:r>
        <w:rPr>
          <w:rFonts w:ascii="Algerian" w:hAnsi="Algerian"/>
          <w:sz w:val="80"/>
          <w:szCs w:val="80"/>
        </w:rPr>
        <w:lastRenderedPageBreak/>
        <w:t xml:space="preserve">References </w:t>
      </w:r>
    </w:p>
    <w:p w14:paraId="3C8EC6C1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Ahmad, M. O., Markkula, J., &amp; </w:t>
      </w:r>
      <w:proofErr w:type="spellStart"/>
      <w:r w:rsidRPr="00471B0A">
        <w:rPr>
          <w:rFonts w:ascii="Aptos" w:hAnsi="Aptos"/>
          <w:i/>
          <w:iCs/>
          <w:color w:val="05103E"/>
          <w:sz w:val="24"/>
          <w:szCs w:val="24"/>
        </w:rPr>
        <w:t>Oivo</w:t>
      </w:r>
      <w:proofErr w:type="spellEnd"/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, M. (2016). Insights into the Perceived Benefits of Kanban in Software Companies: Practitioners’ Views. In Lecture notes in business information processing (pp. 156–168). </w:t>
      </w:r>
      <w:hyperlink r:id="rId7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https://doi.org/10.1007/978-3-319-33515-5_13</w:t>
        </w:r>
      </w:hyperlink>
    </w:p>
    <w:p w14:paraId="4C6BB1A1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Bhandari, P., </w:t>
      </w:r>
      <w:proofErr w:type="spellStart"/>
      <w:r w:rsidRPr="00471B0A">
        <w:rPr>
          <w:rFonts w:ascii="Aptos" w:hAnsi="Aptos"/>
          <w:i/>
          <w:iCs/>
          <w:color w:val="05103E"/>
          <w:sz w:val="24"/>
          <w:szCs w:val="24"/>
        </w:rPr>
        <w:t>Kirange</w:t>
      </w:r>
      <w:proofErr w:type="spellEnd"/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, M., &amp; R. C. Patel Educational Trust’s Institute of Management Research and Development. pp. 3-6 (2024) </w:t>
      </w:r>
      <w:hyperlink r:id="rId8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https://www.ijprems.com/uploadedfiles/paper/issue_5_may_2024/34553/final/fin_ijprems1717162619.pdf</w:t>
        </w:r>
      </w:hyperlink>
    </w:p>
    <w:p w14:paraId="5A8A4D52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Continuing Professional Development (CPD) for universities. (2019, January 31). News. </w:t>
      </w:r>
      <w:hyperlink r:id="rId9" w:anchor=":~:text=Benefits%20of%20CPD%20for%20Universities,universities%20is%20explored%20and%20attained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https://www.cpduk.co.uk/news/continuing-professional-development-for-universities#:~:text=Benefits%20of%20CPD%20for%20Universities,universities%20is%20explored%20and%20attained</w:t>
        </w:r>
      </w:hyperlink>
      <w:r w:rsidRPr="00471B0A">
        <w:rPr>
          <w:rFonts w:ascii="Aptos" w:hAnsi="Aptos"/>
          <w:i/>
          <w:iCs/>
          <w:color w:val="05103E"/>
          <w:sz w:val="24"/>
          <w:szCs w:val="24"/>
        </w:rPr>
        <w:t>.</w:t>
      </w:r>
    </w:p>
    <w:p w14:paraId="06C528D8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Crowe, C. (2025, July 8). Identifying stakeholders in the healthcare sector. Borealis Stakeholder Management Software. </w:t>
      </w:r>
      <w:hyperlink r:id="rId10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https://www.boreal-is.com/blog/stakeholders-in-healthcare/</w:t>
        </w:r>
      </w:hyperlink>
    </w:p>
    <w:p w14:paraId="54BCA914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Franklin-Wallis, O. (2014, March 24). How to apply Kanban thinking at work. WIRED. </w:t>
      </w:r>
      <w:hyperlink r:id="rId11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https://www.wired.com/story/apply-kanban-thinking-at-work/</w:t>
        </w:r>
      </w:hyperlink>
    </w:p>
    <w:p w14:paraId="64AF5076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Gelwicks, A. (2024, February 21). Boost Productivity with Kanban Boards: The Science-Backed Benefits — </w:t>
      </w:r>
      <w:proofErr w:type="spellStart"/>
      <w:r w:rsidRPr="00471B0A">
        <w:rPr>
          <w:rFonts w:ascii="Aptos" w:hAnsi="Aptos"/>
          <w:i/>
          <w:iCs/>
          <w:color w:val="05103E"/>
          <w:sz w:val="24"/>
          <w:szCs w:val="24"/>
        </w:rPr>
        <w:t>GelwicksTech</w:t>
      </w:r>
      <w:proofErr w:type="spellEnd"/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. </w:t>
      </w:r>
      <w:hyperlink r:id="rId12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https://www.gelwickstech.com/articles/2024/2/14/boost-productivity-with-kanban-boards-the-science-backed-benefits</w:t>
        </w:r>
      </w:hyperlink>
    </w:p>
    <w:p w14:paraId="34AEA3CC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History of Kanban. (2020, January 14). Kanban Tool. </w:t>
      </w:r>
      <w:hyperlink r:id="rId13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https://kanbantool.com/kanban-guide/kanban-history</w:t>
        </w:r>
      </w:hyperlink>
    </w:p>
    <w:p w14:paraId="2ACE964A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Improvement Service. (2022, April 14). Power/Interest grid. </w:t>
      </w:r>
      <w:hyperlink r:id="rId14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https://www.improvementservice.org.uk/business-analysis-framework/consider-perspectives/powerinterest-grid</w:t>
        </w:r>
      </w:hyperlink>
    </w:p>
    <w:p w14:paraId="52684BCE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Kanban for engineering. (2020, March 26). Planview. </w:t>
      </w:r>
      <w:hyperlink r:id="rId15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https://www.planview.com/resources/articles/lkdc-kanban-engineering/</w:t>
        </w:r>
      </w:hyperlink>
    </w:p>
    <w:p w14:paraId="0630FD26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Kirvan, P., &amp; Pratt, M. K. (2023, April 6). Agile manifesto. Search CIO. </w:t>
      </w:r>
      <w:hyperlink r:id="rId16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https://www.techtarget.com/searchcio/definition/Agile-Manifesto</w:t>
        </w:r>
      </w:hyperlink>
    </w:p>
    <w:p w14:paraId="206C5015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proofErr w:type="spellStart"/>
      <w:r w:rsidRPr="00471B0A">
        <w:rPr>
          <w:rFonts w:ascii="Aptos" w:hAnsi="Aptos"/>
          <w:i/>
          <w:iCs/>
          <w:color w:val="05103E"/>
          <w:sz w:val="24"/>
          <w:szCs w:val="24"/>
        </w:rPr>
        <w:t>Laoyan</w:t>
      </w:r>
      <w:proofErr w:type="spellEnd"/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, S. (2025, February 20). What is Agile Methodology? (A Beginner’s Guide) [2025] • Asana. </w:t>
      </w:r>
      <w:hyperlink r:id="rId17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https://asana.com/resources/agile-methodology</w:t>
        </w:r>
      </w:hyperlink>
    </w:p>
    <w:p w14:paraId="7648EEB9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lastRenderedPageBreak/>
        <w:t xml:space="preserve">Main, P. (2023, May 9). Gibbs’ reflective Cycle. Structural Learning. </w:t>
      </w:r>
      <w:hyperlink r:id="rId18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https://www.structural-learning.com/post/gibbs-reflective-cycle</w:t>
        </w:r>
      </w:hyperlink>
    </w:p>
    <w:p w14:paraId="66FB18C7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Purple Griffon. (2025, March 4). Stakeholder Analysis – A Detailed Guide (Including A Template). </w:t>
      </w:r>
      <w:hyperlink r:id="rId19" w:anchor=":~:text=What%20is%20Stakeholder%20Analysis?,Developing%20Engagement%20Strategies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https://purplegriffon.com/blog/stakeholder-analysis-template#:~:text=What%20is%20Stakeholder%20Analysis?,Developing%20Engagement%20Strategies</w:t>
        </w:r>
      </w:hyperlink>
    </w:p>
    <w:p w14:paraId="49F287F3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Reflections on CPD. (2021, September 15). </w:t>
      </w:r>
      <w:hyperlink r:id="rId20" w:anchor=":~:text=Reflective%20practice%20is%20the%20process,on%20experience%E2%80%9D%20John%20Dewey%2C%201910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https://www.apm.org.uk/blog/reflections-on-cpd/#:~:text=Reflective%20practice%20is%20the%20process,on%20experience%E2%80%9D%20John%20Dewey%2C%201910</w:t>
        </w:r>
      </w:hyperlink>
    </w:p>
    <w:p w14:paraId="78564034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ResearchGate. (2015, March 15). Does Agile Work? – A quantitative analysis of agile project success. </w:t>
      </w:r>
      <w:hyperlink r:id="rId21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https://www.researchgate.net/publication/273792177_Does_Agile_work_-_A_quantitative_analysis_of_agile_project_success</w:t>
        </w:r>
      </w:hyperlink>
    </w:p>
    <w:p w14:paraId="1FE9FD4F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ResearchGate. (2018, June). Hybrid Project Management: Combining Agile and Traditional Approaches. </w:t>
      </w:r>
      <w:hyperlink r:id="rId22" w:anchor=":~:text=The%20integration%20of%20these%20methodologies,iterative%20progress%20of%20agile%20practices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https://www.researchgate.net/publication/389605566_Hybrid_Project_Management_Combining_Agile_and_Traditional_Approaches#:~:text=The%20integration%20of%20these%20methodologies,iterative%20progress%20of%20agile%20practices</w:t>
        </w:r>
      </w:hyperlink>
      <w:r w:rsidRPr="00471B0A">
        <w:rPr>
          <w:rFonts w:ascii="Aptos" w:hAnsi="Aptos"/>
          <w:i/>
          <w:iCs/>
          <w:color w:val="05103E"/>
          <w:sz w:val="24"/>
          <w:szCs w:val="24"/>
        </w:rPr>
        <w:t>.</w:t>
      </w:r>
    </w:p>
    <w:p w14:paraId="6EA78142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ResearchGate. (2019, April). Quad chart illustrating the breakdown of traditional importance-performance analysis approach. </w:t>
      </w:r>
      <w:hyperlink r:id="rId23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https://www.researchgate.net/figure/Quad-chart-illustrating-the-breakdown-of-traditional-importance-performance-analysis_fig1_332339435</w:t>
        </w:r>
      </w:hyperlink>
    </w:p>
    <w:p w14:paraId="2B16BEB5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ResearchGate. (2024, July 16). Optimizing Healthcare Programs: A Comparative Analysis of Agile and Traditional Management Approaches. </w:t>
      </w:r>
      <w:hyperlink r:id="rId24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https://www.researchgate.net/publication/382400529_Optimizing_Healthcare_Programs_A_Comparative_Analysis_of_Agile_and_Traditional_Management_Approaches</w:t>
        </w:r>
      </w:hyperlink>
    </w:p>
    <w:p w14:paraId="229EF7CD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Sarkar, D. &amp; Hinds, T.J. (2022). GIFTS: Introducing Quad Chart to Reinforce Technical Communication Skills. ASEE Conference Proceedings. </w:t>
      </w:r>
      <w:hyperlink r:id="rId25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https://peer.asee.org/gifts-introducing-quad-chart-to-reinforce-technical-communication-skills</w:t>
        </w:r>
      </w:hyperlink>
    </w:p>
    <w:p w14:paraId="47954957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proofErr w:type="spellStart"/>
      <w:r w:rsidRPr="00471B0A">
        <w:rPr>
          <w:rFonts w:ascii="Aptos" w:hAnsi="Aptos"/>
          <w:i/>
          <w:iCs/>
          <w:color w:val="05103E"/>
          <w:sz w:val="24"/>
          <w:szCs w:val="24"/>
        </w:rPr>
        <w:t>StameyJohn</w:t>
      </w:r>
      <w:proofErr w:type="spellEnd"/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, &amp; </w:t>
      </w:r>
      <w:proofErr w:type="spellStart"/>
      <w:r w:rsidRPr="00471B0A">
        <w:rPr>
          <w:rFonts w:ascii="Aptos" w:hAnsi="Aptos"/>
          <w:i/>
          <w:iCs/>
          <w:color w:val="05103E"/>
          <w:sz w:val="24"/>
          <w:szCs w:val="24"/>
        </w:rPr>
        <w:t>HoneycuttThomas</w:t>
      </w:r>
      <w:proofErr w:type="spellEnd"/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. (2005). Quad charts in software project management. Journal of Computing Sciences in Colleges. </w:t>
      </w:r>
      <w:hyperlink r:id="rId26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https://doi.org/10.5555/1089053.1089101</w:t>
        </w:r>
      </w:hyperlink>
    </w:p>
    <w:p w14:paraId="452B6E97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The Bid Agency. (2024, June 11). QUAD CHARTS FOR BUSINESS — THE BID AGENCY. </w:t>
      </w:r>
      <w:hyperlink r:id="rId27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https://www.thebidagency.com.au/blog/quad-charts-for-business</w:t>
        </w:r>
      </w:hyperlink>
    </w:p>
    <w:p w14:paraId="2E3E647C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lastRenderedPageBreak/>
        <w:t xml:space="preserve">Universities of Wisconsin. (2024, April 1). A Quad Chart and its use - Centre for Technology Commercialization. </w:t>
      </w:r>
      <w:proofErr w:type="spellStart"/>
      <w:r w:rsidRPr="00471B0A">
        <w:rPr>
          <w:rFonts w:ascii="Aptos" w:hAnsi="Aptos"/>
          <w:i/>
          <w:iCs/>
          <w:color w:val="05103E"/>
          <w:sz w:val="24"/>
          <w:szCs w:val="24"/>
        </w:rPr>
        <w:t>Center</w:t>
      </w:r>
      <w:proofErr w:type="spellEnd"/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 for Technology Commercialization. </w:t>
      </w:r>
      <w:hyperlink r:id="rId28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https://wisconsinctc.org/2024/04/01/a-quad-chart-and-its-use/</w:t>
        </w:r>
      </w:hyperlink>
    </w:p>
    <w:p w14:paraId="2AA1A36B" w14:textId="77777777" w:rsidR="008D2485" w:rsidRPr="00471B0A" w:rsidRDefault="008D2485" w:rsidP="008D2485">
      <w:pPr>
        <w:spacing w:after="160" w:line="278" w:lineRule="auto"/>
        <w:rPr>
          <w:rFonts w:ascii="Aptos" w:hAnsi="Aptos"/>
          <w:i/>
          <w:iCs/>
          <w:color w:val="05103E"/>
          <w:sz w:val="24"/>
          <w:szCs w:val="24"/>
        </w:rPr>
      </w:pPr>
      <w:r w:rsidRPr="00471B0A">
        <w:rPr>
          <w:rFonts w:ascii="Aptos" w:hAnsi="Aptos"/>
          <w:i/>
          <w:iCs/>
          <w:color w:val="05103E"/>
          <w:sz w:val="24"/>
          <w:szCs w:val="24"/>
        </w:rPr>
        <w:t xml:space="preserve">What is Continuing Professional Development (CPD)? (n.d.). </w:t>
      </w:r>
      <w:hyperlink r:id="rId29" w:anchor=":~:text=Continuing%20Professional%20Development%20is%20a%20commitment%20to%20ongoing%20lifelong%20learning,improving%20within%20the%20work%20environment" w:tgtFrame="_new" w:history="1">
        <w:r w:rsidRPr="00471B0A">
          <w:rPr>
            <w:rStyle w:val="Hyperlink"/>
            <w:rFonts w:ascii="Aptos" w:hAnsi="Aptos"/>
            <w:i/>
            <w:iCs/>
            <w:sz w:val="24"/>
            <w:szCs w:val="24"/>
          </w:rPr>
          <w:t>https://www.cpduk.co.uk/explained#:~:text=Continuing%20Professional%20Development%20is%20a%20commitment%20to%20ongoing%20lifelong%20learning,improving%20within%20the%20work%20environment</w:t>
        </w:r>
      </w:hyperlink>
      <w:r w:rsidRPr="00471B0A">
        <w:rPr>
          <w:rFonts w:ascii="Aptos" w:hAnsi="Aptos"/>
          <w:i/>
          <w:iCs/>
          <w:color w:val="05103E"/>
          <w:sz w:val="24"/>
          <w:szCs w:val="24"/>
        </w:rPr>
        <w:t>.</w:t>
      </w:r>
    </w:p>
    <w:p w14:paraId="664DFD50" w14:textId="77777777" w:rsidR="008D2485" w:rsidRPr="007E0284" w:rsidRDefault="008D2485" w:rsidP="00D268F6">
      <w:pPr>
        <w:rPr>
          <w:rFonts w:ascii="Aptos" w:hAnsi="Aptos"/>
          <w:b/>
          <w:bCs/>
          <w:sz w:val="32"/>
          <w:szCs w:val="32"/>
        </w:rPr>
      </w:pPr>
    </w:p>
    <w:sectPr w:rsidR="008D2485" w:rsidRPr="007E0284" w:rsidSect="007D2D20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D20"/>
    <w:rsid w:val="000303BA"/>
    <w:rsid w:val="0004399D"/>
    <w:rsid w:val="00052361"/>
    <w:rsid w:val="00054E44"/>
    <w:rsid w:val="00076ABD"/>
    <w:rsid w:val="0008156F"/>
    <w:rsid w:val="00087DA2"/>
    <w:rsid w:val="000920E9"/>
    <w:rsid w:val="000A30D3"/>
    <w:rsid w:val="000A4094"/>
    <w:rsid w:val="000E160F"/>
    <w:rsid w:val="000F0B32"/>
    <w:rsid w:val="00114FB5"/>
    <w:rsid w:val="0012654D"/>
    <w:rsid w:val="00126C5B"/>
    <w:rsid w:val="00154373"/>
    <w:rsid w:val="001B2E51"/>
    <w:rsid w:val="001C0020"/>
    <w:rsid w:val="001E2D11"/>
    <w:rsid w:val="001F7110"/>
    <w:rsid w:val="00221586"/>
    <w:rsid w:val="00236209"/>
    <w:rsid w:val="00264FB0"/>
    <w:rsid w:val="002B17DA"/>
    <w:rsid w:val="002C0999"/>
    <w:rsid w:val="002E7849"/>
    <w:rsid w:val="002F05EE"/>
    <w:rsid w:val="00314A3C"/>
    <w:rsid w:val="00324D5E"/>
    <w:rsid w:val="00335EEC"/>
    <w:rsid w:val="00344BF0"/>
    <w:rsid w:val="003675F4"/>
    <w:rsid w:val="00367689"/>
    <w:rsid w:val="003B51AB"/>
    <w:rsid w:val="003F2847"/>
    <w:rsid w:val="004261B0"/>
    <w:rsid w:val="00445F95"/>
    <w:rsid w:val="00450067"/>
    <w:rsid w:val="0047157A"/>
    <w:rsid w:val="00471AFC"/>
    <w:rsid w:val="00483D0C"/>
    <w:rsid w:val="00485456"/>
    <w:rsid w:val="004A0C88"/>
    <w:rsid w:val="004B4517"/>
    <w:rsid w:val="004C1850"/>
    <w:rsid w:val="004D324F"/>
    <w:rsid w:val="00523FA2"/>
    <w:rsid w:val="00525C4B"/>
    <w:rsid w:val="00541FF5"/>
    <w:rsid w:val="005543E6"/>
    <w:rsid w:val="00555E55"/>
    <w:rsid w:val="0055605B"/>
    <w:rsid w:val="0055646E"/>
    <w:rsid w:val="005A6978"/>
    <w:rsid w:val="005E6D09"/>
    <w:rsid w:val="00615F81"/>
    <w:rsid w:val="0061688E"/>
    <w:rsid w:val="00631E07"/>
    <w:rsid w:val="00632E8B"/>
    <w:rsid w:val="00637270"/>
    <w:rsid w:val="00663683"/>
    <w:rsid w:val="00682824"/>
    <w:rsid w:val="006C7D9E"/>
    <w:rsid w:val="006F17E6"/>
    <w:rsid w:val="0072009B"/>
    <w:rsid w:val="00721B05"/>
    <w:rsid w:val="0073334D"/>
    <w:rsid w:val="0073703B"/>
    <w:rsid w:val="007650A2"/>
    <w:rsid w:val="00797F6F"/>
    <w:rsid w:val="007B4BC8"/>
    <w:rsid w:val="007C6E60"/>
    <w:rsid w:val="007D2D20"/>
    <w:rsid w:val="007E0284"/>
    <w:rsid w:val="007E3CC2"/>
    <w:rsid w:val="007F0B1F"/>
    <w:rsid w:val="007F0E21"/>
    <w:rsid w:val="007F216D"/>
    <w:rsid w:val="00802A61"/>
    <w:rsid w:val="00826843"/>
    <w:rsid w:val="00844DD6"/>
    <w:rsid w:val="00851440"/>
    <w:rsid w:val="008A05B0"/>
    <w:rsid w:val="008C12F7"/>
    <w:rsid w:val="008C2301"/>
    <w:rsid w:val="008C2AA0"/>
    <w:rsid w:val="008C65F8"/>
    <w:rsid w:val="008D2485"/>
    <w:rsid w:val="008E3043"/>
    <w:rsid w:val="008F0546"/>
    <w:rsid w:val="008F35AE"/>
    <w:rsid w:val="00924FFE"/>
    <w:rsid w:val="00926F88"/>
    <w:rsid w:val="00931B15"/>
    <w:rsid w:val="009604C8"/>
    <w:rsid w:val="009631B2"/>
    <w:rsid w:val="00965ED3"/>
    <w:rsid w:val="009A1608"/>
    <w:rsid w:val="009A4C6E"/>
    <w:rsid w:val="009C102C"/>
    <w:rsid w:val="009C29B6"/>
    <w:rsid w:val="00A1102E"/>
    <w:rsid w:val="00A1187A"/>
    <w:rsid w:val="00A26B3A"/>
    <w:rsid w:val="00A2797F"/>
    <w:rsid w:val="00A30463"/>
    <w:rsid w:val="00A305C0"/>
    <w:rsid w:val="00A31643"/>
    <w:rsid w:val="00AE141D"/>
    <w:rsid w:val="00B11ADD"/>
    <w:rsid w:val="00B4311E"/>
    <w:rsid w:val="00B538B5"/>
    <w:rsid w:val="00B631A6"/>
    <w:rsid w:val="00B776F8"/>
    <w:rsid w:val="00BB1A2F"/>
    <w:rsid w:val="00BC5EF6"/>
    <w:rsid w:val="00BD7329"/>
    <w:rsid w:val="00BF3CEF"/>
    <w:rsid w:val="00BF3FF3"/>
    <w:rsid w:val="00C04526"/>
    <w:rsid w:val="00C129B5"/>
    <w:rsid w:val="00C303AD"/>
    <w:rsid w:val="00C40169"/>
    <w:rsid w:val="00C53F1D"/>
    <w:rsid w:val="00CA3491"/>
    <w:rsid w:val="00CA6B92"/>
    <w:rsid w:val="00CC6B23"/>
    <w:rsid w:val="00D268F6"/>
    <w:rsid w:val="00D26BBB"/>
    <w:rsid w:val="00D47919"/>
    <w:rsid w:val="00DD0F12"/>
    <w:rsid w:val="00E05DBC"/>
    <w:rsid w:val="00E4044E"/>
    <w:rsid w:val="00E5290F"/>
    <w:rsid w:val="00E805EF"/>
    <w:rsid w:val="00E965F0"/>
    <w:rsid w:val="00EA0C3E"/>
    <w:rsid w:val="00EC2A12"/>
    <w:rsid w:val="00EC6E03"/>
    <w:rsid w:val="00ED6126"/>
    <w:rsid w:val="00EF0E00"/>
    <w:rsid w:val="00EF1D26"/>
    <w:rsid w:val="00EF2D92"/>
    <w:rsid w:val="00F1579D"/>
    <w:rsid w:val="00F16154"/>
    <w:rsid w:val="00F60661"/>
    <w:rsid w:val="00F76456"/>
    <w:rsid w:val="00FB7D85"/>
    <w:rsid w:val="00FF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C390D"/>
  <w15:chartTrackingRefBased/>
  <w15:docId w15:val="{23CD6452-97A5-42C9-BE21-EB168098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8F6"/>
  </w:style>
  <w:style w:type="paragraph" w:styleId="Heading1">
    <w:name w:val="heading 1"/>
    <w:basedOn w:val="Normal"/>
    <w:next w:val="Normal"/>
    <w:link w:val="Heading1Char"/>
    <w:uiPriority w:val="9"/>
    <w:qFormat/>
    <w:rsid w:val="00D268F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8F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8F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8F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8F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8F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8F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8F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8F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8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8F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8F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8F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8F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8F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8F6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8F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8F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D268F6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8F6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8F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268F6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D268F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8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2D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8F6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8F6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8F6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D268F6"/>
    <w:rPr>
      <w:b/>
      <w:bCs/>
      <w:smallCaps/>
      <w:spacing w:val="5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268F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D268F6"/>
    <w:rPr>
      <w:b/>
      <w:bCs/>
    </w:rPr>
  </w:style>
  <w:style w:type="character" w:styleId="Emphasis">
    <w:name w:val="Emphasis"/>
    <w:basedOn w:val="DefaultParagraphFont"/>
    <w:uiPriority w:val="20"/>
    <w:qFormat/>
    <w:rsid w:val="00D268F6"/>
    <w:rPr>
      <w:i/>
      <w:iCs/>
    </w:rPr>
  </w:style>
  <w:style w:type="paragraph" w:styleId="NoSpacing">
    <w:name w:val="No Spacing"/>
    <w:uiPriority w:val="1"/>
    <w:qFormat/>
    <w:rsid w:val="00D268F6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D268F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D268F6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D268F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268F6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8D24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24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7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jprems.com/uploadedfiles/paper/issue_5_may_2024/34553/final/fin_ijprems1717162619.pdf" TargetMode="External"/><Relationship Id="rId13" Type="http://schemas.openxmlformats.org/officeDocument/2006/relationships/hyperlink" Target="https://kanbantool.com/kanban-guide/kanban-history" TargetMode="External"/><Relationship Id="rId18" Type="http://schemas.openxmlformats.org/officeDocument/2006/relationships/hyperlink" Target="https://www.structural-learning.com/post/gibbs-reflective-cycle" TargetMode="External"/><Relationship Id="rId26" Type="http://schemas.openxmlformats.org/officeDocument/2006/relationships/hyperlink" Target="https://doi.org/10.5555/1089053.108910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researchgate.net/publication/273792177_Does_Agile_work_-_A_quantitative_analysis_of_agile_project_success" TargetMode="External"/><Relationship Id="rId7" Type="http://schemas.openxmlformats.org/officeDocument/2006/relationships/hyperlink" Target="https://doi.org/10.1007/978-3-319-33515-5_13" TargetMode="External"/><Relationship Id="rId12" Type="http://schemas.openxmlformats.org/officeDocument/2006/relationships/hyperlink" Target="https://www.gelwickstech.com/articles/2024/2/14/boost-productivity-with-kanban-boards-the-science-backed-benefits" TargetMode="External"/><Relationship Id="rId17" Type="http://schemas.openxmlformats.org/officeDocument/2006/relationships/hyperlink" Target="https://asana.com/resources/agile-methodology" TargetMode="External"/><Relationship Id="rId25" Type="http://schemas.openxmlformats.org/officeDocument/2006/relationships/hyperlink" Target="https://peer.asee.org/gifts-introducing-quad-chart-to-reinforce-technical-communication-skill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echtarget.com/searchcio/definition/Agile-Manifesto" TargetMode="External"/><Relationship Id="rId20" Type="http://schemas.openxmlformats.org/officeDocument/2006/relationships/hyperlink" Target="https://www.apm.org.uk/blog/reflections-on-cpd/" TargetMode="External"/><Relationship Id="rId29" Type="http://schemas.openxmlformats.org/officeDocument/2006/relationships/hyperlink" Target="https://www.cpduk.co.uk/explaine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wired.com/story/apply-kanban-thinking-at-work/" TargetMode="External"/><Relationship Id="rId24" Type="http://schemas.openxmlformats.org/officeDocument/2006/relationships/hyperlink" Target="https://www.researchgate.net/publication/382400529_Optimizing_Healthcare_Programs_A_Comparative_Analysis_of_Agile_and_Traditional_Management_Approache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lanview.com/resources/articles/lkdc-kanban-engineering/" TargetMode="External"/><Relationship Id="rId23" Type="http://schemas.openxmlformats.org/officeDocument/2006/relationships/hyperlink" Target="https://www.researchgate.net/figure/Quad-chart-illustrating-the-breakdown-of-traditional-importance-performance-analysis_fig1_332339435" TargetMode="External"/><Relationship Id="rId28" Type="http://schemas.openxmlformats.org/officeDocument/2006/relationships/hyperlink" Target="https://wisconsinctc.org/2024/04/01/a-quad-chart-and-its-use/" TargetMode="External"/><Relationship Id="rId10" Type="http://schemas.openxmlformats.org/officeDocument/2006/relationships/hyperlink" Target="https://www.boreal-is.com/blog/stakeholders-in-healthcare/" TargetMode="External"/><Relationship Id="rId19" Type="http://schemas.openxmlformats.org/officeDocument/2006/relationships/hyperlink" Target="https://purplegriffon.com/blog/stakeholder-analysis-template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cpduk.co.uk/news/continuing-professional-development-for-universities" TargetMode="External"/><Relationship Id="rId14" Type="http://schemas.openxmlformats.org/officeDocument/2006/relationships/hyperlink" Target="https://www.improvementservice.org.uk/business-analysis-framework/consider-perspectives/powerinterest-grid" TargetMode="External"/><Relationship Id="rId22" Type="http://schemas.openxmlformats.org/officeDocument/2006/relationships/hyperlink" Target="https://www.researchgate.net/publication/389605566_Hybrid_Project_Management_Combining_Agile_and_Traditional_Approaches" TargetMode="External"/><Relationship Id="rId27" Type="http://schemas.openxmlformats.org/officeDocument/2006/relationships/hyperlink" Target="https://www.thebidagency.com.au/blog/quad-charts-for-business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4" ma:contentTypeDescription="Create a new document." ma:contentTypeScope="" ma:versionID="fcb3c386ae05f46e01d86969920097d9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d8d40d4312670666c8ad6a21a3d672cc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9AB8564A-44C4-4175-9CDA-262DDF8358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7A0088-00B0-4038-BB67-5632510C95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9E41DB-A1BB-4078-B880-633E14159D78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11</Pages>
  <Words>2240</Words>
  <Characters>12771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 Strugaru (2222489)</dc:creator>
  <cp:keywords/>
  <dc:description/>
  <cp:lastModifiedBy>Georgiana Strugaru (2222489)</cp:lastModifiedBy>
  <cp:revision>134</cp:revision>
  <dcterms:created xsi:type="dcterms:W3CDTF">2025-07-08T01:19:00Z</dcterms:created>
  <dcterms:modified xsi:type="dcterms:W3CDTF">2025-07-09T02:56:00Z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