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50F7E" w14:textId="77777777" w:rsidR="003834AF" w:rsidRDefault="00BB7BF9">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Carlton Parks Limited Liability to Leo and Millie</w:t>
      </w:r>
    </w:p>
    <w:p w14:paraId="202037E8" w14:textId="77777777" w:rsidR="003834AF" w:rsidRDefault="00BB7BF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Generally, the occupiers of premises are expected to ensure that the safety standards are maintained since they owe a duty of care to the visiting person in all circumstances. However, this duty extends to the circumstances that are foreseeable using the reasonable man standards. The safety to be maintained is not only to the premises but also extend to the activities that are taking place within the designated premises. It is expected that upon paying visit the given premises, the premise occupier will put in place all the safety standards that will safeguard the visit from any form of injury or harm that may arise while the person is using the premises. In case there is any harm this gives rise to occupier liability. Occupiers’ liability deal with duty of care and it applies to any person who pays rent to be allowed to use the premise or visit the premises. In the current case scenario, any harm that the visitors of Carlton Parks Limited (CPL) gives rise to occupier’s liability. </w:t>
      </w:r>
    </w:p>
    <w:p w14:paraId="0F0D7EAD"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From the narration of the case study, it is evident that Leo who is in company of his parents has complied with all the requirements for admission to CPL. Leo is minor aged, 8 years of age and has come to CPL to enjoy the activities that are offered in the funhouse of the theme park. When queuing on the steps that lead to funhouse, he leans against the wall that separates the floor from the concrete wall below where the fun house is situated. The wall that he leans against is wooden. Unknown to him, this wall was weak and upon leaning, it gives way hence Leo falls 3 meters unto the concrete path. The fall occasions him fractured wrist and injury on the collarbone. Upon investigation of the circumstance that led to the incidence, CPL establishes that the wooden fence had been affected by the dripping water coming from the roof of the fun house. The rot weakened the fence hence falling when Leo leaned against it. </w:t>
      </w:r>
    </w:p>
    <w:p w14:paraId="13C15997"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Consideration of the liability owed to Leo by CPL falls within the provisions of the Occupiers Liability Act, 1957. The Act was enacted following the recommendation made in the Third Report of the Law Reform Commission and got Royal Assent on 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June, 1957. Leo is an allowed visitor within the theme park and therefore the provisions of the Occupiers Liability Act, 1957 are the one that apply in determining the liability owed by CPL. Section 1(2) of the Occupiers Liability Act, 1957 indicates that the Act applies “</w:t>
      </w:r>
      <w:r>
        <w:rPr>
          <w:rFonts w:ascii="Times New Roman" w:hAnsi="Times New Roman" w:cs="Times New Roman"/>
          <w:i/>
          <w:iCs/>
          <w:sz w:val="24"/>
          <w:szCs w:val="24"/>
        </w:rPr>
        <w:t xml:space="preserve">to a person’s occupation or control of premises and of any invitation or permission he gives (or is to be treated as giving) to another to enter or use the premises.” </w:t>
      </w:r>
      <w:r>
        <w:rPr>
          <w:rFonts w:ascii="Times New Roman" w:hAnsi="Times New Roman" w:cs="Times New Roman"/>
          <w:sz w:val="24"/>
          <w:szCs w:val="24"/>
        </w:rPr>
        <w:t>Leo and his parents have entered CPL theme park pursuant to a contract made between them and the management of CPL (Dimond 2002). They are therefore lawfully within the provisions of visitors by way of contract as enshrined under Section 5(1) of the Occupiers Liability Act, 1957</w:t>
      </w:r>
      <w:r>
        <w:rPr>
          <w:rFonts w:ascii="Times New Roman" w:hAnsi="Times New Roman" w:cs="Times New Roman"/>
          <w:i/>
          <w:iCs/>
          <w:sz w:val="24"/>
          <w:szCs w:val="24"/>
        </w:rPr>
        <w:t xml:space="preserve">. </w:t>
      </w:r>
      <w:r>
        <w:rPr>
          <w:rFonts w:ascii="Times New Roman" w:hAnsi="Times New Roman" w:cs="Times New Roman"/>
          <w:sz w:val="24"/>
          <w:szCs w:val="24"/>
        </w:rPr>
        <w:t xml:space="preserve">The relationship between Leo and CPL is that of a lawful visitor and therefore the provisions of Occupiers Liability Act, 1957 can be invoked. </w:t>
      </w:r>
    </w:p>
    <w:p w14:paraId="7B96A5CE"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By dint of Section 1(2) of the Occupiers Liability Act, 1957 CPL owes a duty of care to all the lawful visitors. CPL is the occupier of the premises where Leo has visited at the time of the unfortunate incidence. The court in </w:t>
      </w:r>
      <w:r>
        <w:rPr>
          <w:rFonts w:ascii="Times New Roman" w:hAnsi="Times New Roman" w:cs="Times New Roman"/>
          <w:i/>
          <w:iCs/>
          <w:sz w:val="24"/>
          <w:szCs w:val="24"/>
        </w:rPr>
        <w:t>Wheat v Lacon &amp; Co Ltd (1996) 1 All ER 582</w:t>
      </w:r>
      <w:r>
        <w:rPr>
          <w:rFonts w:ascii="Times New Roman" w:hAnsi="Times New Roman" w:cs="Times New Roman"/>
          <w:sz w:val="24"/>
          <w:szCs w:val="24"/>
        </w:rPr>
        <w:t xml:space="preserve"> gave the definition of an occupier as </w:t>
      </w:r>
      <w:r>
        <w:rPr>
          <w:rFonts w:ascii="Times New Roman" w:hAnsi="Times New Roman" w:cs="Times New Roman"/>
          <w:i/>
          <w:iCs/>
          <w:sz w:val="24"/>
          <w:szCs w:val="24"/>
        </w:rPr>
        <w:t xml:space="preserve">‘a person who had a sufficient degree of control over premises to put him under a duty of care towards those who came lawfully on to the premises.’ </w:t>
      </w:r>
      <w:r>
        <w:rPr>
          <w:rFonts w:ascii="Times New Roman" w:hAnsi="Times New Roman" w:cs="Times New Roman"/>
          <w:sz w:val="24"/>
          <w:szCs w:val="24"/>
        </w:rPr>
        <w:t xml:space="preserve">By manning the theme Park, CPL enjoys sufficient control and therefore falls within the category of the occupier (Hopkins 2002). CPL is the one that manages and levies the admittance fee for the park hence are to be termed as occupier who should be held liable for the fractures and injuries sustained by their visitor, Leo. </w:t>
      </w:r>
    </w:p>
    <w:p w14:paraId="5D63D9A1"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Lawful visitors are owed common duty of care by the occupier of the premises as encapsulated in Section 2 of the Occupiers Liability Act, 1957. Section 2(2) of the Occupiers </w:t>
      </w:r>
      <w:r>
        <w:rPr>
          <w:rFonts w:ascii="Times New Roman" w:hAnsi="Times New Roman" w:cs="Times New Roman"/>
          <w:sz w:val="24"/>
          <w:szCs w:val="24"/>
        </w:rPr>
        <w:lastRenderedPageBreak/>
        <w:t>Liability Act defines common duty of care as a, “</w:t>
      </w:r>
      <w:r>
        <w:rPr>
          <w:rFonts w:ascii="Times New Roman" w:hAnsi="Times New Roman" w:cs="Times New Roman"/>
          <w:i/>
          <w:iCs/>
          <w:sz w:val="24"/>
          <w:szCs w:val="24"/>
        </w:rPr>
        <w:t>duty to take such care as in all the circumstances of the case is reasonable to see that the visitor will be reasonably safe in using the premises for the purposes for which he is invited or permitted by the occupier to be there.”</w:t>
      </w:r>
      <w:r>
        <w:rPr>
          <w:rFonts w:ascii="Times New Roman" w:hAnsi="Times New Roman" w:cs="Times New Roman"/>
          <w:sz w:val="24"/>
          <w:szCs w:val="24"/>
        </w:rPr>
        <w:t xml:space="preserve"> As such, it was expected that CPL would have done thorough inspection of the wooden fence so as to inspect any defects. However, CPL did not conduct prior inspection and it only became discoverable that the wooden fence was rotten when it gave way causing injuries and fracture to Leo. The accident is to be blamed whole on the poor maintenance work by CPL which is allowed under Section 2(4)(b) of the Occupiers Liability Act, 1957. </w:t>
      </w:r>
    </w:p>
    <w:p w14:paraId="5AA0D0D3"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By the time that Leo sustained the fractures and injuries, he was using the staircase in the expected manner. He was just queuing in the company of his parents waiting for his turn to enter the funhouse. There was no prior warning put on the wooden fence indicating the possibility of it giving way as it did. Additionally, queuing was part of the procedures that the visitors were supposed to observe when visiting the premises. The house of Lords in </w:t>
      </w:r>
      <w:r>
        <w:rPr>
          <w:rFonts w:ascii="Times New Roman" w:hAnsi="Times New Roman" w:cs="Times New Roman"/>
          <w:i/>
          <w:iCs/>
          <w:sz w:val="24"/>
          <w:szCs w:val="24"/>
        </w:rPr>
        <w:t>Tomlinson v Congleton Borough Council</w:t>
      </w:r>
      <w:r>
        <w:rPr>
          <w:rFonts w:ascii="Times New Roman" w:hAnsi="Times New Roman" w:cs="Times New Roman"/>
          <w:sz w:val="24"/>
          <w:szCs w:val="24"/>
        </w:rPr>
        <w:t xml:space="preserve"> [2003] 3 WLR 705 held that the only instance where the occupier would not be held liable is when the visitor opts to engage in activity with inherent danger (Lunney 2003). In the current case scenario, leaning on the wooden fence by Leo did not impose an inherent danger visibly since he was not aware that the wooden fence was rotten and could easily give way. </w:t>
      </w:r>
    </w:p>
    <w:p w14:paraId="66781899"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CPL is aware that there would be children visiting the premises. This s because they have a funhouse which is specifically dedicated to offer entertainment services to children. For that reason, it is expected that they would have gone an extra mile in enforcing safety mechanism to prevent the occurrence of such incidence. Section 2(3)(a) of the Occupiers Liability Act, 1957 provides that, “</w:t>
      </w:r>
      <w:r>
        <w:rPr>
          <w:rFonts w:ascii="Times New Roman" w:hAnsi="Times New Roman" w:cs="Times New Roman"/>
          <w:i/>
          <w:iCs/>
          <w:sz w:val="24"/>
          <w:szCs w:val="24"/>
        </w:rPr>
        <w:t xml:space="preserve">an occupier must be prepared for children to be less careful than adults.” </w:t>
      </w:r>
      <w:r>
        <w:rPr>
          <w:rFonts w:ascii="Times New Roman" w:hAnsi="Times New Roman" w:cs="Times New Roman"/>
          <w:sz w:val="24"/>
          <w:szCs w:val="24"/>
        </w:rPr>
        <w:t xml:space="preserve">Based on that fact, the CPL ought to have gone an extra mile on reinforcing the safety measures that </w:t>
      </w:r>
      <w:r>
        <w:rPr>
          <w:rFonts w:ascii="Times New Roman" w:hAnsi="Times New Roman" w:cs="Times New Roman"/>
          <w:sz w:val="24"/>
          <w:szCs w:val="24"/>
        </w:rPr>
        <w:lastRenderedPageBreak/>
        <w:t xml:space="preserve">would include regular inspection of the wooden fence and carrying regular check up to detect any form of defects near where the funhouse is located. Leo is a minor of 8 years and therefore his level of reasoning is much lower and therefore, he is not expected to appreciate any impending danger as held in </w:t>
      </w:r>
      <w:r>
        <w:rPr>
          <w:rFonts w:ascii="Times New Roman" w:hAnsi="Times New Roman" w:cs="Times New Roman"/>
          <w:i/>
          <w:iCs/>
          <w:sz w:val="24"/>
          <w:szCs w:val="24"/>
        </w:rPr>
        <w:t xml:space="preserve">Jolley v Sutton [2000] 1 WLR 1082 </w:t>
      </w:r>
      <w:r>
        <w:rPr>
          <w:rFonts w:ascii="Times New Roman" w:hAnsi="Times New Roman" w:cs="Times New Roman"/>
          <w:sz w:val="24"/>
          <w:szCs w:val="24"/>
        </w:rPr>
        <w:t xml:space="preserve">(Samuel 2018). </w:t>
      </w:r>
    </w:p>
    <w:p w14:paraId="28549FA4" w14:textId="77777777" w:rsidR="003834AF" w:rsidRDefault="00BB7BF9">
      <w:pPr>
        <w:spacing w:line="480" w:lineRule="auto"/>
        <w:ind w:firstLine="720"/>
        <w:rPr>
          <w:rFonts w:ascii="Times New Roman" w:hAnsi="Times New Roman" w:cs="Times New Roman"/>
          <w:i/>
          <w:iCs/>
          <w:sz w:val="24"/>
          <w:szCs w:val="24"/>
        </w:rPr>
      </w:pPr>
      <w:r>
        <w:rPr>
          <w:rFonts w:ascii="Times New Roman" w:hAnsi="Times New Roman" w:cs="Times New Roman"/>
          <w:sz w:val="24"/>
          <w:szCs w:val="24"/>
        </w:rPr>
        <w:t xml:space="preserve">Millie’s entry in the theme park did not follow the laid down procedures. Millie passed through the fence as she wanted to evade the payment of the admittance fee. She is to be classified as trespasser and liability owed to her by CPL falls within the provisions of the Occupiers Liability Act 1984. Section 1 of the Occupiers Liability Act, 1984 indicates that the Act applies to people other than the visitors that are covered under the Occupiers Liability Act,1957. Millie can be classified as trespasser whose definition is to be found in court decision of </w:t>
      </w:r>
      <w:r>
        <w:rPr>
          <w:rFonts w:ascii="Times New Roman" w:hAnsi="Times New Roman" w:cs="Times New Roman"/>
          <w:i/>
          <w:iCs/>
          <w:sz w:val="24"/>
          <w:szCs w:val="24"/>
        </w:rPr>
        <w:t>Robert Addie &amp; Sons (Colliery) Ltd v. Dumbreck [1929] AC 358</w:t>
      </w:r>
      <w:r>
        <w:rPr>
          <w:rFonts w:ascii="Times New Roman" w:hAnsi="Times New Roman" w:cs="Times New Roman"/>
          <w:sz w:val="24"/>
          <w:szCs w:val="24"/>
        </w:rPr>
        <w:t xml:space="preserve"> (Bennett 2010). Lord Dunedin defined trespasser as, “</w:t>
      </w:r>
      <w:r>
        <w:rPr>
          <w:rFonts w:ascii="Times New Roman" w:hAnsi="Times New Roman" w:cs="Times New Roman"/>
          <w:i/>
          <w:iCs/>
          <w:sz w:val="24"/>
          <w:szCs w:val="24"/>
        </w:rPr>
        <w:t xml:space="preserve">a person who goes upon land without invitation of any sort and whose presence is unknown to the proprietor or, if known, is practically objected to.” </w:t>
      </w:r>
    </w:p>
    <w:p w14:paraId="517D2C4C"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Even though she entered the theme park as a trespasser, Section 1(2) of the Occupiers Liability Act, 1984 indicates that the occupiers still owe her occupiers liability. For that reason, it was incumbent upon CPL to come up with safety measures that would have prevented Millie from suffering the injuries that she sustained. The position was reinstated </w:t>
      </w:r>
      <w:r>
        <w:rPr>
          <w:rFonts w:ascii="Times New Roman" w:hAnsi="Times New Roman" w:cs="Times New Roman"/>
          <w:i/>
          <w:iCs/>
          <w:sz w:val="24"/>
          <w:szCs w:val="24"/>
        </w:rPr>
        <w:t>in Railways Board v Herrington 1972 AC 877 (</w:t>
      </w:r>
      <w:r>
        <w:rPr>
          <w:rFonts w:ascii="Times New Roman" w:hAnsi="Times New Roman" w:cs="Times New Roman"/>
          <w:sz w:val="24"/>
          <w:szCs w:val="24"/>
        </w:rPr>
        <w:t xml:space="preserve">Bennett 2011). To entrench the duty owed further to the trespassers, the court in White v The Council of the City and District of St. Albans [1990], held that occupier will be held liable of the plaintiff can show that the defendants actions exposed them to risk as it happened in the case of Millie. </w:t>
      </w:r>
    </w:p>
    <w:p w14:paraId="4A1931A8"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CPL ought to have taken measures that would have prevented the breach of duty against Leo and Millie as seen in the case scenario. To prevent the accident that befell Leo, CPL should </w:t>
      </w:r>
      <w:r>
        <w:rPr>
          <w:rFonts w:ascii="Times New Roman" w:hAnsi="Times New Roman" w:cs="Times New Roman"/>
          <w:sz w:val="24"/>
          <w:szCs w:val="24"/>
        </w:rPr>
        <w:lastRenderedPageBreak/>
        <w:t xml:space="preserve">have given warning against leaning on the wooden fence. Furthermore, they should have inspected the wooden fence to detect any defects that were likely to make the fence weak. Lastly, CPL should have appointed some staff to guard children visiting the funhouse. To prevent the accident that happened when Millie trespassed the premises, CPL should have taken adequate precautionary measures. Such measures are erection of a well secured perimeter wall, locating waltzers away from the disco lights and erecting signage with a warning on the possibility of being harmed by the electrical poles. </w:t>
      </w:r>
    </w:p>
    <w:p w14:paraId="4392CFE6" w14:textId="77777777" w:rsidR="003834AF" w:rsidRDefault="00BB7BF9">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Carlton Parks Limited Liability to Nia and Owen</w:t>
      </w:r>
    </w:p>
    <w:p w14:paraId="723E8A89" w14:textId="77777777" w:rsidR="003834AF" w:rsidRDefault="00BB7BF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Nia and Owen are siblings who suffered from the actions of Millie. From the narration, Nia managed to run way from the spot where the accident occurred. However, since the unfortunate incidence she has never managed to come into terms with the happenings that took place on the unfortunate incident. As indicated in the case scenario, Owen witnessed the happenings but did not sustain any injury during the incidence. Nia learned about what befell her sister and since then she has been under medication. She has to take medication to suppress her depressive moods that were occasioned by the accident. </w:t>
      </w:r>
    </w:p>
    <w:p w14:paraId="64559DC2"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two siblings, Nia and Owen are visitors who visited the premises after following the procedures that have been laid down by CPL. For that reason, they are owed duty of care by CPL by virtue of section 1(2) of the Occupiers Liability Act, 1957. A visitor is defined as a person who the occupier has allowed to visit the given premise after being in compliance with the procedures that have been laid down by the occupier of the premises. The two siblings suffered psychiatric injury and the same would have been prevented had CPL followed the ruling made in </w:t>
      </w:r>
      <w:r>
        <w:rPr>
          <w:rFonts w:ascii="Times New Roman" w:hAnsi="Times New Roman" w:cs="Times New Roman"/>
          <w:i/>
          <w:iCs/>
          <w:sz w:val="24"/>
          <w:szCs w:val="24"/>
        </w:rPr>
        <w:t>Wyong Shire Council v Shirt (1980) 146 CLR 40</w:t>
      </w:r>
      <w:r>
        <w:rPr>
          <w:rFonts w:ascii="Times New Roman" w:hAnsi="Times New Roman" w:cs="Times New Roman"/>
          <w:sz w:val="24"/>
          <w:szCs w:val="24"/>
        </w:rPr>
        <w:t xml:space="preserve"> relating to foreseeability of risk of injury (v Shirt 1980). </w:t>
      </w:r>
    </w:p>
    <w:p w14:paraId="4391FC36"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There is need to evaluate the primary and secondary victim in the case scenario involving the psychiatric injury that both Nia and Owen suffered. Primary psychiatric refers to a person who was directly involved in the incidence that made them suffer psychiatric injury. Nia falls within the category of the primary victim since she directly suffered the psychiatric injury after witnessing how people died when the electrical cables came into contact with each other after Millie jumped over the fence. On the other hand, the secondary victim in psychiatric injury refers to a victim who suffered mental depression not on being directly involved in it but on learning the unfortunate incidence. In the case scenario, Owen fits within this category of secondary victim as defined in the case of </w:t>
      </w:r>
      <w:r>
        <w:rPr>
          <w:rFonts w:ascii="Times New Roman" w:hAnsi="Times New Roman" w:cs="Times New Roman"/>
          <w:i/>
          <w:iCs/>
          <w:sz w:val="24"/>
          <w:szCs w:val="24"/>
        </w:rPr>
        <w:t>Chadwick v British Railways Board [1967] 1 WLR 912(Griffith 2020</w:t>
      </w:r>
      <w:r>
        <w:rPr>
          <w:rFonts w:ascii="Times New Roman" w:hAnsi="Times New Roman" w:cs="Times New Roman"/>
          <w:sz w:val="24"/>
          <w:szCs w:val="24"/>
        </w:rPr>
        <w:t xml:space="preserve">) (Fairgrieve &amp; Goldberg 2020). </w:t>
      </w:r>
    </w:p>
    <w:p w14:paraId="52856A33"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the secondary victims to get compensation, it is important that there be familial relationship and the claimant be within the proximity where the incident took place as held in </w:t>
      </w:r>
      <w:r>
        <w:rPr>
          <w:rFonts w:ascii="Times New Roman" w:hAnsi="Times New Roman" w:cs="Times New Roman"/>
          <w:i/>
          <w:iCs/>
          <w:sz w:val="24"/>
          <w:szCs w:val="24"/>
        </w:rPr>
        <w:t>McLoughlin v O'Brian [1983] 1 AC 410.</w:t>
      </w:r>
      <w:r>
        <w:rPr>
          <w:rFonts w:ascii="Times New Roman" w:hAnsi="Times New Roman" w:cs="Times New Roman"/>
          <w:sz w:val="24"/>
          <w:szCs w:val="24"/>
        </w:rPr>
        <w:t xml:space="preserve"> In the current case scenario, both Owen and Nia have familial relationship since they are siblings. In addition, Owen was within the proximity of CPL where the incident took place and therefore has an idea of what actually transpired. Having satisfied the two conditions, it is possible to claim compensation over the psychiatric injury that she suffered. However, it is important to note that even Nia as a primary victim can claim compensation as held in the decision made in </w:t>
      </w:r>
      <w:r>
        <w:rPr>
          <w:rFonts w:ascii="Times New Roman" w:hAnsi="Times New Roman" w:cs="Times New Roman"/>
          <w:i/>
          <w:iCs/>
          <w:sz w:val="24"/>
          <w:szCs w:val="24"/>
        </w:rPr>
        <w:t>Page v Smith [1995] UKHL 7</w:t>
      </w:r>
      <w:r>
        <w:rPr>
          <w:rFonts w:ascii="Times New Roman" w:hAnsi="Times New Roman" w:cs="Times New Roman"/>
          <w:sz w:val="24"/>
          <w:szCs w:val="24"/>
        </w:rPr>
        <w:t xml:space="preserve">. </w:t>
      </w:r>
    </w:p>
    <w:p w14:paraId="63480469"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At the time that the unfortunate incidence took place, Nia was at the position of danger zone. Even though she managed to escape and she did not sustain any physical injury but did develop posttraumatic disorder (PSTD) which stands to date. By invoking the provision of Section 1(9) of the Occupiers Liability Act, 1957 it will be possible to claim compensation owing to the duty that is owed to Nia by CPL. Following the breach of the duty on their part, </w:t>
      </w:r>
      <w:r>
        <w:rPr>
          <w:rFonts w:ascii="Times New Roman" w:hAnsi="Times New Roman" w:cs="Times New Roman"/>
          <w:sz w:val="24"/>
          <w:szCs w:val="24"/>
        </w:rPr>
        <w:lastRenderedPageBreak/>
        <w:t xml:space="preserve">CPL occasioned nervous shock which they can be blamed for wholly. In the matter of </w:t>
      </w:r>
      <w:r>
        <w:rPr>
          <w:rFonts w:ascii="Times New Roman" w:hAnsi="Times New Roman" w:cs="Times New Roman"/>
          <w:i/>
          <w:iCs/>
          <w:sz w:val="24"/>
          <w:szCs w:val="24"/>
        </w:rPr>
        <w:t>Alcock v Chief Constable of South Yorkshire Police [1991] UKHL 5,</w:t>
      </w:r>
      <w:r>
        <w:rPr>
          <w:rFonts w:ascii="Times New Roman" w:hAnsi="Times New Roman" w:cs="Times New Roman"/>
          <w:sz w:val="24"/>
          <w:szCs w:val="24"/>
        </w:rPr>
        <w:t xml:space="preserve"> [1992] 1 AC 310, the court indicated that when the plaintiff suffers nervous shock, the blame is to be on the defendant who failed to take reasonable safety measures that would have averted the incident that led to the psychiatric injury (Nolan 1991). In the current event, CPL is to blame for the nervous shock that Nia sustained. </w:t>
      </w:r>
    </w:p>
    <w:p w14:paraId="5CDE20D6"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Essentially, CPL is to be blamed for the psychiatric injuries that both Nia and Owen did suffer. CPL being the occupier and Nia and Owen being visitors of the theme park are owed duty of care as espoused in the Occupiers Liability Act, 1957. It was incumbent upon CPL to take precautionary measures that would have averted the unfortunate incidence that occurred when Millie jumped over the perimeter wall of the theme park. CPL should have acted in the manner that is expected of a premise that is operating in a like manner. There are numerous facts that may work in favor of either Nia or Owen. These facts will assist either of the two in supporting or making their case weak. In terms of facts that may change the Nia case is the fact that the suffering is not directly attributable to the actions that are attributable to Millie. CPL may claim that it could not foresee the possibility of the unfortunate incidence that took place when Millie did jump over the perimeter fence. On the part of Owen, he may rely on several facts that will assist in succeeding in the claim. Owen may rely on the fact that he had close familial relationship with Nia despite falling within the category of secondary victim. </w:t>
      </w:r>
    </w:p>
    <w:p w14:paraId="509E92C6" w14:textId="77777777" w:rsidR="003834AF" w:rsidRDefault="00BB7BF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Essentially, Nia and Owen are owed duty of care by CPL as enshrined under the various provisions of the Occupiers Liability Act, 1957. Therefore, as primary and secondary victims they can successfully claim for compensation over the psychiatric injury that the two suffered following the unfortunate incidence that can partly be blamed on the actions of Millie who </w:t>
      </w:r>
      <w:r>
        <w:rPr>
          <w:rFonts w:ascii="Times New Roman" w:hAnsi="Times New Roman" w:cs="Times New Roman"/>
          <w:sz w:val="24"/>
          <w:szCs w:val="24"/>
        </w:rPr>
        <w:lastRenderedPageBreak/>
        <w:t xml:space="preserve">jumped over the perimeter fence of the theme park. CPL ought to have played adequate safety measures that would have prevented the psychiatric injury that Nia and Owen suffered from in the unfortunate incidence. </w:t>
      </w:r>
    </w:p>
    <w:p w14:paraId="6E719862" w14:textId="77777777" w:rsidR="003834AF" w:rsidRDefault="003834AF">
      <w:pPr>
        <w:spacing w:line="480" w:lineRule="auto"/>
        <w:ind w:firstLine="720"/>
        <w:rPr>
          <w:rFonts w:ascii="Times New Roman" w:hAnsi="Times New Roman" w:cs="Times New Roman"/>
          <w:sz w:val="24"/>
          <w:szCs w:val="24"/>
        </w:rPr>
      </w:pPr>
    </w:p>
    <w:p w14:paraId="16EFDB5E" w14:textId="77777777" w:rsidR="003834AF" w:rsidRDefault="003834AF">
      <w:pPr>
        <w:spacing w:line="480" w:lineRule="auto"/>
        <w:ind w:firstLine="720"/>
        <w:rPr>
          <w:rFonts w:ascii="Times New Roman" w:hAnsi="Times New Roman" w:cs="Times New Roman"/>
          <w:sz w:val="24"/>
          <w:szCs w:val="24"/>
        </w:rPr>
      </w:pPr>
    </w:p>
    <w:p w14:paraId="0ABF710E" w14:textId="77777777" w:rsidR="003834AF" w:rsidRDefault="003834AF">
      <w:pPr>
        <w:spacing w:line="480" w:lineRule="auto"/>
        <w:ind w:firstLine="720"/>
        <w:rPr>
          <w:rFonts w:ascii="Times New Roman" w:hAnsi="Times New Roman" w:cs="Times New Roman"/>
          <w:sz w:val="24"/>
          <w:szCs w:val="24"/>
        </w:rPr>
      </w:pPr>
    </w:p>
    <w:p w14:paraId="6D60D9A2" w14:textId="77777777" w:rsidR="003834AF" w:rsidRDefault="003834AF">
      <w:pPr>
        <w:spacing w:line="480" w:lineRule="auto"/>
        <w:ind w:firstLine="720"/>
        <w:rPr>
          <w:rFonts w:ascii="Times New Roman" w:hAnsi="Times New Roman" w:cs="Times New Roman"/>
          <w:sz w:val="24"/>
          <w:szCs w:val="24"/>
        </w:rPr>
      </w:pPr>
    </w:p>
    <w:p w14:paraId="378A1ADB" w14:textId="77777777" w:rsidR="003834AF" w:rsidRDefault="003834AF">
      <w:pPr>
        <w:spacing w:line="480" w:lineRule="auto"/>
        <w:ind w:firstLine="720"/>
        <w:rPr>
          <w:rFonts w:ascii="Times New Roman" w:hAnsi="Times New Roman" w:cs="Times New Roman"/>
          <w:sz w:val="24"/>
          <w:szCs w:val="24"/>
        </w:rPr>
      </w:pPr>
    </w:p>
    <w:p w14:paraId="483518E7" w14:textId="77777777" w:rsidR="003834AF" w:rsidRDefault="003834AF">
      <w:pPr>
        <w:spacing w:line="480" w:lineRule="auto"/>
        <w:ind w:firstLine="720"/>
        <w:rPr>
          <w:rFonts w:ascii="Times New Roman" w:hAnsi="Times New Roman" w:cs="Times New Roman"/>
          <w:sz w:val="24"/>
          <w:szCs w:val="24"/>
        </w:rPr>
      </w:pPr>
    </w:p>
    <w:p w14:paraId="38092B7D" w14:textId="77777777" w:rsidR="003834AF" w:rsidRDefault="003834AF">
      <w:pPr>
        <w:spacing w:line="480" w:lineRule="auto"/>
        <w:ind w:firstLine="720"/>
        <w:rPr>
          <w:rFonts w:ascii="Times New Roman" w:hAnsi="Times New Roman" w:cs="Times New Roman"/>
          <w:sz w:val="24"/>
          <w:szCs w:val="24"/>
        </w:rPr>
      </w:pPr>
    </w:p>
    <w:p w14:paraId="52D61E85" w14:textId="77777777" w:rsidR="003834AF" w:rsidRDefault="003834AF">
      <w:pPr>
        <w:spacing w:line="480" w:lineRule="auto"/>
        <w:ind w:firstLine="720"/>
        <w:rPr>
          <w:rFonts w:ascii="Times New Roman" w:hAnsi="Times New Roman" w:cs="Times New Roman"/>
          <w:sz w:val="24"/>
          <w:szCs w:val="24"/>
        </w:rPr>
      </w:pPr>
    </w:p>
    <w:p w14:paraId="7B5DB26C" w14:textId="77777777" w:rsidR="003834AF" w:rsidRDefault="003834AF">
      <w:pPr>
        <w:spacing w:line="480" w:lineRule="auto"/>
        <w:ind w:firstLine="720"/>
        <w:rPr>
          <w:rFonts w:ascii="Times New Roman" w:hAnsi="Times New Roman" w:cs="Times New Roman"/>
          <w:sz w:val="24"/>
          <w:szCs w:val="24"/>
        </w:rPr>
      </w:pPr>
    </w:p>
    <w:p w14:paraId="5492DED5" w14:textId="77777777" w:rsidR="003834AF" w:rsidRDefault="003834AF">
      <w:pPr>
        <w:spacing w:line="480" w:lineRule="auto"/>
        <w:ind w:firstLine="720"/>
        <w:rPr>
          <w:rFonts w:ascii="Times New Roman" w:hAnsi="Times New Roman" w:cs="Times New Roman"/>
          <w:sz w:val="24"/>
          <w:szCs w:val="24"/>
        </w:rPr>
      </w:pPr>
    </w:p>
    <w:p w14:paraId="217B6620" w14:textId="77777777" w:rsidR="003834AF" w:rsidRDefault="003834AF">
      <w:pPr>
        <w:spacing w:line="480" w:lineRule="auto"/>
        <w:ind w:firstLine="720"/>
        <w:rPr>
          <w:rFonts w:ascii="Times New Roman" w:hAnsi="Times New Roman" w:cs="Times New Roman"/>
          <w:sz w:val="24"/>
          <w:szCs w:val="24"/>
        </w:rPr>
      </w:pPr>
    </w:p>
    <w:p w14:paraId="16099DD0" w14:textId="77777777" w:rsidR="003834AF" w:rsidRDefault="003834AF">
      <w:pPr>
        <w:spacing w:line="480" w:lineRule="auto"/>
        <w:ind w:firstLine="720"/>
        <w:rPr>
          <w:rFonts w:ascii="Times New Roman" w:hAnsi="Times New Roman" w:cs="Times New Roman"/>
          <w:sz w:val="24"/>
          <w:szCs w:val="24"/>
        </w:rPr>
      </w:pPr>
    </w:p>
    <w:p w14:paraId="09F7F348" w14:textId="77777777" w:rsidR="003834AF" w:rsidRDefault="003834AF">
      <w:pPr>
        <w:spacing w:line="480" w:lineRule="auto"/>
        <w:ind w:firstLine="720"/>
        <w:rPr>
          <w:rFonts w:ascii="Times New Roman" w:hAnsi="Times New Roman" w:cs="Times New Roman"/>
          <w:sz w:val="24"/>
          <w:szCs w:val="24"/>
        </w:rPr>
      </w:pPr>
    </w:p>
    <w:p w14:paraId="5D84AED4" w14:textId="77777777" w:rsidR="004650B1" w:rsidRDefault="004650B1">
      <w:pPr>
        <w:spacing w:line="480" w:lineRule="auto"/>
        <w:ind w:firstLine="720"/>
        <w:rPr>
          <w:rFonts w:ascii="Times New Roman" w:hAnsi="Times New Roman" w:cs="Times New Roman"/>
          <w:sz w:val="24"/>
          <w:szCs w:val="24"/>
        </w:rPr>
      </w:pPr>
    </w:p>
    <w:p w14:paraId="4D264AFB" w14:textId="77777777" w:rsidR="004650B1" w:rsidRDefault="004650B1">
      <w:pPr>
        <w:spacing w:line="480" w:lineRule="auto"/>
        <w:ind w:firstLine="720"/>
        <w:rPr>
          <w:rFonts w:ascii="Times New Roman" w:hAnsi="Times New Roman" w:cs="Times New Roman"/>
          <w:sz w:val="24"/>
          <w:szCs w:val="24"/>
        </w:rPr>
      </w:pPr>
    </w:p>
    <w:p w14:paraId="08576600" w14:textId="77777777" w:rsidR="004650B1" w:rsidRDefault="004650B1">
      <w:pPr>
        <w:spacing w:line="480" w:lineRule="auto"/>
        <w:ind w:firstLine="720"/>
        <w:rPr>
          <w:rFonts w:ascii="Times New Roman" w:hAnsi="Times New Roman" w:cs="Times New Roman"/>
          <w:sz w:val="24"/>
          <w:szCs w:val="24"/>
        </w:rPr>
      </w:pPr>
    </w:p>
    <w:p w14:paraId="083CC5E9" w14:textId="77777777" w:rsidR="003834AF" w:rsidRDefault="00BB7BF9">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Bibliography</w:t>
      </w:r>
    </w:p>
    <w:p w14:paraId="1E812A54"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Bennett, L., 2010. Judges, child trespassers and occupiers’ liability in the built environment.</w:t>
      </w:r>
    </w:p>
    <w:p w14:paraId="5C419236"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Bennett, L., 2011. Judges, child trespassers and occupiers' liability. </w:t>
      </w:r>
      <w:r>
        <w:rPr>
          <w:rFonts w:ascii="Times New Roman" w:hAnsi="Times New Roman" w:cs="Times New Roman"/>
          <w:i/>
          <w:iCs/>
          <w:sz w:val="24"/>
          <w:szCs w:val="24"/>
        </w:rPr>
        <w:t>International Journal of law in the Built Environment</w:t>
      </w:r>
      <w:r>
        <w:rPr>
          <w:rFonts w:ascii="Times New Roman" w:hAnsi="Times New Roman" w:cs="Times New Roman"/>
          <w:sz w:val="24"/>
          <w:szCs w:val="24"/>
        </w:rPr>
        <w:t>.</w:t>
      </w:r>
    </w:p>
    <w:p w14:paraId="5A92F636"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Dimond, B., 2002. Statutory duties under the Occupiers' Liability Act 1957. </w:t>
      </w:r>
      <w:r>
        <w:rPr>
          <w:rFonts w:ascii="Times New Roman" w:hAnsi="Times New Roman" w:cs="Times New Roman"/>
          <w:i/>
          <w:iCs/>
          <w:sz w:val="24"/>
          <w:szCs w:val="24"/>
        </w:rPr>
        <w:t>British journal of nursing</w:t>
      </w:r>
      <w:r>
        <w:rPr>
          <w:rFonts w:ascii="Times New Roman" w:hAnsi="Times New Roman" w:cs="Times New Roman"/>
          <w:sz w:val="24"/>
          <w:szCs w:val="24"/>
        </w:rPr>
        <w:t>, </w:t>
      </w:r>
      <w:r>
        <w:rPr>
          <w:rFonts w:ascii="Times New Roman" w:hAnsi="Times New Roman" w:cs="Times New Roman"/>
          <w:i/>
          <w:iCs/>
          <w:sz w:val="24"/>
          <w:szCs w:val="24"/>
        </w:rPr>
        <w:t>11</w:t>
      </w:r>
      <w:r>
        <w:rPr>
          <w:rFonts w:ascii="Times New Roman" w:hAnsi="Times New Roman" w:cs="Times New Roman"/>
          <w:sz w:val="24"/>
          <w:szCs w:val="24"/>
        </w:rPr>
        <w:t>(17), pp.1125-1127.</w:t>
      </w:r>
    </w:p>
    <w:p w14:paraId="52FC523A"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Fairgrieve, D. and Goldberg, R.S., 2020. </w:t>
      </w:r>
      <w:r>
        <w:rPr>
          <w:rFonts w:ascii="Times New Roman" w:hAnsi="Times New Roman" w:cs="Times New Roman"/>
          <w:i/>
          <w:iCs/>
          <w:sz w:val="24"/>
          <w:szCs w:val="24"/>
        </w:rPr>
        <w:t>Product liability</w:t>
      </w:r>
      <w:r>
        <w:rPr>
          <w:rFonts w:ascii="Times New Roman" w:hAnsi="Times New Roman" w:cs="Times New Roman"/>
          <w:sz w:val="24"/>
          <w:szCs w:val="24"/>
        </w:rPr>
        <w:t>. Oxford University Press.</w:t>
      </w:r>
    </w:p>
    <w:p w14:paraId="34EB6864"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Hopkins, C.A., 2002. OCCUPIERS’LIABILITY: UNHEEDED WARNINGS. </w:t>
      </w:r>
      <w:r>
        <w:rPr>
          <w:rFonts w:ascii="Times New Roman" w:hAnsi="Times New Roman" w:cs="Times New Roman"/>
          <w:i/>
          <w:iCs/>
          <w:sz w:val="24"/>
          <w:szCs w:val="24"/>
        </w:rPr>
        <w:t>The Cambridge Law Journal</w:t>
      </w:r>
      <w:r>
        <w:rPr>
          <w:rFonts w:ascii="Times New Roman" w:hAnsi="Times New Roman" w:cs="Times New Roman"/>
          <w:sz w:val="24"/>
          <w:szCs w:val="24"/>
        </w:rPr>
        <w:t>, </w:t>
      </w:r>
      <w:r>
        <w:rPr>
          <w:rFonts w:ascii="Times New Roman" w:hAnsi="Times New Roman" w:cs="Times New Roman"/>
          <w:i/>
          <w:iCs/>
          <w:sz w:val="24"/>
          <w:szCs w:val="24"/>
        </w:rPr>
        <w:t>61</w:t>
      </w:r>
      <w:r>
        <w:rPr>
          <w:rFonts w:ascii="Times New Roman" w:hAnsi="Times New Roman" w:cs="Times New Roman"/>
          <w:sz w:val="24"/>
          <w:szCs w:val="24"/>
        </w:rPr>
        <w:t>(3), pp.499-544.</w:t>
      </w:r>
    </w:p>
    <w:p w14:paraId="46109EB1"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Lunney, M., 2003. Occupiers and Obvious Risks. </w:t>
      </w:r>
      <w:r>
        <w:rPr>
          <w:rFonts w:ascii="Times New Roman" w:hAnsi="Times New Roman" w:cs="Times New Roman"/>
          <w:i/>
          <w:iCs/>
          <w:sz w:val="24"/>
          <w:szCs w:val="24"/>
        </w:rPr>
        <w:t>Tort Law Review</w:t>
      </w:r>
      <w:r>
        <w:rPr>
          <w:rFonts w:ascii="Times New Roman" w:hAnsi="Times New Roman" w:cs="Times New Roman"/>
          <w:sz w:val="24"/>
          <w:szCs w:val="24"/>
        </w:rPr>
        <w:t>.</w:t>
      </w:r>
    </w:p>
    <w:p w14:paraId="06A4C864"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Nolan, D., 1991. Alcock v. Chief Constable of South Yorkshire Police (1991). </w:t>
      </w:r>
      <w:r>
        <w:rPr>
          <w:rFonts w:ascii="Times New Roman" w:hAnsi="Times New Roman" w:cs="Times New Roman"/>
          <w:i/>
          <w:iCs/>
          <w:sz w:val="24"/>
          <w:szCs w:val="24"/>
        </w:rPr>
        <w:t>Chief Constable of South Yorkshire Police</w:t>
      </w:r>
      <w:r>
        <w:rPr>
          <w:rFonts w:ascii="Times New Roman" w:hAnsi="Times New Roman" w:cs="Times New Roman"/>
          <w:sz w:val="24"/>
          <w:szCs w:val="24"/>
        </w:rPr>
        <w:t>, pp.273-309.</w:t>
      </w:r>
    </w:p>
    <w:p w14:paraId="7AA860DE"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Samuel, G., 2018. Table of common law cases and practice directions. In </w:t>
      </w:r>
      <w:r>
        <w:rPr>
          <w:rFonts w:ascii="Times New Roman" w:hAnsi="Times New Roman" w:cs="Times New Roman"/>
          <w:i/>
          <w:iCs/>
          <w:sz w:val="24"/>
          <w:szCs w:val="24"/>
        </w:rPr>
        <w:t>Rethinking Legal Reasoning</w:t>
      </w:r>
      <w:r>
        <w:rPr>
          <w:rFonts w:ascii="Times New Roman" w:hAnsi="Times New Roman" w:cs="Times New Roman"/>
          <w:sz w:val="24"/>
          <w:szCs w:val="24"/>
        </w:rPr>
        <w:t>. Edward Elgar Publishing.</w:t>
      </w:r>
    </w:p>
    <w:p w14:paraId="28991BDC" w14:textId="77777777" w:rsidR="003834AF" w:rsidRDefault="00BB7BF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v Shirt, W.S.C., 1980. 146 CLR 40 at 47. </w:t>
      </w:r>
      <w:r>
        <w:rPr>
          <w:rFonts w:ascii="Times New Roman" w:hAnsi="Times New Roman" w:cs="Times New Roman"/>
          <w:i/>
          <w:iCs/>
          <w:sz w:val="24"/>
          <w:szCs w:val="24"/>
        </w:rPr>
        <w:t>Google Scholar</w:t>
      </w:r>
      <w:r>
        <w:rPr>
          <w:rFonts w:ascii="Times New Roman" w:hAnsi="Times New Roman" w:cs="Times New Roman"/>
          <w:sz w:val="24"/>
          <w:szCs w:val="24"/>
        </w:rPr>
        <w:t>.</w:t>
      </w:r>
    </w:p>
    <w:p w14:paraId="5CA869FD" w14:textId="77777777" w:rsidR="003834AF" w:rsidRDefault="003834AF" w:rsidP="004650B1">
      <w:pPr>
        <w:spacing w:line="480" w:lineRule="auto"/>
        <w:rPr>
          <w:rFonts w:ascii="Times New Roman" w:hAnsi="Times New Roman" w:cs="Times New Roman"/>
          <w:sz w:val="24"/>
          <w:szCs w:val="24"/>
        </w:rPr>
      </w:pPr>
    </w:p>
    <w:sectPr w:rsidR="003834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02208" w14:textId="77777777" w:rsidR="00DB5E7A" w:rsidRDefault="00BB7BF9">
      <w:pPr>
        <w:spacing w:after="0" w:line="240" w:lineRule="auto"/>
      </w:pPr>
      <w:r>
        <w:separator/>
      </w:r>
    </w:p>
  </w:endnote>
  <w:endnote w:type="continuationSeparator" w:id="0">
    <w:p w14:paraId="16B194AD" w14:textId="77777777" w:rsidR="00DB5E7A" w:rsidRDefault="00BB7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EC121" w14:textId="77777777" w:rsidR="00DB5E7A" w:rsidRDefault="00BB7BF9">
      <w:pPr>
        <w:spacing w:after="0" w:line="240" w:lineRule="auto"/>
      </w:pPr>
      <w:r>
        <w:separator/>
      </w:r>
    </w:p>
  </w:footnote>
  <w:footnote w:type="continuationSeparator" w:id="0">
    <w:p w14:paraId="68E136BD" w14:textId="77777777" w:rsidR="00DB5E7A" w:rsidRDefault="00BB7B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4AF"/>
    <w:rsid w:val="003834AF"/>
    <w:rsid w:val="004650B1"/>
    <w:rsid w:val="00BB7BF9"/>
    <w:rsid w:val="00DB5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77A0"/>
  <w15:docId w15:val="{32EFB47D-20AF-4C9E-A296-3084358D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2306</Words>
  <Characters>13146</Characters>
  <Application>Microsoft Office Word</Application>
  <DocSecurity>0</DocSecurity>
  <Lines>109</Lines>
  <Paragraphs>30</Paragraphs>
  <ScaleCrop>false</ScaleCrop>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Faisal Shamsdin</cp:lastModifiedBy>
  <cp:revision>3</cp:revision>
  <dcterms:created xsi:type="dcterms:W3CDTF">2022-01-07T13:56:00Z</dcterms:created>
  <dcterms:modified xsi:type="dcterms:W3CDTF">2022-01-07T22:40:00Z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2eeac49f662a4d3a81737edcd5a44be7</vt:lpwstr>
  </property>
</Properties>
</file>