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7678FE" w14:textId="1D5FA182" w:rsidR="00581AE9" w:rsidRPr="00F9357B" w:rsidRDefault="00581AE9">
      <w:pPr>
        <w:rPr>
          <w:rFonts w:ascii="Arial" w:hAnsi="Arial" w:cs="Arial"/>
        </w:rPr>
      </w:pPr>
    </w:p>
    <w:p w14:paraId="061D6460" w14:textId="77777777" w:rsidR="00F300CE" w:rsidRDefault="00F300CE"/>
    <w:p w14:paraId="16A3BEC8" w14:textId="0B47E368" w:rsidR="00F300CE" w:rsidRPr="00F300CE" w:rsidRDefault="00F300CE">
      <w:pPr>
        <w:rPr>
          <w:rFonts w:ascii="Arial" w:hAnsi="Arial" w:cs="Arial"/>
          <w:sz w:val="56"/>
          <w:szCs w:val="56"/>
        </w:rPr>
      </w:pPr>
      <w:r w:rsidRPr="00F300CE">
        <w:rPr>
          <w:rFonts w:ascii="Arial" w:hAnsi="Arial" w:cs="Arial"/>
          <w:sz w:val="56"/>
          <w:szCs w:val="56"/>
        </w:rPr>
        <w:t>Name: Sukeisha Bailey</w:t>
      </w:r>
    </w:p>
    <w:p w14:paraId="79919F19" w14:textId="75CE5FF8" w:rsidR="00F300CE" w:rsidRPr="00F300CE" w:rsidRDefault="00F300CE">
      <w:pPr>
        <w:rPr>
          <w:rFonts w:ascii="Arial" w:hAnsi="Arial" w:cs="Arial"/>
          <w:sz w:val="56"/>
          <w:szCs w:val="56"/>
        </w:rPr>
      </w:pPr>
      <w:r w:rsidRPr="00F300CE">
        <w:rPr>
          <w:rFonts w:ascii="Arial" w:hAnsi="Arial" w:cs="Arial"/>
          <w:sz w:val="56"/>
          <w:szCs w:val="56"/>
        </w:rPr>
        <w:t>Student ID: 2330686</w:t>
      </w:r>
    </w:p>
    <w:p w14:paraId="50884ED1" w14:textId="796A6D18" w:rsidR="00F300CE" w:rsidRPr="00F300CE" w:rsidRDefault="00F300CE">
      <w:pPr>
        <w:rPr>
          <w:rFonts w:ascii="Arial" w:hAnsi="Arial" w:cs="Arial"/>
          <w:sz w:val="56"/>
          <w:szCs w:val="56"/>
        </w:rPr>
      </w:pPr>
      <w:r w:rsidRPr="00F300CE">
        <w:rPr>
          <w:rFonts w:ascii="Arial" w:hAnsi="Arial" w:cs="Arial"/>
          <w:sz w:val="56"/>
          <w:szCs w:val="56"/>
        </w:rPr>
        <w:t>Module:LCLM5001</w:t>
      </w:r>
    </w:p>
    <w:p w14:paraId="21FAEF09" w14:textId="4147DD74" w:rsidR="00F300CE" w:rsidRPr="00F300CE" w:rsidRDefault="00F300CE">
      <w:pPr>
        <w:rPr>
          <w:rFonts w:ascii="Arial" w:hAnsi="Arial" w:cs="Arial"/>
          <w:sz w:val="56"/>
          <w:szCs w:val="56"/>
        </w:rPr>
      </w:pPr>
      <w:r w:rsidRPr="00F300CE">
        <w:rPr>
          <w:rFonts w:ascii="Arial" w:hAnsi="Arial" w:cs="Arial"/>
          <w:sz w:val="56"/>
          <w:szCs w:val="56"/>
        </w:rPr>
        <w:t>Assignment Title: Understanding the importance of stakeholders</w:t>
      </w:r>
    </w:p>
    <w:p w14:paraId="6EB215AA" w14:textId="7A7CFD90" w:rsidR="00F300CE" w:rsidRDefault="00F300CE">
      <w:pPr>
        <w:rPr>
          <w:rFonts w:ascii="Arial" w:hAnsi="Arial" w:cs="Arial"/>
          <w:sz w:val="56"/>
          <w:szCs w:val="56"/>
        </w:rPr>
      </w:pPr>
      <w:r w:rsidRPr="00F300CE">
        <w:rPr>
          <w:rFonts w:ascii="Arial" w:hAnsi="Arial" w:cs="Arial"/>
          <w:sz w:val="56"/>
          <w:szCs w:val="56"/>
        </w:rPr>
        <w:t>Submission date:28</w:t>
      </w:r>
      <w:r w:rsidRPr="00F300CE">
        <w:rPr>
          <w:rFonts w:ascii="Arial" w:hAnsi="Arial" w:cs="Arial"/>
          <w:sz w:val="56"/>
          <w:szCs w:val="56"/>
          <w:vertAlign w:val="superscript"/>
        </w:rPr>
        <w:t>th</w:t>
      </w:r>
      <w:r w:rsidRPr="00F300CE">
        <w:rPr>
          <w:rFonts w:ascii="Arial" w:hAnsi="Arial" w:cs="Arial"/>
          <w:sz w:val="56"/>
          <w:szCs w:val="56"/>
        </w:rPr>
        <w:t xml:space="preserve"> of November 2025</w:t>
      </w:r>
    </w:p>
    <w:p w14:paraId="2B8C8657" w14:textId="77777777" w:rsidR="00F300CE" w:rsidRDefault="00F300CE">
      <w:pPr>
        <w:rPr>
          <w:rFonts w:ascii="Arial" w:hAnsi="Arial" w:cs="Arial"/>
          <w:sz w:val="56"/>
          <w:szCs w:val="56"/>
        </w:rPr>
      </w:pPr>
    </w:p>
    <w:p w14:paraId="324FF88F" w14:textId="77777777" w:rsidR="00F300CE" w:rsidRDefault="00F300CE">
      <w:pPr>
        <w:rPr>
          <w:rFonts w:ascii="Arial" w:hAnsi="Arial" w:cs="Arial"/>
          <w:sz w:val="56"/>
          <w:szCs w:val="56"/>
        </w:rPr>
      </w:pPr>
    </w:p>
    <w:p w14:paraId="1BE8C9A6" w14:textId="77777777" w:rsidR="00F300CE" w:rsidRDefault="00F300CE">
      <w:pPr>
        <w:rPr>
          <w:rFonts w:ascii="Arial" w:hAnsi="Arial" w:cs="Arial"/>
          <w:sz w:val="56"/>
          <w:szCs w:val="56"/>
        </w:rPr>
      </w:pPr>
    </w:p>
    <w:p w14:paraId="4BCA9FED" w14:textId="77777777" w:rsidR="00F300CE" w:rsidRDefault="00F300CE">
      <w:pPr>
        <w:rPr>
          <w:rFonts w:ascii="Arial" w:hAnsi="Arial" w:cs="Arial"/>
          <w:sz w:val="56"/>
          <w:szCs w:val="56"/>
        </w:rPr>
      </w:pPr>
    </w:p>
    <w:p w14:paraId="666BCD71" w14:textId="77777777" w:rsidR="00F300CE" w:rsidRDefault="00F300CE">
      <w:pPr>
        <w:rPr>
          <w:rFonts w:ascii="Arial" w:hAnsi="Arial" w:cs="Arial"/>
          <w:sz w:val="56"/>
          <w:szCs w:val="56"/>
        </w:rPr>
      </w:pPr>
    </w:p>
    <w:p w14:paraId="55E9CB46" w14:textId="77777777" w:rsidR="00F300CE" w:rsidRDefault="00F300CE">
      <w:pPr>
        <w:rPr>
          <w:rFonts w:ascii="Arial" w:hAnsi="Arial" w:cs="Arial"/>
          <w:sz w:val="56"/>
          <w:szCs w:val="56"/>
        </w:rPr>
      </w:pPr>
    </w:p>
    <w:p w14:paraId="6EE81B5B" w14:textId="77777777" w:rsidR="00F300CE" w:rsidRDefault="00F300CE">
      <w:pPr>
        <w:rPr>
          <w:rFonts w:ascii="Arial" w:hAnsi="Arial" w:cs="Arial"/>
          <w:sz w:val="56"/>
          <w:szCs w:val="56"/>
        </w:rPr>
      </w:pPr>
    </w:p>
    <w:p w14:paraId="7A7624DD" w14:textId="77777777" w:rsidR="00F300CE" w:rsidRDefault="00F300CE">
      <w:pPr>
        <w:rPr>
          <w:rFonts w:ascii="Arial" w:hAnsi="Arial" w:cs="Arial"/>
          <w:sz w:val="56"/>
          <w:szCs w:val="56"/>
        </w:rPr>
      </w:pPr>
    </w:p>
    <w:p w14:paraId="5EC6EAC1" w14:textId="77777777" w:rsidR="00AD1C86" w:rsidRDefault="00AD1C86" w:rsidP="00ED7227">
      <w:pPr>
        <w:rPr>
          <w:rFonts w:ascii="Arial" w:hAnsi="Arial" w:cs="Arial"/>
          <w:sz w:val="56"/>
          <w:szCs w:val="56"/>
        </w:rPr>
      </w:pPr>
    </w:p>
    <w:p w14:paraId="338A5370" w14:textId="121F8891" w:rsidR="00ED7227" w:rsidRPr="00DA6680" w:rsidRDefault="00ED7227" w:rsidP="00ED7227">
      <w:pPr>
        <w:rPr>
          <w:rFonts w:ascii="Arial" w:hAnsi="Arial" w:cs="Arial"/>
          <w:b/>
          <w:bCs/>
          <w:sz w:val="20"/>
          <w:szCs w:val="20"/>
        </w:rPr>
      </w:pPr>
      <w:r w:rsidRPr="00DA6680">
        <w:rPr>
          <w:rFonts w:ascii="Arial" w:hAnsi="Arial" w:cs="Arial"/>
          <w:b/>
          <w:bCs/>
          <w:sz w:val="20"/>
          <w:szCs w:val="20"/>
        </w:rPr>
        <w:t>Table of Contents</w:t>
      </w:r>
    </w:p>
    <w:p w14:paraId="5CAFCCD2" w14:textId="77777777" w:rsidR="00ED7227" w:rsidRPr="00DA6680" w:rsidRDefault="00ED7227" w:rsidP="00ED7227">
      <w:pPr>
        <w:rPr>
          <w:rFonts w:ascii="Arial" w:hAnsi="Arial" w:cs="Arial"/>
          <w:b/>
          <w:bCs/>
          <w:sz w:val="20"/>
          <w:szCs w:val="20"/>
        </w:rPr>
      </w:pPr>
      <w:r w:rsidRPr="00DA6680">
        <w:rPr>
          <w:rFonts w:ascii="Arial" w:hAnsi="Arial" w:cs="Arial"/>
          <w:b/>
          <w:bCs/>
          <w:sz w:val="20"/>
          <w:szCs w:val="20"/>
        </w:rPr>
        <w:t>Executive Summary .......................................................... 1</w:t>
      </w:r>
    </w:p>
    <w:p w14:paraId="5F518C06" w14:textId="77777777" w:rsidR="00ED7227" w:rsidRPr="00DA6680" w:rsidRDefault="00ED7227" w:rsidP="00ED7227">
      <w:pPr>
        <w:rPr>
          <w:rFonts w:ascii="Arial" w:hAnsi="Arial" w:cs="Arial"/>
          <w:b/>
          <w:bCs/>
          <w:sz w:val="20"/>
          <w:szCs w:val="20"/>
        </w:rPr>
      </w:pPr>
      <w:r w:rsidRPr="00DA6680">
        <w:rPr>
          <w:rFonts w:ascii="Arial" w:hAnsi="Arial" w:cs="Arial"/>
          <w:b/>
          <w:bCs/>
          <w:sz w:val="20"/>
          <w:szCs w:val="20"/>
        </w:rPr>
        <w:t>1.0 Introduction .................................................................. 2</w:t>
      </w:r>
    </w:p>
    <w:p w14:paraId="5675A60F" w14:textId="77777777" w:rsidR="00ED7227" w:rsidRPr="00DA6680" w:rsidRDefault="00ED7227" w:rsidP="00ED7227">
      <w:pPr>
        <w:rPr>
          <w:rFonts w:ascii="Arial" w:hAnsi="Arial" w:cs="Arial"/>
          <w:b/>
          <w:bCs/>
          <w:sz w:val="20"/>
          <w:szCs w:val="20"/>
        </w:rPr>
      </w:pPr>
      <w:r w:rsidRPr="00DA6680">
        <w:rPr>
          <w:rFonts w:ascii="Arial" w:hAnsi="Arial" w:cs="Arial"/>
          <w:b/>
          <w:bCs/>
          <w:sz w:val="20"/>
          <w:szCs w:val="20"/>
        </w:rPr>
        <w:t>1.1 Background to Lloyds Banking Group ........................................ 2</w:t>
      </w:r>
    </w:p>
    <w:p w14:paraId="7A706C28" w14:textId="77777777" w:rsidR="00ED7227" w:rsidRPr="00DA6680" w:rsidRDefault="00ED7227" w:rsidP="00ED7227">
      <w:pPr>
        <w:rPr>
          <w:rFonts w:ascii="Arial" w:hAnsi="Arial" w:cs="Arial"/>
          <w:b/>
          <w:bCs/>
          <w:sz w:val="20"/>
          <w:szCs w:val="20"/>
        </w:rPr>
      </w:pPr>
      <w:r w:rsidRPr="00DA6680">
        <w:rPr>
          <w:rFonts w:ascii="Arial" w:hAnsi="Arial" w:cs="Arial"/>
          <w:b/>
          <w:bCs/>
          <w:sz w:val="20"/>
          <w:szCs w:val="20"/>
        </w:rPr>
        <w:t>1.2 Purpose of the Report .................................................................. 3</w:t>
      </w:r>
    </w:p>
    <w:p w14:paraId="45F22B26" w14:textId="77777777" w:rsidR="00ED7227" w:rsidRPr="00DA6680" w:rsidRDefault="00ED7227" w:rsidP="00ED7227">
      <w:pPr>
        <w:rPr>
          <w:rFonts w:ascii="Arial" w:hAnsi="Arial" w:cs="Arial"/>
          <w:b/>
          <w:bCs/>
          <w:sz w:val="20"/>
          <w:szCs w:val="20"/>
        </w:rPr>
      </w:pPr>
      <w:r w:rsidRPr="00DA6680">
        <w:rPr>
          <w:rFonts w:ascii="Arial" w:hAnsi="Arial" w:cs="Arial"/>
          <w:b/>
          <w:bCs/>
          <w:sz w:val="20"/>
          <w:szCs w:val="20"/>
        </w:rPr>
        <w:t>1.3 Scope and Methodology ............................................................ 3</w:t>
      </w:r>
    </w:p>
    <w:p w14:paraId="766E2AF1" w14:textId="77777777" w:rsidR="00ED7227" w:rsidRPr="00DA6680" w:rsidRDefault="00ED7227" w:rsidP="00ED7227">
      <w:pPr>
        <w:rPr>
          <w:rFonts w:ascii="Arial" w:hAnsi="Arial" w:cs="Arial"/>
          <w:b/>
          <w:bCs/>
          <w:sz w:val="20"/>
          <w:szCs w:val="20"/>
        </w:rPr>
      </w:pPr>
      <w:r w:rsidRPr="00DA6680">
        <w:rPr>
          <w:rFonts w:ascii="Arial" w:hAnsi="Arial" w:cs="Arial"/>
          <w:b/>
          <w:bCs/>
          <w:sz w:val="20"/>
          <w:szCs w:val="20"/>
        </w:rPr>
        <w:t>2.0 Literature Review .............................................................. 4</w:t>
      </w:r>
    </w:p>
    <w:p w14:paraId="7B724D18" w14:textId="77777777" w:rsidR="00ED7227" w:rsidRPr="00DA6680" w:rsidRDefault="00ED7227" w:rsidP="00ED7227">
      <w:pPr>
        <w:rPr>
          <w:rFonts w:ascii="Arial" w:hAnsi="Arial" w:cs="Arial"/>
          <w:b/>
          <w:bCs/>
          <w:sz w:val="20"/>
          <w:szCs w:val="20"/>
        </w:rPr>
      </w:pPr>
      <w:r w:rsidRPr="00DA6680">
        <w:rPr>
          <w:rFonts w:ascii="Arial" w:hAnsi="Arial" w:cs="Arial"/>
          <w:b/>
          <w:bCs/>
          <w:sz w:val="20"/>
          <w:szCs w:val="20"/>
        </w:rPr>
        <w:t>2.1 Stakeholder Theory (Freeman, 1984) ........................................... 4</w:t>
      </w:r>
    </w:p>
    <w:p w14:paraId="6B048123" w14:textId="77777777" w:rsidR="00ED7227" w:rsidRPr="00DA6680" w:rsidRDefault="00ED7227" w:rsidP="00ED7227">
      <w:pPr>
        <w:rPr>
          <w:rFonts w:ascii="Arial" w:hAnsi="Arial" w:cs="Arial"/>
          <w:b/>
          <w:bCs/>
          <w:sz w:val="20"/>
          <w:szCs w:val="20"/>
        </w:rPr>
      </w:pPr>
      <w:r w:rsidRPr="00DA6680">
        <w:rPr>
          <w:rFonts w:ascii="Arial" w:hAnsi="Arial" w:cs="Arial"/>
          <w:b/>
          <w:bCs/>
          <w:sz w:val="20"/>
          <w:szCs w:val="20"/>
        </w:rPr>
        <w:t>2.2 Stakeholder Engagement Models ................................................ 5</w:t>
      </w:r>
    </w:p>
    <w:p w14:paraId="26DAF974" w14:textId="77777777" w:rsidR="00ED7227" w:rsidRPr="00DA6680" w:rsidRDefault="00ED7227" w:rsidP="00ED7227">
      <w:pPr>
        <w:rPr>
          <w:rFonts w:ascii="Arial" w:hAnsi="Arial" w:cs="Arial"/>
          <w:b/>
          <w:bCs/>
          <w:sz w:val="20"/>
          <w:szCs w:val="20"/>
        </w:rPr>
      </w:pPr>
      <w:r w:rsidRPr="00DA6680">
        <w:rPr>
          <w:rFonts w:ascii="Arial" w:hAnsi="Arial" w:cs="Arial"/>
          <w:b/>
          <w:bCs/>
          <w:sz w:val="20"/>
          <w:szCs w:val="20"/>
        </w:rPr>
        <w:t>2.3 Governance and Change Management Frameworks .......................... 6</w:t>
      </w:r>
    </w:p>
    <w:p w14:paraId="39A0939C" w14:textId="77777777" w:rsidR="00ED7227" w:rsidRPr="00DA6680" w:rsidRDefault="00ED7227" w:rsidP="00ED7227">
      <w:pPr>
        <w:rPr>
          <w:rFonts w:ascii="Arial" w:hAnsi="Arial" w:cs="Arial"/>
          <w:b/>
          <w:bCs/>
          <w:sz w:val="20"/>
          <w:szCs w:val="20"/>
        </w:rPr>
      </w:pPr>
      <w:r w:rsidRPr="00DA6680">
        <w:rPr>
          <w:rFonts w:ascii="Arial" w:hAnsi="Arial" w:cs="Arial"/>
          <w:b/>
          <w:bCs/>
          <w:sz w:val="20"/>
          <w:szCs w:val="20"/>
        </w:rPr>
        <w:t>3.0 Methodology .................................................................... 7</w:t>
      </w:r>
    </w:p>
    <w:p w14:paraId="604B918D" w14:textId="77777777" w:rsidR="00ED7227" w:rsidRPr="00DA6680" w:rsidRDefault="00ED7227" w:rsidP="00ED7227">
      <w:pPr>
        <w:rPr>
          <w:rFonts w:ascii="Arial" w:hAnsi="Arial" w:cs="Arial"/>
          <w:b/>
          <w:bCs/>
          <w:sz w:val="20"/>
          <w:szCs w:val="20"/>
        </w:rPr>
      </w:pPr>
      <w:r w:rsidRPr="00DA6680">
        <w:rPr>
          <w:rFonts w:ascii="Arial" w:hAnsi="Arial" w:cs="Arial"/>
          <w:b/>
          <w:bCs/>
          <w:sz w:val="20"/>
          <w:szCs w:val="20"/>
        </w:rPr>
        <w:t>3.1 Analytical Frameworks Applied .................................................. 7</w:t>
      </w:r>
    </w:p>
    <w:p w14:paraId="4E1BABCF" w14:textId="77777777" w:rsidR="00ED7227" w:rsidRPr="00DA6680" w:rsidRDefault="00ED7227" w:rsidP="00ED7227">
      <w:pPr>
        <w:rPr>
          <w:rFonts w:ascii="Arial" w:hAnsi="Arial" w:cs="Arial"/>
          <w:b/>
          <w:bCs/>
          <w:sz w:val="20"/>
          <w:szCs w:val="20"/>
        </w:rPr>
      </w:pPr>
      <w:r w:rsidRPr="00DA6680">
        <w:rPr>
          <w:rFonts w:ascii="Arial" w:hAnsi="Arial" w:cs="Arial"/>
          <w:b/>
          <w:bCs/>
          <w:sz w:val="20"/>
          <w:szCs w:val="20"/>
        </w:rPr>
        <w:t>3.2 Data Sources and Limitations .................................................... 8</w:t>
      </w:r>
    </w:p>
    <w:p w14:paraId="169AF905" w14:textId="77777777" w:rsidR="00ED7227" w:rsidRPr="00DA6680" w:rsidRDefault="00ED7227" w:rsidP="00ED7227">
      <w:pPr>
        <w:rPr>
          <w:rFonts w:ascii="Arial" w:hAnsi="Arial" w:cs="Arial"/>
          <w:b/>
          <w:bCs/>
          <w:sz w:val="20"/>
          <w:szCs w:val="20"/>
        </w:rPr>
      </w:pPr>
      <w:r w:rsidRPr="00DA6680">
        <w:rPr>
          <w:rFonts w:ascii="Arial" w:hAnsi="Arial" w:cs="Arial"/>
          <w:b/>
          <w:bCs/>
          <w:sz w:val="20"/>
          <w:szCs w:val="20"/>
        </w:rPr>
        <w:t>4.0 Analysis and Findings ......................................................... 9</w:t>
      </w:r>
    </w:p>
    <w:p w14:paraId="524FFFF8" w14:textId="77777777" w:rsidR="00ED7227" w:rsidRPr="00DA6680" w:rsidRDefault="00ED7227" w:rsidP="00ED7227">
      <w:pPr>
        <w:rPr>
          <w:rFonts w:ascii="Arial" w:hAnsi="Arial" w:cs="Arial"/>
          <w:b/>
          <w:bCs/>
          <w:sz w:val="20"/>
          <w:szCs w:val="20"/>
        </w:rPr>
      </w:pPr>
      <w:r w:rsidRPr="00DA6680">
        <w:rPr>
          <w:rFonts w:ascii="Arial" w:hAnsi="Arial" w:cs="Arial"/>
          <w:b/>
          <w:bCs/>
          <w:sz w:val="20"/>
          <w:szCs w:val="20"/>
        </w:rPr>
        <w:t>4.1 Strengths and Weaknesses of Lloyds Banking Group .................... 9</w:t>
      </w:r>
    </w:p>
    <w:p w14:paraId="621BAE0D" w14:textId="77777777" w:rsidR="00ED7227" w:rsidRPr="00DA6680" w:rsidRDefault="00ED7227" w:rsidP="00ED7227">
      <w:pPr>
        <w:rPr>
          <w:rFonts w:ascii="Arial" w:hAnsi="Arial" w:cs="Arial"/>
          <w:b/>
          <w:bCs/>
          <w:sz w:val="20"/>
          <w:szCs w:val="20"/>
        </w:rPr>
      </w:pPr>
      <w:r w:rsidRPr="00DA6680">
        <w:rPr>
          <w:rFonts w:ascii="Arial" w:hAnsi="Arial" w:cs="Arial"/>
          <w:b/>
          <w:bCs/>
          <w:sz w:val="20"/>
          <w:szCs w:val="20"/>
        </w:rPr>
        <w:t>4.2 Opportunities and Threats (SWOT Analysis) ............................... 11</w:t>
      </w:r>
    </w:p>
    <w:p w14:paraId="5AF10435" w14:textId="77777777" w:rsidR="00ED7227" w:rsidRPr="00DA6680" w:rsidRDefault="00ED7227" w:rsidP="00ED7227">
      <w:pPr>
        <w:rPr>
          <w:rFonts w:ascii="Arial" w:hAnsi="Arial" w:cs="Arial"/>
          <w:b/>
          <w:bCs/>
          <w:sz w:val="20"/>
          <w:szCs w:val="20"/>
        </w:rPr>
      </w:pPr>
      <w:r w:rsidRPr="00DA6680">
        <w:rPr>
          <w:rFonts w:ascii="Arial" w:hAnsi="Arial" w:cs="Arial"/>
          <w:b/>
          <w:bCs/>
          <w:sz w:val="20"/>
          <w:szCs w:val="20"/>
        </w:rPr>
        <w:t>4.3 Stakeholder Identification and Mapping ..................................... 12</w:t>
      </w:r>
    </w:p>
    <w:p w14:paraId="6B3B5D23" w14:textId="77777777" w:rsidR="00ED7227" w:rsidRPr="00DA6680" w:rsidRDefault="00ED7227" w:rsidP="00ED7227">
      <w:pPr>
        <w:rPr>
          <w:rFonts w:ascii="Arial" w:hAnsi="Arial" w:cs="Arial"/>
          <w:b/>
          <w:bCs/>
          <w:sz w:val="20"/>
          <w:szCs w:val="20"/>
        </w:rPr>
      </w:pPr>
      <w:r w:rsidRPr="00DA6680">
        <w:rPr>
          <w:rFonts w:ascii="Arial" w:hAnsi="Arial" w:cs="Arial"/>
          <w:b/>
          <w:bCs/>
          <w:sz w:val="20"/>
          <w:szCs w:val="20"/>
        </w:rPr>
        <w:t>4.4 RACI Matrix for Office Consolidation Project ............................. 13</w:t>
      </w:r>
    </w:p>
    <w:p w14:paraId="5F70F988" w14:textId="77777777" w:rsidR="00ED7227" w:rsidRPr="00DA6680" w:rsidRDefault="00ED7227" w:rsidP="00ED7227">
      <w:pPr>
        <w:rPr>
          <w:rFonts w:ascii="Arial" w:hAnsi="Arial" w:cs="Arial"/>
          <w:b/>
          <w:bCs/>
          <w:sz w:val="20"/>
          <w:szCs w:val="20"/>
        </w:rPr>
      </w:pPr>
      <w:r w:rsidRPr="00DA6680">
        <w:rPr>
          <w:rFonts w:ascii="Arial" w:hAnsi="Arial" w:cs="Arial"/>
          <w:b/>
          <w:bCs/>
          <w:sz w:val="20"/>
          <w:szCs w:val="20"/>
        </w:rPr>
        <w:t>4.5 Key Internal and External Stakeholders ..................................... 14</w:t>
      </w:r>
    </w:p>
    <w:p w14:paraId="0C21ACF4" w14:textId="77777777" w:rsidR="00ED7227" w:rsidRPr="00DA6680" w:rsidRDefault="00ED7227" w:rsidP="00ED7227">
      <w:pPr>
        <w:rPr>
          <w:rFonts w:ascii="Arial" w:hAnsi="Arial" w:cs="Arial"/>
          <w:b/>
          <w:bCs/>
          <w:sz w:val="20"/>
          <w:szCs w:val="20"/>
        </w:rPr>
      </w:pPr>
      <w:r w:rsidRPr="00DA6680">
        <w:rPr>
          <w:rFonts w:ascii="Arial" w:hAnsi="Arial" w:cs="Arial"/>
          <w:b/>
          <w:bCs/>
          <w:sz w:val="20"/>
          <w:szCs w:val="20"/>
        </w:rPr>
        <w:t>5.0 Critical Evaluation ............................................................ 15</w:t>
      </w:r>
    </w:p>
    <w:p w14:paraId="02F4B841" w14:textId="77777777" w:rsidR="00ED7227" w:rsidRPr="00DA6680" w:rsidRDefault="00ED7227" w:rsidP="00ED7227">
      <w:pPr>
        <w:rPr>
          <w:rFonts w:ascii="Arial" w:hAnsi="Arial" w:cs="Arial"/>
          <w:b/>
          <w:bCs/>
          <w:sz w:val="20"/>
          <w:szCs w:val="20"/>
        </w:rPr>
      </w:pPr>
      <w:r w:rsidRPr="00DA6680">
        <w:rPr>
          <w:rFonts w:ascii="Arial" w:hAnsi="Arial" w:cs="Arial"/>
          <w:b/>
          <w:bCs/>
          <w:sz w:val="20"/>
          <w:szCs w:val="20"/>
        </w:rPr>
        <w:t>5.1 Comparative Insights (e.g., NHS IT Programme) .......................... 15</w:t>
      </w:r>
    </w:p>
    <w:p w14:paraId="014D3E27" w14:textId="77777777" w:rsidR="00ED7227" w:rsidRPr="00DA6680" w:rsidRDefault="00ED7227" w:rsidP="00ED7227">
      <w:pPr>
        <w:rPr>
          <w:rFonts w:ascii="Arial" w:hAnsi="Arial" w:cs="Arial"/>
          <w:b/>
          <w:bCs/>
          <w:sz w:val="20"/>
          <w:szCs w:val="20"/>
        </w:rPr>
      </w:pPr>
      <w:r w:rsidRPr="00DA6680">
        <w:rPr>
          <w:rFonts w:ascii="Arial" w:hAnsi="Arial" w:cs="Arial"/>
          <w:b/>
          <w:bCs/>
          <w:sz w:val="20"/>
          <w:szCs w:val="20"/>
        </w:rPr>
        <w:t>5.2 Benefits of Engagement Strategies ............................................ 16</w:t>
      </w:r>
    </w:p>
    <w:p w14:paraId="0B561BEA" w14:textId="77777777" w:rsidR="00ED7227" w:rsidRPr="00DA6680" w:rsidRDefault="00ED7227" w:rsidP="00ED7227">
      <w:pPr>
        <w:rPr>
          <w:rFonts w:ascii="Arial" w:hAnsi="Arial" w:cs="Arial"/>
          <w:b/>
          <w:bCs/>
          <w:sz w:val="20"/>
          <w:szCs w:val="20"/>
        </w:rPr>
      </w:pPr>
      <w:r w:rsidRPr="00DA6680">
        <w:rPr>
          <w:rFonts w:ascii="Arial" w:hAnsi="Arial" w:cs="Arial"/>
          <w:b/>
          <w:bCs/>
          <w:sz w:val="20"/>
          <w:szCs w:val="20"/>
        </w:rPr>
        <w:t>5.3 Challenges and Limitations ...................................................... 17</w:t>
      </w:r>
    </w:p>
    <w:p w14:paraId="01799DE6" w14:textId="77777777" w:rsidR="00ED7227" w:rsidRPr="00DA6680" w:rsidRDefault="00ED7227" w:rsidP="00ED7227">
      <w:pPr>
        <w:rPr>
          <w:rFonts w:ascii="Arial" w:hAnsi="Arial" w:cs="Arial"/>
          <w:b/>
          <w:bCs/>
          <w:sz w:val="20"/>
          <w:szCs w:val="20"/>
        </w:rPr>
      </w:pPr>
      <w:r w:rsidRPr="00DA6680">
        <w:rPr>
          <w:rFonts w:ascii="Arial" w:hAnsi="Arial" w:cs="Arial"/>
          <w:b/>
          <w:bCs/>
          <w:sz w:val="20"/>
          <w:szCs w:val="20"/>
        </w:rPr>
        <w:t>6.0 Conclusion ...................................................................... 18</w:t>
      </w:r>
    </w:p>
    <w:p w14:paraId="31AB2241" w14:textId="77777777" w:rsidR="00ED7227" w:rsidRPr="00DA6680" w:rsidRDefault="00ED7227" w:rsidP="00ED7227">
      <w:pPr>
        <w:rPr>
          <w:rFonts w:ascii="Arial" w:hAnsi="Arial" w:cs="Arial"/>
          <w:b/>
          <w:bCs/>
          <w:sz w:val="20"/>
          <w:szCs w:val="20"/>
        </w:rPr>
      </w:pPr>
      <w:r w:rsidRPr="00DA6680">
        <w:rPr>
          <w:rFonts w:ascii="Arial" w:hAnsi="Arial" w:cs="Arial"/>
          <w:b/>
          <w:bCs/>
          <w:sz w:val="20"/>
          <w:szCs w:val="20"/>
        </w:rPr>
        <w:t>6.1 Summary of Findings ................................................................... 18</w:t>
      </w:r>
    </w:p>
    <w:p w14:paraId="0D4DEF44" w14:textId="77777777" w:rsidR="00ED7227" w:rsidRPr="00DA6680" w:rsidRDefault="00ED7227" w:rsidP="00ED7227">
      <w:pPr>
        <w:rPr>
          <w:rFonts w:ascii="Arial" w:hAnsi="Arial" w:cs="Arial"/>
          <w:b/>
          <w:bCs/>
          <w:sz w:val="20"/>
          <w:szCs w:val="20"/>
        </w:rPr>
      </w:pPr>
      <w:r w:rsidRPr="00DA6680">
        <w:rPr>
          <w:rFonts w:ascii="Arial" w:hAnsi="Arial" w:cs="Arial"/>
          <w:b/>
          <w:bCs/>
          <w:sz w:val="20"/>
          <w:szCs w:val="20"/>
        </w:rPr>
        <w:t>6.2 Implications for Lloyds Banking Group ....................................... 19</w:t>
      </w:r>
    </w:p>
    <w:p w14:paraId="01E0B815" w14:textId="77777777" w:rsidR="00ED7227" w:rsidRPr="00DA6680" w:rsidRDefault="00ED7227" w:rsidP="00ED7227">
      <w:pPr>
        <w:rPr>
          <w:rFonts w:ascii="Arial" w:hAnsi="Arial" w:cs="Arial"/>
          <w:b/>
          <w:bCs/>
          <w:sz w:val="20"/>
          <w:szCs w:val="20"/>
        </w:rPr>
      </w:pPr>
      <w:r w:rsidRPr="00DA6680">
        <w:rPr>
          <w:rFonts w:ascii="Arial" w:hAnsi="Arial" w:cs="Arial"/>
          <w:b/>
          <w:bCs/>
          <w:sz w:val="20"/>
          <w:szCs w:val="20"/>
        </w:rPr>
        <w:t>6.3 Recommendations for Future Projects ......................................... 19</w:t>
      </w:r>
    </w:p>
    <w:p w14:paraId="2502AFD5" w14:textId="77777777" w:rsidR="00ED7227" w:rsidRPr="00DA6680" w:rsidRDefault="00ED7227" w:rsidP="00ED7227">
      <w:pPr>
        <w:rPr>
          <w:rFonts w:ascii="Arial" w:hAnsi="Arial" w:cs="Arial"/>
          <w:b/>
          <w:bCs/>
          <w:sz w:val="20"/>
          <w:szCs w:val="20"/>
        </w:rPr>
      </w:pPr>
      <w:r w:rsidRPr="00DA6680">
        <w:rPr>
          <w:rFonts w:ascii="Arial" w:hAnsi="Arial" w:cs="Arial"/>
          <w:b/>
          <w:bCs/>
          <w:sz w:val="20"/>
          <w:szCs w:val="20"/>
        </w:rPr>
        <w:t>References ........................................................................... 20</w:t>
      </w:r>
    </w:p>
    <w:p w14:paraId="73204CAE" w14:textId="77777777" w:rsidR="00ED7227" w:rsidRPr="00DA6680" w:rsidRDefault="00ED7227" w:rsidP="00ED7227">
      <w:pPr>
        <w:rPr>
          <w:rFonts w:ascii="Arial" w:hAnsi="Arial" w:cs="Arial"/>
          <w:b/>
          <w:bCs/>
          <w:sz w:val="20"/>
          <w:szCs w:val="20"/>
        </w:rPr>
      </w:pPr>
      <w:r w:rsidRPr="00DA6680">
        <w:rPr>
          <w:rFonts w:ascii="Arial" w:hAnsi="Arial" w:cs="Arial"/>
          <w:b/>
          <w:bCs/>
          <w:sz w:val="20"/>
          <w:szCs w:val="20"/>
        </w:rPr>
        <w:t>Appendices .......................................................................... 22</w:t>
      </w:r>
    </w:p>
    <w:p w14:paraId="392A98EF" w14:textId="77777777" w:rsidR="00ED7227" w:rsidRPr="00DA6680" w:rsidRDefault="00ED7227" w:rsidP="00ED7227">
      <w:pPr>
        <w:rPr>
          <w:rFonts w:ascii="Arial" w:hAnsi="Arial" w:cs="Arial"/>
          <w:b/>
          <w:bCs/>
          <w:sz w:val="20"/>
          <w:szCs w:val="20"/>
        </w:rPr>
      </w:pPr>
      <w:r w:rsidRPr="00DA6680">
        <w:rPr>
          <w:rFonts w:ascii="Arial" w:hAnsi="Arial" w:cs="Arial"/>
          <w:b/>
          <w:bCs/>
          <w:sz w:val="20"/>
          <w:szCs w:val="20"/>
        </w:rPr>
        <w:t>Appendix A: Stakeholder Map ......................................................... 22</w:t>
      </w:r>
    </w:p>
    <w:p w14:paraId="3239EE0E" w14:textId="77777777" w:rsidR="00ED7227" w:rsidRPr="00DA6680" w:rsidRDefault="00ED7227" w:rsidP="00ED7227">
      <w:pPr>
        <w:rPr>
          <w:rFonts w:ascii="Arial" w:hAnsi="Arial" w:cs="Arial"/>
          <w:b/>
          <w:bCs/>
          <w:sz w:val="20"/>
          <w:szCs w:val="20"/>
        </w:rPr>
      </w:pPr>
      <w:r w:rsidRPr="00DA6680">
        <w:rPr>
          <w:rFonts w:ascii="Arial" w:hAnsi="Arial" w:cs="Arial"/>
          <w:b/>
          <w:bCs/>
          <w:sz w:val="20"/>
          <w:szCs w:val="20"/>
        </w:rPr>
        <w:t>Appendix B: RACI Matrix (Detailed Version) ..................................... 23</w:t>
      </w:r>
    </w:p>
    <w:p w14:paraId="7EC262CD" w14:textId="736E51C5" w:rsidR="0006479F" w:rsidRPr="00DA6680" w:rsidRDefault="00ED7227" w:rsidP="00ED7227">
      <w:pPr>
        <w:rPr>
          <w:rFonts w:ascii="Arial" w:hAnsi="Arial" w:cs="Arial"/>
          <w:b/>
          <w:bCs/>
          <w:sz w:val="20"/>
          <w:szCs w:val="20"/>
        </w:rPr>
      </w:pPr>
      <w:r w:rsidRPr="00DA6680">
        <w:rPr>
          <w:rFonts w:ascii="Arial" w:hAnsi="Arial" w:cs="Arial"/>
          <w:b/>
          <w:bCs/>
          <w:sz w:val="20"/>
          <w:szCs w:val="20"/>
        </w:rPr>
        <w:t>Appendix C: Communication Plan .................................................... 24</w:t>
      </w:r>
    </w:p>
    <w:p w14:paraId="1A1D3756" w14:textId="77777777" w:rsidR="00491C40" w:rsidRPr="00DA6680" w:rsidRDefault="00491C40" w:rsidP="00ED7227">
      <w:pPr>
        <w:rPr>
          <w:rFonts w:ascii="Arial" w:hAnsi="Arial" w:cs="Arial"/>
          <w:b/>
          <w:bCs/>
          <w:sz w:val="20"/>
          <w:szCs w:val="20"/>
        </w:rPr>
      </w:pPr>
    </w:p>
    <w:p w14:paraId="5F64E1EC" w14:textId="77777777" w:rsidR="00491C40" w:rsidRPr="00DA6680" w:rsidRDefault="00491C40" w:rsidP="00ED7227">
      <w:pPr>
        <w:rPr>
          <w:rFonts w:ascii="Arial" w:hAnsi="Arial" w:cs="Arial"/>
          <w:b/>
          <w:bCs/>
          <w:sz w:val="20"/>
          <w:szCs w:val="20"/>
        </w:rPr>
      </w:pPr>
    </w:p>
    <w:p w14:paraId="289D94AB" w14:textId="50FF17DB" w:rsidR="00F300CE" w:rsidRDefault="0006479F">
      <w:pPr>
        <w:rPr>
          <w:rFonts w:ascii="Arial" w:hAnsi="Arial" w:cs="Arial"/>
          <w:b/>
          <w:bCs/>
          <w:sz w:val="32"/>
          <w:szCs w:val="32"/>
        </w:rPr>
      </w:pPr>
      <w:r w:rsidRPr="0006479F">
        <w:rPr>
          <w:rFonts w:ascii="Arial" w:hAnsi="Arial" w:cs="Arial"/>
          <w:b/>
          <w:bCs/>
          <w:sz w:val="32"/>
          <w:szCs w:val="32"/>
        </w:rPr>
        <w:t>Stakeholder</w:t>
      </w:r>
      <w:r w:rsidR="00F300CE" w:rsidRPr="0006479F">
        <w:rPr>
          <w:rFonts w:ascii="Arial" w:hAnsi="Arial" w:cs="Arial"/>
          <w:b/>
          <w:bCs/>
          <w:sz w:val="32"/>
          <w:szCs w:val="32"/>
        </w:rPr>
        <w:t xml:space="preserve"> Engagement</w:t>
      </w:r>
      <w:r w:rsidRPr="0006479F">
        <w:rPr>
          <w:rFonts w:ascii="Arial" w:hAnsi="Arial" w:cs="Arial"/>
          <w:b/>
          <w:bCs/>
          <w:sz w:val="32"/>
          <w:szCs w:val="32"/>
        </w:rPr>
        <w:t xml:space="preserve"> for Business Expansion at Lloyds Banking Group</w:t>
      </w:r>
    </w:p>
    <w:p w14:paraId="31C62D55" w14:textId="77777777" w:rsidR="0006479F" w:rsidRDefault="0006479F">
      <w:pPr>
        <w:rPr>
          <w:rFonts w:ascii="Arial" w:hAnsi="Arial" w:cs="Arial"/>
          <w:b/>
          <w:bCs/>
          <w:sz w:val="32"/>
          <w:szCs w:val="32"/>
        </w:rPr>
      </w:pPr>
    </w:p>
    <w:p w14:paraId="24F64C08" w14:textId="13C0421D" w:rsidR="00E56C9A" w:rsidRPr="00E56C9A" w:rsidRDefault="0006479F" w:rsidP="0037393C">
      <w:pPr>
        <w:spacing w:line="360" w:lineRule="auto"/>
        <w:rPr>
          <w:rFonts w:ascii="Arial" w:hAnsi="Arial" w:cs="Arial"/>
          <w:sz w:val="32"/>
          <w:szCs w:val="32"/>
        </w:rPr>
      </w:pPr>
      <w:r w:rsidRPr="0006479F">
        <w:rPr>
          <w:rFonts w:ascii="Arial" w:hAnsi="Arial" w:cs="Arial"/>
          <w:sz w:val="32"/>
          <w:szCs w:val="32"/>
        </w:rPr>
        <w:t>Executive summary</w:t>
      </w:r>
      <w:r w:rsidR="00E56C9A" w:rsidRPr="00E56C9A">
        <w:t xml:space="preserve"> </w:t>
      </w:r>
      <w:r w:rsidR="00E56C9A" w:rsidRPr="00E56C9A">
        <w:rPr>
          <w:rFonts w:ascii="Arial" w:hAnsi="Arial" w:cs="Arial"/>
          <w:sz w:val="32"/>
          <w:szCs w:val="32"/>
        </w:rPr>
        <w:t>Executive Summary</w:t>
      </w:r>
    </w:p>
    <w:p w14:paraId="60F13DFB" w14:textId="36FCFB24" w:rsidR="00E56C9A" w:rsidRPr="00562302" w:rsidRDefault="00E56C9A" w:rsidP="0037393C">
      <w:pPr>
        <w:spacing w:line="360" w:lineRule="auto"/>
        <w:rPr>
          <w:rFonts w:ascii="Arial" w:hAnsi="Arial" w:cs="Arial"/>
        </w:rPr>
      </w:pPr>
      <w:r w:rsidRPr="00562302">
        <w:rPr>
          <w:rFonts w:ascii="Arial" w:hAnsi="Arial" w:cs="Arial"/>
        </w:rPr>
        <w:t>This report presents a comprehensive analysis of stakeholder engagement strategies within the context of Lloyds Banking Group’s business office consolidation and expansion initiative. As a leading financial institution headquartered in London, Lloyds Banking Group is undertaking this strategic project to enhance operational efficiency and support long-term growth. The report adopts a project management professional's perspective, focusing on the systematic identification, analysis, and engagement of both internal and external stakeholders throughout the project lifecycle.</w:t>
      </w:r>
    </w:p>
    <w:p w14:paraId="182DECE3" w14:textId="142F2B20" w:rsidR="00E56C9A" w:rsidRPr="00562302" w:rsidRDefault="00E56C9A" w:rsidP="0037393C">
      <w:pPr>
        <w:spacing w:line="360" w:lineRule="auto"/>
        <w:rPr>
          <w:rFonts w:ascii="Arial" w:hAnsi="Arial" w:cs="Arial"/>
        </w:rPr>
      </w:pPr>
      <w:r w:rsidRPr="00562302">
        <w:t xml:space="preserve"> </w:t>
      </w:r>
      <w:r w:rsidRPr="00562302">
        <w:rPr>
          <w:rFonts w:ascii="Arial" w:hAnsi="Arial" w:cs="Arial"/>
        </w:rPr>
        <w:t>The discussion begins by contextualising the strategic rationale behind the office expansion, highlighting its alignment with broader organisational objectives. A structured stakeholder mapping exercise follows, identifying key actors and evaluating their respective roles, responsibilities, interests, and potential challenges. To inform the development of robust engagement and communication strategies, the report applies established theoretical models, including the Stakeholder Matrix, RACI Matrix, and the 4Cs Framework. These tools support the formulation of targeted approaches to stakeholder communication, influence management, and conflict resolution.</w:t>
      </w:r>
    </w:p>
    <w:p w14:paraId="28332A2A" w14:textId="061BDF86" w:rsidR="007B03C1" w:rsidRDefault="00E56C9A" w:rsidP="007B03C1">
      <w:pPr>
        <w:spacing w:line="360" w:lineRule="auto"/>
        <w:rPr>
          <w:rFonts w:ascii="Arial" w:hAnsi="Arial" w:cs="Arial"/>
        </w:rPr>
      </w:pPr>
      <w:r w:rsidRPr="00562302">
        <w:rPr>
          <w:rFonts w:ascii="Arial" w:hAnsi="Arial" w:cs="Arial"/>
        </w:rPr>
        <w:t>The report concludes with a critical evaluation of the impact of stakeholder engagement on project and organisational performance. It provides evidence-based recommendations designed to strengthen stakeholder relationships and enhance the effectiveness of future engagement practices.</w:t>
      </w:r>
      <w:r w:rsidR="00BB584C" w:rsidRPr="00BB584C">
        <w:t xml:space="preserve"> </w:t>
      </w:r>
    </w:p>
    <w:p w14:paraId="264F2104" w14:textId="03E94CC7" w:rsidR="007B03C1" w:rsidRPr="007B03C1" w:rsidRDefault="007B03C1" w:rsidP="007B03C1">
      <w:pPr>
        <w:spacing w:line="360" w:lineRule="auto"/>
        <w:rPr>
          <w:rFonts w:ascii="Arial" w:hAnsi="Arial" w:cs="Arial"/>
        </w:rPr>
      </w:pPr>
      <w:r w:rsidRPr="007B03C1">
        <w:rPr>
          <w:rFonts w:ascii="Arial" w:hAnsi="Arial" w:cs="Arial"/>
        </w:rPr>
        <w:t xml:space="preserve"> Why Stakeholders Matter</w:t>
      </w:r>
    </w:p>
    <w:p w14:paraId="44B24CA0" w14:textId="77777777" w:rsidR="007B03C1" w:rsidRPr="007B03C1" w:rsidRDefault="007B03C1" w:rsidP="007B03C1">
      <w:pPr>
        <w:spacing w:line="360" w:lineRule="auto"/>
        <w:rPr>
          <w:rFonts w:ascii="Arial" w:hAnsi="Arial" w:cs="Arial"/>
        </w:rPr>
      </w:pPr>
      <w:r w:rsidRPr="007B03C1">
        <w:rPr>
          <w:rFonts w:ascii="Arial" w:hAnsi="Arial" w:cs="Arial"/>
        </w:rPr>
        <w:t xml:space="preserve">• </w:t>
      </w:r>
      <w:r w:rsidRPr="007B03C1">
        <w:rPr>
          <w:rFonts w:ascii="Arial" w:hAnsi="Arial" w:cs="Arial"/>
        </w:rPr>
        <w:tab/>
        <w:t>They provide resources (capital, labour, expertise).</w:t>
      </w:r>
    </w:p>
    <w:p w14:paraId="07327C7B" w14:textId="77777777" w:rsidR="007B03C1" w:rsidRPr="007B03C1" w:rsidRDefault="007B03C1" w:rsidP="007B03C1">
      <w:pPr>
        <w:spacing w:line="360" w:lineRule="auto"/>
        <w:rPr>
          <w:rFonts w:ascii="Arial" w:hAnsi="Arial" w:cs="Arial"/>
        </w:rPr>
      </w:pPr>
      <w:r w:rsidRPr="007B03C1">
        <w:rPr>
          <w:rFonts w:ascii="Arial" w:hAnsi="Arial" w:cs="Arial"/>
        </w:rPr>
        <w:t xml:space="preserve">• </w:t>
      </w:r>
      <w:r w:rsidRPr="007B03C1">
        <w:rPr>
          <w:rFonts w:ascii="Arial" w:hAnsi="Arial" w:cs="Arial"/>
        </w:rPr>
        <w:tab/>
        <w:t>They influence decision</w:t>
      </w:r>
      <w:r w:rsidRPr="007B03C1">
        <w:rPr>
          <w:rFonts w:ascii="Cambria Math" w:hAnsi="Cambria Math" w:cs="Cambria Math"/>
        </w:rPr>
        <w:t>‑</w:t>
      </w:r>
      <w:r w:rsidRPr="007B03C1">
        <w:rPr>
          <w:rFonts w:ascii="Arial" w:hAnsi="Arial" w:cs="Arial"/>
        </w:rPr>
        <w:t>making through feedback, regulation, or investment.</w:t>
      </w:r>
    </w:p>
    <w:p w14:paraId="36DE32CE" w14:textId="77777777" w:rsidR="007B03C1" w:rsidRPr="007B03C1" w:rsidRDefault="007B03C1" w:rsidP="007B03C1">
      <w:pPr>
        <w:spacing w:line="360" w:lineRule="auto"/>
        <w:rPr>
          <w:rFonts w:ascii="Arial" w:hAnsi="Arial" w:cs="Arial"/>
        </w:rPr>
      </w:pPr>
      <w:r w:rsidRPr="007B03C1">
        <w:rPr>
          <w:rFonts w:ascii="Arial" w:hAnsi="Arial" w:cs="Arial"/>
        </w:rPr>
        <w:t xml:space="preserve">• </w:t>
      </w:r>
      <w:r w:rsidRPr="007B03C1">
        <w:rPr>
          <w:rFonts w:ascii="Arial" w:hAnsi="Arial" w:cs="Arial"/>
        </w:rPr>
        <w:tab/>
        <w:t>They shape reputation and trust, which are critical for long</w:t>
      </w:r>
      <w:r w:rsidRPr="007B03C1">
        <w:rPr>
          <w:rFonts w:ascii="Cambria Math" w:hAnsi="Cambria Math" w:cs="Cambria Math"/>
        </w:rPr>
        <w:t>‑</w:t>
      </w:r>
      <w:r w:rsidRPr="007B03C1">
        <w:rPr>
          <w:rFonts w:ascii="Arial" w:hAnsi="Arial" w:cs="Arial"/>
        </w:rPr>
        <w:t>term success.</w:t>
      </w:r>
    </w:p>
    <w:p w14:paraId="422F5087" w14:textId="054FE48D" w:rsidR="00BB584C" w:rsidRDefault="007B03C1" w:rsidP="007B03C1">
      <w:pPr>
        <w:spacing w:line="360" w:lineRule="auto"/>
        <w:rPr>
          <w:rFonts w:ascii="Arial" w:hAnsi="Arial" w:cs="Arial"/>
        </w:rPr>
      </w:pPr>
      <w:r w:rsidRPr="007B03C1">
        <w:rPr>
          <w:rFonts w:ascii="Arial" w:hAnsi="Arial" w:cs="Arial"/>
        </w:rPr>
        <w:t xml:space="preserve">• </w:t>
      </w:r>
      <w:r w:rsidRPr="007B03C1">
        <w:rPr>
          <w:rFonts w:ascii="Arial" w:hAnsi="Arial" w:cs="Arial"/>
        </w:rPr>
        <w:tab/>
        <w:t>They ensure accountability by holding organisations responsible for social, financial, and ethical impacts.</w:t>
      </w:r>
    </w:p>
    <w:p w14:paraId="72FCD59D" w14:textId="77777777" w:rsidR="007B03C1" w:rsidRDefault="007B03C1" w:rsidP="00BB584C">
      <w:pPr>
        <w:spacing w:line="360" w:lineRule="auto"/>
        <w:rPr>
          <w:rFonts w:ascii="Arial" w:hAnsi="Arial" w:cs="Arial"/>
        </w:rPr>
      </w:pPr>
    </w:p>
    <w:p w14:paraId="417C1D8A" w14:textId="77777777" w:rsidR="0002791A" w:rsidRPr="00BB584C" w:rsidRDefault="0002791A" w:rsidP="00BB584C">
      <w:pPr>
        <w:spacing w:line="360" w:lineRule="auto"/>
        <w:rPr>
          <w:rFonts w:ascii="Arial" w:hAnsi="Arial" w:cs="Arial"/>
        </w:rPr>
      </w:pPr>
    </w:p>
    <w:p w14:paraId="0E991A93" w14:textId="77777777" w:rsidR="00A00F51" w:rsidRDefault="008D3930" w:rsidP="00A00F51">
      <w:pPr>
        <w:rPr>
          <w:rFonts w:ascii="Arial" w:hAnsi="Arial" w:cs="Arial"/>
          <w:b/>
          <w:bCs/>
          <w:sz w:val="32"/>
          <w:szCs w:val="32"/>
        </w:rPr>
      </w:pPr>
      <w:r w:rsidRPr="00302A54">
        <w:rPr>
          <w:rFonts w:ascii="Arial" w:hAnsi="Arial" w:cs="Arial"/>
          <w:b/>
          <w:bCs/>
          <w:sz w:val="32"/>
          <w:szCs w:val="32"/>
        </w:rPr>
        <w:t>Introduction</w:t>
      </w:r>
    </w:p>
    <w:p w14:paraId="7FB4827B" w14:textId="664DEE8B" w:rsidR="00A00F51" w:rsidRPr="006A1E6C" w:rsidRDefault="00A00F51" w:rsidP="00A00F51">
      <w:pPr>
        <w:rPr>
          <w:rFonts w:ascii="Arial" w:hAnsi="Arial" w:cs="Arial"/>
        </w:rPr>
      </w:pPr>
      <w:r w:rsidRPr="00A00F51">
        <w:rPr>
          <w:rFonts w:ascii="Arial" w:hAnsi="Arial" w:cs="Arial"/>
        </w:rPr>
        <w:t xml:space="preserve"> </w:t>
      </w:r>
      <w:r w:rsidRPr="006A1E6C">
        <w:rPr>
          <w:rFonts w:ascii="Arial" w:hAnsi="Arial" w:cs="Arial"/>
        </w:rPr>
        <w:t>Lloyds Bank, formerly known as Lloyds Bank Plc, is a prominent British retail and commercial bank, recognised as one of the oldest and most reputable financial institutions in the United Kingdom. Established in Birmingham in 1765 (Lloyds Banking Group,</w:t>
      </w:r>
      <w:r w:rsidR="0035496F">
        <w:rPr>
          <w:rFonts w:ascii="Arial" w:hAnsi="Arial" w:cs="Arial"/>
        </w:rPr>
        <w:t xml:space="preserve"> 2023), the bank offers a diverse range of financial services, including</w:t>
      </w:r>
      <w:r w:rsidRPr="006A1E6C">
        <w:rPr>
          <w:rFonts w:ascii="Arial" w:hAnsi="Arial" w:cs="Arial"/>
        </w:rPr>
        <w:t xml:space="preserve"> personal banking, commercial banking, and wealth management. During the 2008 financial crisis, Lloyds played a critical role within Lloyds Banking Group (BBC News, 2009).</w:t>
      </w:r>
    </w:p>
    <w:p w14:paraId="6F9A65C6" w14:textId="229D4382" w:rsidR="008D3930" w:rsidRPr="00846513" w:rsidRDefault="008D3930" w:rsidP="003F018F">
      <w:pPr>
        <w:spacing w:line="360" w:lineRule="auto"/>
        <w:rPr>
          <w:rFonts w:ascii="Arial" w:hAnsi="Arial" w:cs="Arial"/>
        </w:rPr>
      </w:pPr>
      <w:r w:rsidRPr="00846513">
        <w:rPr>
          <w:rFonts w:ascii="Arial" w:hAnsi="Arial" w:cs="Arial"/>
        </w:rPr>
        <w:t>Lloyds Banking Group (LBG) is a prominent financial services institution in the United Kingdom, with its headquarters located in London and operations extending nationwide. Established in 2009 following the acquisition of HBOS by Lloyds TSB, LBG is publicly listed on the London Stock Exchange (Lloyds Banking Group, 2024a). The organisation offers a comprehensive portfolio of financial services, including retail and commercial banking, insurance, and wealth management. As of 2024, LBG employs over 58,000 individuals and serves a customer base exceeding 25 million, with a strong physical presence in major urban centres such as London and Birmingham (Lloyds Banking Group, 2024b).</w:t>
      </w:r>
    </w:p>
    <w:p w14:paraId="62BABD8B" w14:textId="77777777" w:rsidR="008D3930" w:rsidRPr="00846513" w:rsidRDefault="008D3930" w:rsidP="003F018F">
      <w:pPr>
        <w:spacing w:line="360" w:lineRule="auto"/>
        <w:rPr>
          <w:rFonts w:ascii="Arial" w:hAnsi="Arial" w:cs="Arial"/>
        </w:rPr>
      </w:pPr>
      <w:r w:rsidRPr="00846513">
        <w:t xml:space="preserve"> </w:t>
      </w:r>
      <w:r w:rsidRPr="00846513">
        <w:rPr>
          <w:rFonts w:ascii="Arial" w:hAnsi="Arial" w:cs="Arial"/>
        </w:rPr>
        <w:t>The Group’s business model is underpinned by principles of responsible and inclusive banking, with a strategic emphasis on supporting individuals, businesses, and communities through financial resilience and digital innovation. Its long-term vision prioritises enhanced customer experience, operational efficiency, and the transition toward a sustainable, digitally enabled infrastructure (Lloyds Banking Group, 2023).</w:t>
      </w:r>
    </w:p>
    <w:p w14:paraId="2FA9E111" w14:textId="77777777" w:rsidR="00C513C5" w:rsidRPr="00846513" w:rsidRDefault="008D3930" w:rsidP="003F018F">
      <w:pPr>
        <w:spacing w:line="360" w:lineRule="auto"/>
      </w:pPr>
      <w:r w:rsidRPr="00846513">
        <w:t xml:space="preserve"> </w:t>
      </w:r>
      <w:r w:rsidRPr="00846513">
        <w:rPr>
          <w:rFonts w:ascii="Arial" w:hAnsi="Arial" w:cs="Arial"/>
        </w:rPr>
        <w:t>In alignment with its digital transformation agenda and the need to accommodate a growing workforce, LBG has initiated plans to consolidate and expand its office operations in London. This strategic move is intended to foster cross-functional collaboration, attract and retain top talent, and optimise the use of agile workspaces to meet evolving organisational demands. The selected site in London is scheduled for refurbishment and expansion, enabling the integration of multiple business units currently dispersed across smaller locations (Financial Times, 2024).</w:t>
      </w:r>
      <w:r w:rsidR="00C513C5" w:rsidRPr="00846513">
        <w:t xml:space="preserve"> </w:t>
      </w:r>
    </w:p>
    <w:p w14:paraId="30908828" w14:textId="700CA1D8" w:rsidR="00E56C9A" w:rsidRPr="00846513" w:rsidRDefault="00C513C5" w:rsidP="003F018F">
      <w:pPr>
        <w:spacing w:line="360" w:lineRule="auto"/>
        <w:rPr>
          <w:rFonts w:ascii="Arial" w:hAnsi="Arial" w:cs="Arial"/>
        </w:rPr>
      </w:pPr>
      <w:r w:rsidRPr="00846513">
        <w:rPr>
          <w:rFonts w:ascii="Arial" w:hAnsi="Arial" w:cs="Arial"/>
        </w:rPr>
        <w:t>This report presents a stakeholder engagement strategy tailored to the office consolidation and expansion project. Recognising the critical role of stakeholder involvement in ensuring successful project outcomes, the report places particular emphasis on the systematic identification, analysis, and management of stakeholder interests, expectations, and influence throughout the project lifecycle (Freeman, 1984; Bourne, 2015).</w:t>
      </w:r>
    </w:p>
    <w:p w14:paraId="3557FBF9" w14:textId="77777777" w:rsidR="00C513C5" w:rsidRDefault="00C513C5" w:rsidP="003F018F">
      <w:pPr>
        <w:spacing w:line="360" w:lineRule="auto"/>
        <w:rPr>
          <w:rFonts w:ascii="Arial" w:hAnsi="Arial" w:cs="Arial"/>
          <w:sz w:val="24"/>
          <w:szCs w:val="24"/>
        </w:rPr>
      </w:pPr>
    </w:p>
    <w:p w14:paraId="582CCD2B" w14:textId="77777777" w:rsidR="00AC3AC3" w:rsidRDefault="00AC3AC3" w:rsidP="00F93AA7">
      <w:pPr>
        <w:spacing w:line="360" w:lineRule="auto"/>
        <w:rPr>
          <w:rFonts w:ascii="Arial" w:hAnsi="Arial" w:cs="Arial"/>
          <w:sz w:val="32"/>
          <w:szCs w:val="32"/>
        </w:rPr>
      </w:pPr>
    </w:p>
    <w:p w14:paraId="6E81615E" w14:textId="31768076" w:rsidR="00291DF5" w:rsidRPr="00291DF5" w:rsidRDefault="00291DF5" w:rsidP="00F93AA7">
      <w:pPr>
        <w:spacing w:line="360" w:lineRule="auto"/>
        <w:rPr>
          <w:rFonts w:ascii="Arial" w:hAnsi="Arial" w:cs="Arial"/>
          <w:sz w:val="32"/>
          <w:szCs w:val="32"/>
        </w:rPr>
      </w:pPr>
      <w:r w:rsidRPr="00291DF5">
        <w:rPr>
          <w:rFonts w:ascii="Arial" w:hAnsi="Arial" w:cs="Arial"/>
          <w:sz w:val="32"/>
          <w:szCs w:val="32"/>
        </w:rPr>
        <w:t>Business Office Consolidation: Objectives and Project Overview</w:t>
      </w:r>
    </w:p>
    <w:p w14:paraId="74813DC5" w14:textId="77777777" w:rsidR="00291DF5" w:rsidRPr="00AC3AC3" w:rsidRDefault="00291DF5" w:rsidP="00F93AA7">
      <w:pPr>
        <w:spacing w:line="360" w:lineRule="auto"/>
        <w:rPr>
          <w:rFonts w:ascii="Arial" w:hAnsi="Arial" w:cs="Arial"/>
        </w:rPr>
      </w:pPr>
      <w:r w:rsidRPr="00AC3AC3">
        <w:rPr>
          <w:rFonts w:ascii="Arial" w:hAnsi="Arial" w:cs="Arial"/>
        </w:rPr>
        <w:t>Lloyds Banking Group (LBG) is undertaking a strategic office consolidation initiative aimed at unifying its currently dispersed London-based operations into a single, state-of-the-art headquarters. This transformation follows a comprehensive review of the Group’s operational footprint and reflects a broader commitment to enhancing organisational efficiency, employee collaboration, and client service delivery in a post-pandemic context (Lloyds Banking Group, 2024).</w:t>
      </w:r>
    </w:p>
    <w:p w14:paraId="1D3619EE" w14:textId="1D2B9AB1" w:rsidR="00E56C9A" w:rsidRPr="00AC3AC3" w:rsidRDefault="00291DF5" w:rsidP="00F93AA7">
      <w:pPr>
        <w:spacing w:line="360" w:lineRule="auto"/>
        <w:rPr>
          <w:rFonts w:ascii="Arial" w:hAnsi="Arial" w:cs="Arial"/>
        </w:rPr>
      </w:pPr>
      <w:r w:rsidRPr="00AC3AC3">
        <w:rPr>
          <w:rFonts w:ascii="Arial" w:hAnsi="Arial" w:cs="Arial"/>
        </w:rPr>
        <w:t>The primary objectives of this consolidation project are as follows:</w:t>
      </w:r>
    </w:p>
    <w:p w14:paraId="08308F89" w14:textId="1F8154BC" w:rsidR="00341277" w:rsidRPr="00AC3AC3" w:rsidRDefault="00341277" w:rsidP="00F93AA7">
      <w:pPr>
        <w:spacing w:line="360" w:lineRule="auto"/>
        <w:rPr>
          <w:rFonts w:ascii="Arial" w:hAnsi="Arial" w:cs="Arial"/>
        </w:rPr>
      </w:pPr>
      <w:r w:rsidRPr="00AC3AC3">
        <w:rPr>
          <w:rFonts w:ascii="Arial" w:hAnsi="Arial" w:cs="Arial"/>
        </w:rPr>
        <w:t>• Optimise operational efficiency by co-locating teams currently spread across multiple sites, thereby fostering streamlined communication and decision-making processes.</w:t>
      </w:r>
    </w:p>
    <w:p w14:paraId="49FF3D02" w14:textId="66E94ECF" w:rsidR="00341277" w:rsidRPr="00AC3AC3" w:rsidRDefault="00341277" w:rsidP="00F93AA7">
      <w:pPr>
        <w:spacing w:line="360" w:lineRule="auto"/>
        <w:rPr>
          <w:rFonts w:ascii="Arial" w:hAnsi="Arial" w:cs="Arial"/>
        </w:rPr>
      </w:pPr>
      <w:r w:rsidRPr="00AC3AC3">
        <w:rPr>
          <w:rFonts w:ascii="Arial" w:hAnsi="Arial" w:cs="Arial"/>
        </w:rPr>
        <w:t>• Reduce property-related expenditure through the rationalisation of real estate assets, including the exit from legacy sites such as 125 London</w:t>
      </w:r>
      <w:r w:rsidRPr="00E0402A">
        <w:rPr>
          <w:rFonts w:ascii="Arial" w:hAnsi="Arial" w:cs="Arial"/>
          <w:sz w:val="24"/>
          <w:szCs w:val="24"/>
        </w:rPr>
        <w:t xml:space="preserve"> </w:t>
      </w:r>
      <w:r w:rsidRPr="00AC3AC3">
        <w:rPr>
          <w:rFonts w:ascii="Arial" w:hAnsi="Arial" w:cs="Arial"/>
        </w:rPr>
        <w:t>Wall (Reuters, 2024).</w:t>
      </w:r>
    </w:p>
    <w:p w14:paraId="5FD43F14" w14:textId="705D1D90" w:rsidR="00341277" w:rsidRPr="00AC3AC3" w:rsidRDefault="00341277" w:rsidP="00F93AA7">
      <w:pPr>
        <w:spacing w:line="360" w:lineRule="auto"/>
        <w:rPr>
          <w:rFonts w:ascii="Arial" w:hAnsi="Arial" w:cs="Arial"/>
        </w:rPr>
      </w:pPr>
      <w:r w:rsidRPr="00AC3AC3">
        <w:rPr>
          <w:rFonts w:ascii="Arial" w:hAnsi="Arial" w:cs="Arial"/>
        </w:rPr>
        <w:t>• Promote agile and collaborative working by designing open-plan, flexible workspaces that support hybrid work models and cross-functional interaction (SEA Group, 2025).</w:t>
      </w:r>
    </w:p>
    <w:p w14:paraId="4C1EA79E" w14:textId="3416B9F9" w:rsidR="00F300CE" w:rsidRPr="00AC3AC3" w:rsidRDefault="00341277" w:rsidP="00F93AA7">
      <w:pPr>
        <w:spacing w:line="360" w:lineRule="auto"/>
        <w:rPr>
          <w:rFonts w:ascii="Arial" w:hAnsi="Arial" w:cs="Arial"/>
        </w:rPr>
      </w:pPr>
      <w:r w:rsidRPr="00AC3AC3">
        <w:rPr>
          <w:rFonts w:ascii="Arial" w:hAnsi="Arial" w:cs="Arial"/>
        </w:rPr>
        <w:t>• Advance environmental sustainability by refurbishing the new headquarters in line with net-zero targets, incorporating energy-efficient systems, and encouraging low-carbon commuting options such as cycling and electric vehicle use (SEA Group, 2025).</w:t>
      </w:r>
    </w:p>
    <w:p w14:paraId="2CBF1B29" w14:textId="77777777" w:rsidR="00F223CF" w:rsidRPr="00AC3AC3" w:rsidRDefault="00F223CF" w:rsidP="00F93AA7">
      <w:pPr>
        <w:spacing w:line="360" w:lineRule="auto"/>
        <w:rPr>
          <w:rFonts w:ascii="Arial" w:hAnsi="Arial" w:cs="Arial"/>
        </w:rPr>
      </w:pPr>
      <w:r w:rsidRPr="00AC3AC3">
        <w:rPr>
          <w:rFonts w:ascii="Arial" w:hAnsi="Arial" w:cs="Arial"/>
        </w:rPr>
        <w:t>The project centres on the refurbishment of LBG’s premises at 33 Old Broad Street, which will serve as the new headquarters. The 18,000 sqm facility is being upgraded to include enhanced digital infrastructure, inclusive design features, and wellness-oriented amenities (Morris &amp; Spottiswood, 2025). The phased delivery approach—spanning approximately 18 months—will ensure minimal disruption to business operations and staff relocation.</w:t>
      </w:r>
    </w:p>
    <w:p w14:paraId="3972DEA4" w14:textId="3A81ACB1" w:rsidR="00F300CE" w:rsidRPr="00AC3AC3" w:rsidRDefault="00F223CF" w:rsidP="00F93AA7">
      <w:pPr>
        <w:spacing w:line="360" w:lineRule="auto"/>
        <w:rPr>
          <w:rFonts w:ascii="Arial" w:hAnsi="Arial" w:cs="Arial"/>
        </w:rPr>
      </w:pPr>
      <w:r w:rsidRPr="00AC3AC3">
        <w:rPr>
          <w:rFonts w:ascii="Arial" w:hAnsi="Arial" w:cs="Arial"/>
        </w:rPr>
        <w:t>This initiative underscores LBG’s strategic alignment with evolving workplace expectations, particularly in response to the shift towards flexible working arrangements and the increasing emphasis on sustainability and employee well-being (Lloyds Banking Group, 2024).</w:t>
      </w:r>
    </w:p>
    <w:p w14:paraId="4C76DCF0" w14:textId="77777777" w:rsidR="00AC3AC3" w:rsidRDefault="00AC3AC3" w:rsidP="00BC01E8">
      <w:pPr>
        <w:spacing w:line="360" w:lineRule="auto"/>
        <w:rPr>
          <w:rFonts w:ascii="Arial" w:hAnsi="Arial" w:cs="Arial"/>
          <w:sz w:val="32"/>
          <w:szCs w:val="32"/>
        </w:rPr>
      </w:pPr>
    </w:p>
    <w:p w14:paraId="62C82113" w14:textId="77777777" w:rsidR="00DA6680" w:rsidRDefault="00DA6680" w:rsidP="00664A19">
      <w:pPr>
        <w:spacing w:line="360" w:lineRule="auto"/>
        <w:rPr>
          <w:rFonts w:ascii="Arial" w:hAnsi="Arial" w:cs="Arial"/>
          <w:b/>
          <w:bCs/>
          <w:sz w:val="32"/>
          <w:szCs w:val="32"/>
        </w:rPr>
      </w:pPr>
    </w:p>
    <w:p w14:paraId="37EC6277" w14:textId="77777777" w:rsidR="00DA6680" w:rsidRDefault="00DA6680" w:rsidP="00664A19">
      <w:pPr>
        <w:spacing w:line="360" w:lineRule="auto"/>
        <w:rPr>
          <w:rFonts w:ascii="Arial" w:hAnsi="Arial" w:cs="Arial"/>
          <w:b/>
          <w:bCs/>
          <w:sz w:val="32"/>
          <w:szCs w:val="32"/>
        </w:rPr>
      </w:pPr>
    </w:p>
    <w:p w14:paraId="3F2F095C" w14:textId="32A9D20F" w:rsidR="00664A19" w:rsidRPr="00B35FD9" w:rsidRDefault="00664A19" w:rsidP="00664A19">
      <w:pPr>
        <w:spacing w:line="360" w:lineRule="auto"/>
        <w:rPr>
          <w:rFonts w:ascii="Arial" w:hAnsi="Arial" w:cs="Arial"/>
          <w:b/>
          <w:bCs/>
          <w:sz w:val="32"/>
          <w:szCs w:val="32"/>
        </w:rPr>
      </w:pPr>
      <w:r w:rsidRPr="00B35FD9">
        <w:rPr>
          <w:rFonts w:ascii="Arial" w:hAnsi="Arial" w:cs="Arial"/>
          <w:b/>
          <w:bCs/>
          <w:sz w:val="32"/>
          <w:szCs w:val="32"/>
        </w:rPr>
        <w:t>Key Internal and External Stakeholders</w:t>
      </w:r>
    </w:p>
    <w:p w14:paraId="617AFB26" w14:textId="140C582E" w:rsidR="00326C72" w:rsidRDefault="00841E18" w:rsidP="00BC01E8">
      <w:pPr>
        <w:spacing w:line="360" w:lineRule="auto"/>
        <w:rPr>
          <w:rFonts w:ascii="Arial" w:hAnsi="Arial" w:cs="Arial"/>
        </w:rPr>
      </w:pPr>
      <w:r w:rsidRPr="00841E18">
        <w:rPr>
          <w:rFonts w:ascii="Arial" w:hAnsi="Arial" w:cs="Arial"/>
        </w:rPr>
        <w:t xml:space="preserve">The success of Lloyds Banking Group’s office consolidation initiative depends on the effective involvement of a wide range of </w:t>
      </w:r>
      <w:r w:rsidR="00224DD3">
        <w:rPr>
          <w:rFonts w:ascii="Arial" w:hAnsi="Arial" w:cs="Arial"/>
        </w:rPr>
        <w:t>internal and external stakeholders</w:t>
      </w:r>
      <w:r w:rsidRPr="00841E18">
        <w:rPr>
          <w:rFonts w:ascii="Arial" w:hAnsi="Arial" w:cs="Arial"/>
        </w:rPr>
        <w:t>. Internally, the executive leadership team plays a pivotal role, providing strategic direction, approving budgets, and ensuring alignment with the organisation’s long</w:t>
      </w:r>
      <w:r w:rsidRPr="00841E18">
        <w:rPr>
          <w:rFonts w:ascii="Cambria Math" w:hAnsi="Cambria Math" w:cs="Cambria Math"/>
        </w:rPr>
        <w:t>‑</w:t>
      </w:r>
      <w:r w:rsidRPr="00841E18">
        <w:rPr>
          <w:rFonts w:ascii="Arial" w:hAnsi="Arial" w:cs="Arial"/>
        </w:rPr>
        <w:t>term objectives (Lloyds Banking Group, 2024). Their accountability is complemented by the project management office (PMO), which is responsible for coordinating activities, monitoring progress, and ensuring that governance frameworks such as RACI are applied consistently.</w:t>
      </w:r>
    </w:p>
    <w:p w14:paraId="63A68F32" w14:textId="77777777" w:rsidR="00283E20" w:rsidRDefault="00346641" w:rsidP="00BC01E8">
      <w:pPr>
        <w:spacing w:line="360" w:lineRule="auto"/>
        <w:rPr>
          <w:rFonts w:ascii="Arial" w:hAnsi="Arial" w:cs="Arial"/>
        </w:rPr>
      </w:pPr>
      <w:r w:rsidRPr="00346641">
        <w:rPr>
          <w:rFonts w:ascii="Arial" w:hAnsi="Arial" w:cs="Arial"/>
        </w:rPr>
        <w:t>The product development team represents another critical stakeholder group, as office consolidation may directly influence innovation cycles, collaboration patterns, and the integration of new technologies (SWOT &amp; PESTLE, 2025). Similarly, the marketing and sales department must be engaged to ensure that customer</w:t>
      </w:r>
      <w:r w:rsidRPr="00346641">
        <w:rPr>
          <w:rFonts w:ascii="Cambria Math" w:hAnsi="Cambria Math" w:cs="Cambria Math"/>
        </w:rPr>
        <w:t>‑</w:t>
      </w:r>
      <w:r w:rsidRPr="00346641">
        <w:rPr>
          <w:rFonts w:ascii="Arial" w:hAnsi="Arial" w:cs="Arial"/>
        </w:rPr>
        <w:t>facing operations remain uninterrupted and that messaging around the consolidation reinforces Lloyds’ reputation for reliability (Annual Report, 2023).</w:t>
      </w:r>
    </w:p>
    <w:p w14:paraId="7D337629" w14:textId="77777777" w:rsidR="00DA789A" w:rsidRDefault="00346641" w:rsidP="00602D4F">
      <w:pPr>
        <w:spacing w:line="360" w:lineRule="auto"/>
        <w:rPr>
          <w:rFonts w:ascii="Arial" w:hAnsi="Arial" w:cs="Arial"/>
        </w:rPr>
      </w:pPr>
      <w:r w:rsidRPr="00346641">
        <w:rPr>
          <w:rFonts w:ascii="Arial" w:hAnsi="Arial" w:cs="Arial"/>
        </w:rPr>
        <w:t xml:space="preserve"> The human resources (HR) department is central to managing employee relocation, hybrid work policies, and change management programmes, while the information technology (IT) function ensures that digital infrastructure, data security, and systems integration are maintained throughout the transition (SWOT Analysis, 2025). </w:t>
      </w:r>
    </w:p>
    <w:p w14:paraId="1C9018B3" w14:textId="77777777" w:rsidR="00DA789A" w:rsidRDefault="00346641" w:rsidP="00602D4F">
      <w:pPr>
        <w:spacing w:line="360" w:lineRule="auto"/>
        <w:rPr>
          <w:rFonts w:ascii="Arial" w:hAnsi="Arial" w:cs="Arial"/>
        </w:rPr>
      </w:pPr>
      <w:r w:rsidRPr="00346641">
        <w:rPr>
          <w:rFonts w:ascii="Arial" w:hAnsi="Arial" w:cs="Arial"/>
        </w:rPr>
        <w:t>The facilities management team also plays a vital role, overseeing physical space planning, health and safety compliance, and sustainability considerations (Lloyds Banking Group, 2023). Finally, employees and end users are key stakeholders whose engagement and feedback are essential to minimising resistance and ensuring that the new office environment supports productivity and well</w:t>
      </w:r>
      <w:r w:rsidRPr="00346641">
        <w:rPr>
          <w:rFonts w:ascii="Cambria Math" w:hAnsi="Cambria Math" w:cs="Cambria Math"/>
        </w:rPr>
        <w:t>‑</w:t>
      </w:r>
      <w:r w:rsidRPr="00346641">
        <w:rPr>
          <w:rFonts w:ascii="Arial" w:hAnsi="Arial" w:cs="Arial"/>
        </w:rPr>
        <w:t>being.</w:t>
      </w:r>
    </w:p>
    <w:p w14:paraId="17D4ADD4" w14:textId="3A48F948" w:rsidR="00602D4F" w:rsidRPr="00602D4F" w:rsidRDefault="00602D4F" w:rsidP="00602D4F">
      <w:pPr>
        <w:spacing w:line="360" w:lineRule="auto"/>
        <w:rPr>
          <w:rFonts w:ascii="Arial" w:hAnsi="Arial" w:cs="Arial"/>
        </w:rPr>
      </w:pPr>
      <w:r w:rsidRPr="00602D4F">
        <w:t xml:space="preserve"> </w:t>
      </w:r>
      <w:r w:rsidRPr="00602D4F">
        <w:rPr>
          <w:rFonts w:ascii="Arial" w:hAnsi="Arial" w:cs="Arial"/>
        </w:rPr>
        <w:t>Externally, several stakeholder groups exert significant influence. Regulators and government agencies must be considered to ensure compliance with financial services legislation, employment law, and health and safety standards (Lloyds Banking Group, 2024). Customers and clients represent another critical external constituency, as their trust and satisfaction must be preserved during any operational disruption (Annual Report, 2023). Suppliers and external vendors, including construction firms, technology providers, and relocation specialists, are directly responsible for delivering key components of the consolidation project (SWOT &amp; PESTLE, 2025). In addition, shareholders and investors are stakeholders with a strong interest in the financial efficiency and long</w:t>
      </w:r>
      <w:r w:rsidRPr="00602D4F">
        <w:rPr>
          <w:rFonts w:ascii="Cambria Math" w:hAnsi="Cambria Math" w:cs="Cambria Math"/>
        </w:rPr>
        <w:t>‑</w:t>
      </w:r>
      <w:r w:rsidRPr="00602D4F">
        <w:rPr>
          <w:rFonts w:ascii="Arial" w:hAnsi="Arial" w:cs="Arial"/>
        </w:rPr>
        <w:t xml:space="preserve">term value creation </w:t>
      </w:r>
      <w:r w:rsidRPr="00602D4F">
        <w:rPr>
          <w:rFonts w:ascii="Arial" w:hAnsi="Arial" w:cs="Arial"/>
        </w:rPr>
        <w:lastRenderedPageBreak/>
        <w:t>associated with consolidation (London Stock Exchange, 2025). Finally, local communities and business partners may be indirectly affected by changes in office locations, employment patterns, and corporate social responsibility initiatives (Lloyds Banking Group, 2023).</w:t>
      </w:r>
    </w:p>
    <w:p w14:paraId="781E8A80" w14:textId="551D6E0A" w:rsidR="00326C72" w:rsidRDefault="00602D4F" w:rsidP="00602D4F">
      <w:pPr>
        <w:spacing w:line="360" w:lineRule="auto"/>
        <w:rPr>
          <w:rFonts w:ascii="Arial" w:hAnsi="Arial" w:cs="Arial"/>
        </w:rPr>
      </w:pPr>
      <w:r w:rsidRPr="00602D4F">
        <w:rPr>
          <w:rFonts w:ascii="Arial" w:hAnsi="Arial" w:cs="Arial"/>
        </w:rPr>
        <w:t>By mapping these internal and external stakeholders, Lloyds Banking Group can ensure that engagement strategies are comprehensive, responsibilities are clearly defined, and risks are mitigated. This holistic approach reinforces the importance of stakeholder management as a cornerstone of successful organisational transformation.</w:t>
      </w:r>
    </w:p>
    <w:p w14:paraId="060E878C" w14:textId="04678675" w:rsidR="00EC79BA" w:rsidRPr="00A220FE" w:rsidRDefault="00206591" w:rsidP="00BC01E8">
      <w:pPr>
        <w:spacing w:line="360" w:lineRule="auto"/>
        <w:rPr>
          <w:rFonts w:ascii="Arial" w:hAnsi="Arial" w:cs="Arial"/>
        </w:rPr>
      </w:pPr>
      <w:r w:rsidRPr="00A220FE">
        <w:rPr>
          <w:rFonts w:ascii="Arial" w:hAnsi="Arial" w:cs="Arial"/>
        </w:rPr>
        <w:t>Effective stakeholder management is predicated on the systematic identification of individuals and groups who either influence or are impacted by a project (Freeman, 1984). In the context of Lloyds Banking Group’s (LBG) London office consolidation, stakeholders encompass a diverse array of internal and external actors whose engagement is essential to project success.</w:t>
      </w:r>
    </w:p>
    <w:p w14:paraId="4211B446" w14:textId="77777777" w:rsidR="001C2565" w:rsidRPr="00A220FE" w:rsidRDefault="001C2565" w:rsidP="00BC01E8">
      <w:pPr>
        <w:spacing w:line="360" w:lineRule="auto"/>
        <w:rPr>
          <w:rFonts w:ascii="Arial" w:hAnsi="Arial" w:cs="Arial"/>
        </w:rPr>
      </w:pPr>
      <w:r w:rsidRPr="00A220FE">
        <w:rPr>
          <w:rFonts w:ascii="Arial" w:hAnsi="Arial" w:cs="Arial"/>
        </w:rPr>
        <w:t>External Stakeholders</w:t>
      </w:r>
    </w:p>
    <w:p w14:paraId="3C3DAA7C" w14:textId="259DAF0E" w:rsidR="001C2565" w:rsidRPr="00A220FE" w:rsidRDefault="001C2565" w:rsidP="00BC01E8">
      <w:pPr>
        <w:spacing w:line="360" w:lineRule="auto"/>
        <w:rPr>
          <w:rFonts w:ascii="Arial" w:hAnsi="Arial" w:cs="Arial"/>
        </w:rPr>
      </w:pPr>
      <w:r w:rsidRPr="00A220FE">
        <w:rPr>
          <w:rFonts w:ascii="Arial" w:hAnsi="Arial" w:cs="Arial"/>
        </w:rPr>
        <w:t>Design and Construction Partners: Including architects, contractors, and engineers tasked with delivering the physical transformation of the site (Morris &amp; Spottiswood, 2025).</w:t>
      </w:r>
    </w:p>
    <w:p w14:paraId="24C234B6" w14:textId="696229DB" w:rsidR="001C2565" w:rsidRPr="00E55783" w:rsidRDefault="001C2565" w:rsidP="00E55783">
      <w:pPr>
        <w:spacing w:line="360" w:lineRule="auto"/>
        <w:rPr>
          <w:rFonts w:ascii="Arial" w:hAnsi="Arial" w:cs="Arial"/>
        </w:rPr>
      </w:pPr>
      <w:r w:rsidRPr="00E55783">
        <w:rPr>
          <w:rFonts w:ascii="Arial" w:hAnsi="Arial" w:cs="Arial"/>
        </w:rPr>
        <w:t>Local Authorities and Planning Bodies: Provide planning approvals and monitor adherence to zoning, environmental, and safety regulations (SEA Group, 2025).</w:t>
      </w:r>
    </w:p>
    <w:p w14:paraId="496CDF8A" w14:textId="4B263D99" w:rsidR="001C2565" w:rsidRPr="00A220FE" w:rsidRDefault="001C2565" w:rsidP="00BC01E8">
      <w:pPr>
        <w:spacing w:line="360" w:lineRule="auto"/>
        <w:rPr>
          <w:rFonts w:ascii="Arial" w:hAnsi="Arial" w:cs="Arial"/>
        </w:rPr>
      </w:pPr>
      <w:r w:rsidRPr="00A220FE">
        <w:rPr>
          <w:rFonts w:ascii="Arial" w:hAnsi="Arial" w:cs="Arial"/>
        </w:rPr>
        <w:t>Technology Vendors: Supply hardware, software, and digital infrastructure necessary for modern workplace functionality (Lloyds Banking Group, 2024).</w:t>
      </w:r>
    </w:p>
    <w:p w14:paraId="70C89E87" w14:textId="1515F4FF" w:rsidR="001C2565" w:rsidRPr="00A220FE" w:rsidRDefault="001C2565" w:rsidP="00BC01E8">
      <w:pPr>
        <w:spacing w:line="360" w:lineRule="auto"/>
        <w:rPr>
          <w:rFonts w:ascii="Arial" w:hAnsi="Arial" w:cs="Arial"/>
        </w:rPr>
      </w:pPr>
      <w:r w:rsidRPr="00A220FE">
        <w:rPr>
          <w:rFonts w:ascii="Arial" w:hAnsi="Arial" w:cs="Arial"/>
        </w:rPr>
        <w:t xml:space="preserve"> Neighbouring Businesses and Community Groups: May experience indirect impacts from construction activities and increased footfall, necessitating proactive engagement and mitigation strategies (Turner, 2020).</w:t>
      </w:r>
    </w:p>
    <w:p w14:paraId="469B1AF8" w14:textId="06648905" w:rsidR="00816915" w:rsidRPr="00A220FE" w:rsidRDefault="001C2565" w:rsidP="00BC01E8">
      <w:pPr>
        <w:spacing w:line="360" w:lineRule="auto"/>
        <w:rPr>
          <w:rFonts w:ascii="Arial" w:hAnsi="Arial" w:cs="Arial"/>
        </w:rPr>
      </w:pPr>
      <w:r w:rsidRPr="00A220FE">
        <w:rPr>
          <w:rFonts w:ascii="Arial" w:hAnsi="Arial" w:cs="Arial"/>
        </w:rPr>
        <w:t>•Regulatory Agencies: Oversee compliance with building codes, accessibility standards, and occupational health and safety legislation (PMI, 2021).</w:t>
      </w:r>
    </w:p>
    <w:p w14:paraId="1F42C9F9" w14:textId="46600D52" w:rsidR="00BB595B" w:rsidRPr="00A220FE" w:rsidRDefault="00830651" w:rsidP="00BC01E8">
      <w:pPr>
        <w:spacing w:line="360" w:lineRule="auto"/>
        <w:rPr>
          <w:rFonts w:ascii="Arial" w:hAnsi="Arial" w:cs="Arial"/>
        </w:rPr>
      </w:pPr>
      <w:r w:rsidRPr="00A220FE">
        <w:rPr>
          <w:rFonts w:ascii="Arial" w:hAnsi="Arial" w:cs="Arial"/>
        </w:rPr>
        <w:t>Stakeholder roles vary in terms of influence, interest, and capacity to affect project outcomes. A tailored engagement strategy—grounded in stakeholder salience and power-interest mapping—is essential to mitigating risks, fostering collaboration, and ensuring alignment with strategic goals (Mitchell, Agle and Wood, 1997).</w:t>
      </w:r>
    </w:p>
    <w:p w14:paraId="1EBDA811" w14:textId="77777777" w:rsidR="00CD1B00" w:rsidRDefault="00CD1B00" w:rsidP="00866241">
      <w:pPr>
        <w:spacing w:line="360" w:lineRule="auto"/>
        <w:rPr>
          <w:rFonts w:ascii="Arial" w:hAnsi="Arial" w:cs="Arial"/>
          <w:b/>
          <w:bCs/>
          <w:sz w:val="32"/>
          <w:szCs w:val="32"/>
        </w:rPr>
      </w:pPr>
    </w:p>
    <w:p w14:paraId="3461F32D" w14:textId="77777777" w:rsidR="00CD1B00" w:rsidRDefault="00CD1B00" w:rsidP="00866241">
      <w:pPr>
        <w:spacing w:line="360" w:lineRule="auto"/>
        <w:rPr>
          <w:rFonts w:ascii="Arial" w:hAnsi="Arial" w:cs="Arial"/>
          <w:b/>
          <w:bCs/>
          <w:sz w:val="32"/>
          <w:szCs w:val="32"/>
        </w:rPr>
      </w:pPr>
    </w:p>
    <w:p w14:paraId="158D2315" w14:textId="77777777" w:rsidR="00CD1B00" w:rsidRDefault="00CD1B00" w:rsidP="00866241">
      <w:pPr>
        <w:spacing w:line="360" w:lineRule="auto"/>
        <w:rPr>
          <w:rFonts w:ascii="Arial" w:hAnsi="Arial" w:cs="Arial"/>
          <w:b/>
          <w:bCs/>
          <w:sz w:val="32"/>
          <w:szCs w:val="32"/>
        </w:rPr>
      </w:pPr>
    </w:p>
    <w:p w14:paraId="7DDB9DE1" w14:textId="2CBACE67" w:rsidR="00277467" w:rsidRPr="00B35FD9" w:rsidRDefault="00277467" w:rsidP="00866241">
      <w:pPr>
        <w:spacing w:line="360" w:lineRule="auto"/>
        <w:rPr>
          <w:rFonts w:ascii="Arial" w:hAnsi="Arial" w:cs="Arial"/>
          <w:b/>
          <w:bCs/>
          <w:sz w:val="32"/>
          <w:szCs w:val="32"/>
        </w:rPr>
      </w:pPr>
      <w:r w:rsidRPr="00B35FD9">
        <w:rPr>
          <w:rFonts w:ascii="Arial" w:hAnsi="Arial" w:cs="Arial"/>
          <w:b/>
          <w:bCs/>
          <w:sz w:val="32"/>
          <w:szCs w:val="32"/>
        </w:rPr>
        <w:t>Responsibilities, Benefits, and Challenges</w:t>
      </w:r>
    </w:p>
    <w:p w14:paraId="6D44ABE2" w14:textId="77777777" w:rsidR="00277467" w:rsidRPr="004574A4" w:rsidRDefault="00277467" w:rsidP="00866241">
      <w:pPr>
        <w:spacing w:line="360" w:lineRule="auto"/>
        <w:rPr>
          <w:rFonts w:ascii="Arial" w:hAnsi="Arial" w:cs="Arial"/>
          <w:sz w:val="24"/>
          <w:szCs w:val="24"/>
        </w:rPr>
      </w:pPr>
      <w:r w:rsidRPr="004574A4">
        <w:rPr>
          <w:rFonts w:ascii="Arial" w:hAnsi="Arial" w:cs="Arial"/>
          <w:sz w:val="24"/>
          <w:szCs w:val="24"/>
        </w:rPr>
        <w:t>Effective stakeholder engagement depends on a clear understanding of the roles, responsibilities, benefits, and challenges associated with each stakeholder group. In the context of Lloyds Banking Group’s (LBG) office consolidation project, both internal and external stakeholders contribute distinct expertise and face unique constraints that must be managed to ensure successful delivery (Turner, 2020).</w:t>
      </w:r>
    </w:p>
    <w:p w14:paraId="536A9350" w14:textId="7E82F3B6" w:rsidR="00830651" w:rsidRDefault="00277467" w:rsidP="00866241">
      <w:pPr>
        <w:spacing w:line="360" w:lineRule="auto"/>
        <w:rPr>
          <w:rFonts w:ascii="Arial" w:hAnsi="Arial" w:cs="Arial"/>
          <w:sz w:val="24"/>
          <w:szCs w:val="24"/>
        </w:rPr>
      </w:pPr>
      <w:r w:rsidRPr="004574A4">
        <w:rPr>
          <w:rFonts w:ascii="Arial" w:hAnsi="Arial" w:cs="Arial"/>
          <w:sz w:val="24"/>
          <w:szCs w:val="24"/>
        </w:rPr>
        <w:t>Among internal stakeholders, the Executive Leadership Team plays a pivotal role in setting strategic objectives, approving budgets, and providing high-level governance. Their involvement ensures alignment with broader corporate goals, although they may face challenges in balancing competing organisational priorities (PMI, 2021). The Facilities Management Team is responsible for coordinating refurbishment logistics and managing construction contracts. Their operational expertise is vital for ensuring regulatory compliance and efficient execution, yet they must also mitigate disruptions to ongoing business operations during the transition (Morris &amp; Spottiswood, 2025).</w:t>
      </w:r>
    </w:p>
    <w:p w14:paraId="373FFEAC" w14:textId="2CDF6076" w:rsidR="00EE51CD" w:rsidRDefault="00AA3761" w:rsidP="00866241">
      <w:pPr>
        <w:tabs>
          <w:tab w:val="left" w:pos="7584"/>
        </w:tabs>
        <w:spacing w:line="360" w:lineRule="auto"/>
        <w:rPr>
          <w:rFonts w:ascii="Arial" w:hAnsi="Arial" w:cs="Arial"/>
          <w:sz w:val="24"/>
          <w:szCs w:val="24"/>
        </w:rPr>
      </w:pPr>
      <w:r w:rsidRPr="00AA3761">
        <w:rPr>
          <w:rFonts w:ascii="Arial" w:hAnsi="Arial" w:cs="Arial"/>
          <w:sz w:val="24"/>
          <w:szCs w:val="24"/>
        </w:rPr>
        <w:t>The Information Technology (IT) Department oversees the integration of digital infrastructure, enabling a seamless transition to a technologically advanced workspace. However, they must navigate the complexities of legacy systems and ensure compatibility with new platforms (SEA Group, 2025). Human Resources and line managers are instrumental in managing change, facilitating internal communications, and addressing employee concerns. Their efforts can significantly enhance morale and reduce resistance to change, though they may encounter challenges related to staff anxiety over relocation and adjustments to new working environments (Lloyds Banking Group, 2024).</w:t>
      </w:r>
    </w:p>
    <w:p w14:paraId="1497A599" w14:textId="5907E183" w:rsidR="005915DF" w:rsidRDefault="00E516AD" w:rsidP="00683D4E">
      <w:pPr>
        <w:tabs>
          <w:tab w:val="left" w:pos="7584"/>
        </w:tabs>
        <w:spacing w:line="360" w:lineRule="auto"/>
        <w:rPr>
          <w:rFonts w:ascii="Arial" w:hAnsi="Arial" w:cs="Arial"/>
          <w:sz w:val="24"/>
          <w:szCs w:val="24"/>
        </w:rPr>
      </w:pPr>
      <w:r w:rsidRPr="00E516AD">
        <w:rPr>
          <w:rFonts w:ascii="Arial" w:hAnsi="Arial" w:cs="Arial"/>
          <w:sz w:val="24"/>
          <w:szCs w:val="24"/>
        </w:rPr>
        <w:t xml:space="preserve">External stakeholders also play critical roles. Contractors and architects are tasked with delivering the design and construction of the new office space. Their technical expertise is essential for achieving high-quality outcomes, but they must adhere to strict timelines and budget constraints (Morris &amp; Spottiswood, 2025). Local authorities and planning bodies are responsible for granting planning permissions and ensuring compliance with zoning and environmental regulations. While their </w:t>
      </w:r>
      <w:r w:rsidRPr="00E516AD">
        <w:rPr>
          <w:rFonts w:ascii="Arial" w:hAnsi="Arial" w:cs="Arial"/>
          <w:sz w:val="24"/>
          <w:szCs w:val="24"/>
        </w:rPr>
        <w:lastRenderedPageBreak/>
        <w:t>involvement legitimises the project, bureaucratic processes can introduce delays (SEA Group, 2025). Community groups and neighbouring businesses represent local interests and can help maintain the organisation’s social licence to operate. However, they may raise concerns about construction-related disruptions, such as noise, traffic, and environmental impact (Turner, 2020).</w:t>
      </w:r>
    </w:p>
    <w:p w14:paraId="5D842DEC" w14:textId="44CC709F" w:rsidR="00737386" w:rsidRDefault="00D17F53" w:rsidP="00683D4E">
      <w:pPr>
        <w:tabs>
          <w:tab w:val="left" w:pos="7584"/>
        </w:tabs>
        <w:spacing w:line="360" w:lineRule="auto"/>
        <w:rPr>
          <w:rFonts w:ascii="Arial" w:hAnsi="Arial" w:cs="Arial"/>
          <w:sz w:val="24"/>
          <w:szCs w:val="24"/>
        </w:rPr>
      </w:pPr>
      <w:r w:rsidRPr="00D17F53">
        <w:rPr>
          <w:rFonts w:ascii="Arial" w:hAnsi="Arial" w:cs="Arial"/>
          <w:sz w:val="24"/>
          <w:szCs w:val="24"/>
        </w:rPr>
        <w:t>Overall, stakeholders bring valuable resources, legitimacy, and knowledge to the project. Nevertheless, challenges such as conflicting interests, resistance to change, and communication breakdowns can hinder progress. Applying stakeholder management frameworks—such as Freeman’s (1984) Stakeholder Theory and Mitchell, Agle, and Wood’s (1997) Salience Model—enables project teams to prioritise engagement based on stakeholders’ power, legitimacy, and urgency. This strategic approach enhances decision-making, mitigates risk, and fosters collaborative outcomes.</w:t>
      </w:r>
    </w:p>
    <w:p w14:paraId="378D5049" w14:textId="77777777" w:rsidR="004E4A31" w:rsidRDefault="004E4A31" w:rsidP="00BD40D9">
      <w:pPr>
        <w:tabs>
          <w:tab w:val="left" w:pos="7584"/>
        </w:tabs>
        <w:spacing w:line="360" w:lineRule="auto"/>
        <w:rPr>
          <w:rFonts w:ascii="Arial" w:hAnsi="Arial" w:cs="Arial"/>
          <w:sz w:val="32"/>
          <w:szCs w:val="32"/>
        </w:rPr>
      </w:pPr>
    </w:p>
    <w:p w14:paraId="1954F469" w14:textId="77777777" w:rsidR="004E4A31" w:rsidRDefault="004E4A31" w:rsidP="00BD40D9">
      <w:pPr>
        <w:tabs>
          <w:tab w:val="left" w:pos="7584"/>
        </w:tabs>
        <w:spacing w:line="360" w:lineRule="auto"/>
        <w:rPr>
          <w:rFonts w:ascii="Arial" w:hAnsi="Arial" w:cs="Arial"/>
          <w:sz w:val="32"/>
          <w:szCs w:val="32"/>
        </w:rPr>
      </w:pPr>
    </w:p>
    <w:p w14:paraId="587F21C1" w14:textId="77777777" w:rsidR="004E4A31" w:rsidRDefault="004E4A31" w:rsidP="00BD40D9">
      <w:pPr>
        <w:tabs>
          <w:tab w:val="left" w:pos="7584"/>
        </w:tabs>
        <w:spacing w:line="360" w:lineRule="auto"/>
        <w:rPr>
          <w:rFonts w:ascii="Arial" w:hAnsi="Arial" w:cs="Arial"/>
          <w:sz w:val="32"/>
          <w:szCs w:val="32"/>
        </w:rPr>
      </w:pPr>
    </w:p>
    <w:p w14:paraId="25E3389F" w14:textId="77777777" w:rsidR="004E4A31" w:rsidRDefault="004E4A31" w:rsidP="00BD40D9">
      <w:pPr>
        <w:tabs>
          <w:tab w:val="left" w:pos="7584"/>
        </w:tabs>
        <w:spacing w:line="360" w:lineRule="auto"/>
        <w:rPr>
          <w:rFonts w:ascii="Arial" w:hAnsi="Arial" w:cs="Arial"/>
          <w:sz w:val="32"/>
          <w:szCs w:val="32"/>
        </w:rPr>
      </w:pPr>
    </w:p>
    <w:p w14:paraId="7A0D8074" w14:textId="77777777" w:rsidR="00BB5F36" w:rsidRDefault="00BB5F36" w:rsidP="00BD40D9">
      <w:pPr>
        <w:tabs>
          <w:tab w:val="left" w:pos="7584"/>
        </w:tabs>
        <w:spacing w:line="360" w:lineRule="auto"/>
        <w:rPr>
          <w:rFonts w:ascii="Arial" w:hAnsi="Arial" w:cs="Arial"/>
          <w:b/>
          <w:bCs/>
          <w:sz w:val="32"/>
          <w:szCs w:val="32"/>
        </w:rPr>
      </w:pPr>
    </w:p>
    <w:p w14:paraId="406AC283" w14:textId="77777777" w:rsidR="00BB5F36" w:rsidRDefault="00BB5F36" w:rsidP="00BD40D9">
      <w:pPr>
        <w:tabs>
          <w:tab w:val="left" w:pos="7584"/>
        </w:tabs>
        <w:spacing w:line="360" w:lineRule="auto"/>
        <w:rPr>
          <w:rFonts w:ascii="Arial" w:hAnsi="Arial" w:cs="Arial"/>
          <w:b/>
          <w:bCs/>
          <w:sz w:val="32"/>
          <w:szCs w:val="32"/>
        </w:rPr>
      </w:pPr>
    </w:p>
    <w:p w14:paraId="6D82B43F" w14:textId="77777777" w:rsidR="00BB5F36" w:rsidRDefault="00BB5F36" w:rsidP="00BD40D9">
      <w:pPr>
        <w:tabs>
          <w:tab w:val="left" w:pos="7584"/>
        </w:tabs>
        <w:spacing w:line="360" w:lineRule="auto"/>
        <w:rPr>
          <w:rFonts w:ascii="Arial" w:hAnsi="Arial" w:cs="Arial"/>
          <w:b/>
          <w:bCs/>
          <w:sz w:val="32"/>
          <w:szCs w:val="32"/>
        </w:rPr>
      </w:pPr>
    </w:p>
    <w:p w14:paraId="0DEDE031" w14:textId="77777777" w:rsidR="00BB5F36" w:rsidRDefault="00BB5F36" w:rsidP="00BD40D9">
      <w:pPr>
        <w:tabs>
          <w:tab w:val="left" w:pos="7584"/>
        </w:tabs>
        <w:spacing w:line="360" w:lineRule="auto"/>
        <w:rPr>
          <w:rFonts w:ascii="Arial" w:hAnsi="Arial" w:cs="Arial"/>
          <w:b/>
          <w:bCs/>
          <w:sz w:val="32"/>
          <w:szCs w:val="32"/>
        </w:rPr>
      </w:pPr>
    </w:p>
    <w:p w14:paraId="19A7AEA6" w14:textId="77777777" w:rsidR="00BB5F36" w:rsidRDefault="00BB5F36" w:rsidP="00BD40D9">
      <w:pPr>
        <w:tabs>
          <w:tab w:val="left" w:pos="7584"/>
        </w:tabs>
        <w:spacing w:line="360" w:lineRule="auto"/>
        <w:rPr>
          <w:rFonts w:ascii="Arial" w:hAnsi="Arial" w:cs="Arial"/>
          <w:b/>
          <w:bCs/>
          <w:sz w:val="32"/>
          <w:szCs w:val="32"/>
        </w:rPr>
      </w:pPr>
    </w:p>
    <w:p w14:paraId="4EA6C4FB" w14:textId="77777777" w:rsidR="00BB5F36" w:rsidRDefault="00BB5F36" w:rsidP="00BD40D9">
      <w:pPr>
        <w:tabs>
          <w:tab w:val="left" w:pos="7584"/>
        </w:tabs>
        <w:spacing w:line="360" w:lineRule="auto"/>
        <w:rPr>
          <w:rFonts w:ascii="Arial" w:hAnsi="Arial" w:cs="Arial"/>
          <w:b/>
          <w:bCs/>
          <w:sz w:val="32"/>
          <w:szCs w:val="32"/>
        </w:rPr>
      </w:pPr>
    </w:p>
    <w:p w14:paraId="17F57CBB" w14:textId="77777777" w:rsidR="00BB5F36" w:rsidRDefault="00BB5F36" w:rsidP="00BD40D9">
      <w:pPr>
        <w:tabs>
          <w:tab w:val="left" w:pos="7584"/>
        </w:tabs>
        <w:spacing w:line="360" w:lineRule="auto"/>
        <w:rPr>
          <w:rFonts w:ascii="Arial" w:hAnsi="Arial" w:cs="Arial"/>
          <w:b/>
          <w:bCs/>
          <w:sz w:val="32"/>
          <w:szCs w:val="32"/>
        </w:rPr>
      </w:pPr>
    </w:p>
    <w:p w14:paraId="16518BAE" w14:textId="77777777" w:rsidR="00BB5F36" w:rsidRDefault="00BB5F36" w:rsidP="00BD40D9">
      <w:pPr>
        <w:tabs>
          <w:tab w:val="left" w:pos="7584"/>
        </w:tabs>
        <w:spacing w:line="360" w:lineRule="auto"/>
        <w:rPr>
          <w:rFonts w:ascii="Arial" w:hAnsi="Arial" w:cs="Arial"/>
          <w:b/>
          <w:bCs/>
          <w:sz w:val="32"/>
          <w:szCs w:val="32"/>
        </w:rPr>
      </w:pPr>
    </w:p>
    <w:p w14:paraId="28CA7CA9" w14:textId="77777777" w:rsidR="00BB5F36" w:rsidRDefault="00BB5F36" w:rsidP="00BD40D9">
      <w:pPr>
        <w:tabs>
          <w:tab w:val="left" w:pos="7584"/>
        </w:tabs>
        <w:spacing w:line="360" w:lineRule="auto"/>
        <w:rPr>
          <w:rFonts w:ascii="Arial" w:hAnsi="Arial" w:cs="Arial"/>
          <w:b/>
          <w:bCs/>
          <w:sz w:val="32"/>
          <w:szCs w:val="32"/>
        </w:rPr>
      </w:pPr>
    </w:p>
    <w:p w14:paraId="4EE5B26F" w14:textId="51684922" w:rsidR="009B7F31" w:rsidRPr="00B35FD9" w:rsidRDefault="00C93018" w:rsidP="00BD40D9">
      <w:pPr>
        <w:tabs>
          <w:tab w:val="left" w:pos="7584"/>
        </w:tabs>
        <w:spacing w:line="360" w:lineRule="auto"/>
        <w:rPr>
          <w:rFonts w:ascii="Arial" w:hAnsi="Arial" w:cs="Arial"/>
          <w:b/>
          <w:bCs/>
          <w:sz w:val="32"/>
          <w:szCs w:val="32"/>
        </w:rPr>
      </w:pPr>
      <w:r w:rsidRPr="00B35FD9">
        <w:rPr>
          <w:rFonts w:ascii="Arial" w:hAnsi="Arial" w:cs="Arial"/>
          <w:b/>
          <w:bCs/>
          <w:sz w:val="32"/>
          <w:szCs w:val="32"/>
        </w:rPr>
        <w:t>Stakeholder</w:t>
      </w:r>
      <w:r w:rsidR="00901D9C" w:rsidRPr="00B35FD9">
        <w:rPr>
          <w:rFonts w:ascii="Arial" w:hAnsi="Arial" w:cs="Arial"/>
          <w:b/>
          <w:bCs/>
          <w:sz w:val="32"/>
          <w:szCs w:val="32"/>
        </w:rPr>
        <w:t xml:space="preserve"> Engagement Models and </w:t>
      </w:r>
      <w:r w:rsidRPr="00B35FD9">
        <w:rPr>
          <w:rFonts w:ascii="Arial" w:hAnsi="Arial" w:cs="Arial"/>
          <w:b/>
          <w:bCs/>
          <w:sz w:val="32"/>
          <w:szCs w:val="32"/>
        </w:rPr>
        <w:t>Framework</w:t>
      </w:r>
    </w:p>
    <w:p w14:paraId="7359FAC5" w14:textId="07D472E8" w:rsidR="007C21F5" w:rsidRPr="004E4A31" w:rsidRDefault="007C21F5" w:rsidP="00BD40D9">
      <w:pPr>
        <w:tabs>
          <w:tab w:val="left" w:pos="7584"/>
        </w:tabs>
        <w:spacing w:line="360" w:lineRule="auto"/>
        <w:rPr>
          <w:rFonts w:ascii="Arial" w:hAnsi="Arial" w:cs="Arial"/>
        </w:rPr>
      </w:pPr>
      <w:r w:rsidRPr="004E4A31">
        <w:rPr>
          <w:rFonts w:ascii="Arial" w:hAnsi="Arial" w:cs="Arial"/>
        </w:rPr>
        <w:t xml:space="preserve">Effective stakeholder engagement is critical to the success of complex organisational projects such as Lloyds Banking Group’s office consolidation. To manage diverse stakeholder interests, responsibilities, and communication needs, a range of structured models and frameworks </w:t>
      </w:r>
      <w:r w:rsidR="00417B11">
        <w:rPr>
          <w:rFonts w:ascii="Arial" w:hAnsi="Arial" w:cs="Arial"/>
        </w:rPr>
        <w:t>is</w:t>
      </w:r>
      <w:r w:rsidRPr="004E4A31">
        <w:rPr>
          <w:rFonts w:ascii="Arial" w:hAnsi="Arial" w:cs="Arial"/>
        </w:rPr>
        <w:t xml:space="preserve"> employed. These tools support the identification, prioritisation, and coordination of stakeholder interactions throughout the project lifecycle (PMI, 2021).</w:t>
      </w:r>
    </w:p>
    <w:p w14:paraId="71BAAF2F" w14:textId="77777777" w:rsidR="004E1DBB" w:rsidRPr="004E4A31" w:rsidRDefault="004E1DBB" w:rsidP="00BD40D9">
      <w:pPr>
        <w:tabs>
          <w:tab w:val="left" w:pos="7584"/>
        </w:tabs>
        <w:spacing w:line="360" w:lineRule="auto"/>
        <w:rPr>
          <w:rFonts w:ascii="Arial" w:hAnsi="Arial" w:cs="Arial"/>
        </w:rPr>
      </w:pPr>
      <w:r w:rsidRPr="004E4A31">
        <w:rPr>
          <w:rFonts w:ascii="Arial" w:hAnsi="Arial" w:cs="Arial"/>
        </w:rPr>
        <w:t>5.1 Stakeholder Salience Model</w:t>
      </w:r>
    </w:p>
    <w:p w14:paraId="667629EE" w14:textId="77EE1A62" w:rsidR="004E1DBB" w:rsidRPr="004E4A31" w:rsidRDefault="004E1DBB" w:rsidP="00BD40D9">
      <w:pPr>
        <w:tabs>
          <w:tab w:val="left" w:pos="7584"/>
        </w:tabs>
        <w:spacing w:line="360" w:lineRule="auto"/>
        <w:rPr>
          <w:rFonts w:ascii="Arial" w:hAnsi="Arial" w:cs="Arial"/>
        </w:rPr>
      </w:pPr>
      <w:r w:rsidRPr="004E4A31">
        <w:rPr>
          <w:rFonts w:ascii="Arial" w:hAnsi="Arial" w:cs="Arial"/>
        </w:rPr>
        <w:t xml:space="preserve">The Stakeholder Salience Model, developed by Mitchell, Agle and Wood (1997), categorises stakeholders based on three key attributes: power, legitimacy, and urgency. This model enables project managers to prioritise stakeholders according to their capacity to influence outcomes and the immediacy of their claims. For instance, executive leadership, possessing both power and legitimacy, </w:t>
      </w:r>
      <w:r w:rsidR="005E71F1" w:rsidRPr="004E4A31">
        <w:rPr>
          <w:rFonts w:ascii="Arial" w:hAnsi="Arial" w:cs="Arial"/>
        </w:rPr>
        <w:t>is</w:t>
      </w:r>
      <w:r w:rsidRPr="004E4A31">
        <w:rPr>
          <w:rFonts w:ascii="Arial" w:hAnsi="Arial" w:cs="Arial"/>
        </w:rPr>
        <w:t xml:space="preserve"> considered </w:t>
      </w:r>
      <w:r w:rsidR="005E71F1" w:rsidRPr="004E4A31">
        <w:rPr>
          <w:rFonts w:ascii="Arial" w:hAnsi="Arial" w:cs="Arial"/>
        </w:rPr>
        <w:t xml:space="preserve">a </w:t>
      </w:r>
      <w:r w:rsidRPr="004E4A31">
        <w:rPr>
          <w:rFonts w:ascii="Arial" w:hAnsi="Arial" w:cs="Arial"/>
        </w:rPr>
        <w:t xml:space="preserve">‘definitive </w:t>
      </w:r>
      <w:r w:rsidR="005E71F1" w:rsidRPr="004E4A31">
        <w:rPr>
          <w:rFonts w:ascii="Arial" w:hAnsi="Arial" w:cs="Arial"/>
        </w:rPr>
        <w:t>stakeholder</w:t>
      </w:r>
      <w:r w:rsidRPr="004E4A31">
        <w:rPr>
          <w:rFonts w:ascii="Arial" w:hAnsi="Arial" w:cs="Arial"/>
        </w:rPr>
        <w:t>’</w:t>
      </w:r>
      <w:r w:rsidR="00156BCF" w:rsidRPr="004E4A31">
        <w:rPr>
          <w:rFonts w:ascii="Arial" w:hAnsi="Arial" w:cs="Arial"/>
        </w:rPr>
        <w:t>. At the same time,</w:t>
      </w:r>
      <w:r w:rsidRPr="004E4A31">
        <w:rPr>
          <w:rFonts w:ascii="Arial" w:hAnsi="Arial" w:cs="Arial"/>
        </w:rPr>
        <w:t xml:space="preserve"> local authorities may be classified as ‘dependent stakeholders’ due to their regulatory urgency despite limited direct power.</w:t>
      </w:r>
    </w:p>
    <w:p w14:paraId="407FB659" w14:textId="77777777" w:rsidR="00CF76E7" w:rsidRPr="004E4A31" w:rsidRDefault="00CF76E7" w:rsidP="00BD40D9">
      <w:pPr>
        <w:tabs>
          <w:tab w:val="left" w:pos="7584"/>
        </w:tabs>
        <w:spacing w:line="360" w:lineRule="auto"/>
        <w:rPr>
          <w:rFonts w:ascii="Arial" w:hAnsi="Arial" w:cs="Arial"/>
        </w:rPr>
      </w:pPr>
      <w:r w:rsidRPr="004E4A31">
        <w:rPr>
          <w:rFonts w:ascii="Arial" w:hAnsi="Arial" w:cs="Arial"/>
        </w:rPr>
        <w:t>5.2 Stakeholder Mapping</w:t>
      </w:r>
    </w:p>
    <w:p w14:paraId="559F79E1" w14:textId="2F42A0B8" w:rsidR="005E71F1" w:rsidRPr="004E4A31" w:rsidRDefault="00CF76E7" w:rsidP="00BD40D9">
      <w:pPr>
        <w:tabs>
          <w:tab w:val="left" w:pos="7584"/>
        </w:tabs>
        <w:spacing w:line="360" w:lineRule="auto"/>
        <w:rPr>
          <w:rFonts w:ascii="Arial" w:hAnsi="Arial" w:cs="Arial"/>
        </w:rPr>
      </w:pPr>
      <w:r w:rsidRPr="004E4A31">
        <w:rPr>
          <w:rFonts w:ascii="Arial" w:hAnsi="Arial" w:cs="Arial"/>
        </w:rPr>
        <w:t xml:space="preserve">Stakeholder mapping, often visualised through a power-interest matrix, assists in segmenting stakeholders based on their level of influence and interest in the project (Bourne, 2015). </w:t>
      </w:r>
      <w:r w:rsidR="00156BCF" w:rsidRPr="004E4A31">
        <w:rPr>
          <w:rFonts w:ascii="Arial" w:hAnsi="Arial" w:cs="Arial"/>
        </w:rPr>
        <w:t>High-power/high-interest stakeholders—such as project sponsors, senior executives, and key contractors—require active,</w:t>
      </w:r>
      <w:r w:rsidRPr="004E4A31">
        <w:rPr>
          <w:rFonts w:ascii="Arial" w:hAnsi="Arial" w:cs="Arial"/>
        </w:rPr>
        <w:t xml:space="preserve"> continuous engagement. Conversely, </w:t>
      </w:r>
      <w:r w:rsidR="00156BCF" w:rsidRPr="004E4A31">
        <w:rPr>
          <w:rFonts w:ascii="Arial" w:hAnsi="Arial" w:cs="Arial"/>
        </w:rPr>
        <w:t>low-power</w:t>
      </w:r>
      <w:r w:rsidRPr="004E4A31">
        <w:rPr>
          <w:rFonts w:ascii="Arial" w:hAnsi="Arial" w:cs="Arial"/>
        </w:rPr>
        <w:t>/</w:t>
      </w:r>
      <w:r w:rsidR="00156BCF" w:rsidRPr="004E4A31">
        <w:rPr>
          <w:rFonts w:ascii="Arial" w:hAnsi="Arial" w:cs="Arial"/>
        </w:rPr>
        <w:t>low-interest</w:t>
      </w:r>
      <w:r w:rsidRPr="004E4A31">
        <w:rPr>
          <w:rFonts w:ascii="Arial" w:hAnsi="Arial" w:cs="Arial"/>
        </w:rPr>
        <w:t xml:space="preserve"> stakeholders, such as peripheral community members, may be managed through periodic updates.</w:t>
      </w:r>
    </w:p>
    <w:p w14:paraId="28FBAF65" w14:textId="77777777" w:rsidR="0014347A" w:rsidRPr="004E4A31" w:rsidRDefault="0014347A" w:rsidP="00BD40D9">
      <w:pPr>
        <w:tabs>
          <w:tab w:val="left" w:pos="7584"/>
        </w:tabs>
        <w:spacing w:line="360" w:lineRule="auto"/>
        <w:rPr>
          <w:rFonts w:ascii="Arial" w:hAnsi="Arial" w:cs="Arial"/>
        </w:rPr>
      </w:pPr>
      <w:r w:rsidRPr="004E4A31">
        <w:rPr>
          <w:rFonts w:ascii="Arial" w:hAnsi="Arial" w:cs="Arial"/>
        </w:rPr>
        <w:t>5.3 Stakeholder Engagement Planning</w:t>
      </w:r>
    </w:p>
    <w:p w14:paraId="7F276E32" w14:textId="010D04A8" w:rsidR="0064626D" w:rsidRPr="004E4A31" w:rsidRDefault="0014347A" w:rsidP="0098237F">
      <w:pPr>
        <w:tabs>
          <w:tab w:val="left" w:pos="7584"/>
        </w:tabs>
        <w:spacing w:line="360" w:lineRule="auto"/>
        <w:rPr>
          <w:rFonts w:ascii="Arial" w:hAnsi="Arial" w:cs="Arial"/>
        </w:rPr>
      </w:pPr>
      <w:r w:rsidRPr="004E4A31">
        <w:rPr>
          <w:rFonts w:ascii="Arial" w:hAnsi="Arial" w:cs="Arial"/>
        </w:rPr>
        <w:t>A stakeholder engagement plan outlines the strategies and timing for involving stakeholders at various project stages. For example, contractors may participate in biweekly coordination meetings to monitor construction progress, while employees are engaged through monthly town halls to address relocation concerns. Community groups may be consulted during planning phases to address local impacts and foster goodwill (Turner, 2020).</w:t>
      </w:r>
      <w:r w:rsidR="0064626D" w:rsidRPr="004E4A31">
        <w:t xml:space="preserve"> </w:t>
      </w:r>
      <w:r w:rsidR="0064626D" w:rsidRPr="004E4A31">
        <w:rPr>
          <w:rFonts w:ascii="Arial" w:hAnsi="Arial" w:cs="Arial"/>
        </w:rPr>
        <w:t>5.4 Communication Planning</w:t>
      </w:r>
    </w:p>
    <w:p w14:paraId="6AD1D87B" w14:textId="26BB7890" w:rsidR="0069149A" w:rsidRPr="003B7006" w:rsidRDefault="0064626D" w:rsidP="0098237F">
      <w:pPr>
        <w:tabs>
          <w:tab w:val="left" w:pos="7584"/>
        </w:tabs>
        <w:spacing w:line="360" w:lineRule="auto"/>
        <w:rPr>
          <w:rFonts w:ascii="Arial" w:hAnsi="Arial" w:cs="Arial"/>
        </w:rPr>
      </w:pPr>
      <w:r w:rsidRPr="003B7006">
        <w:rPr>
          <w:rFonts w:ascii="Arial" w:hAnsi="Arial" w:cs="Arial"/>
        </w:rPr>
        <w:t xml:space="preserve">A robust communication plan ensures that stakeholders remain informed, aligned, and engaged. Communication channels may include email newsletters for general updates, intranet portals for internal documentation, virtual Q&amp;A sessions for staff, and real-time </w:t>
      </w:r>
      <w:r w:rsidRPr="003B7006">
        <w:rPr>
          <w:rFonts w:ascii="Arial" w:hAnsi="Arial" w:cs="Arial"/>
        </w:rPr>
        <w:lastRenderedPageBreak/>
        <w:t>dashboards for tracking project milestones. Tailoring communication frequency and format to stakeholder preferences enhances transparency</w:t>
      </w:r>
      <w:r w:rsidRPr="0064626D">
        <w:rPr>
          <w:rFonts w:ascii="Arial" w:hAnsi="Arial" w:cs="Arial"/>
          <w:sz w:val="24"/>
          <w:szCs w:val="24"/>
        </w:rPr>
        <w:t xml:space="preserve"> </w:t>
      </w:r>
      <w:r w:rsidRPr="003B7006">
        <w:rPr>
          <w:rFonts w:ascii="Arial" w:hAnsi="Arial" w:cs="Arial"/>
        </w:rPr>
        <w:t>and trust (PMI, 2021).</w:t>
      </w:r>
    </w:p>
    <w:p w14:paraId="39FD116F" w14:textId="35D3CBDF" w:rsidR="00260349" w:rsidRPr="003B7006" w:rsidRDefault="00260349" w:rsidP="0098237F">
      <w:pPr>
        <w:tabs>
          <w:tab w:val="left" w:pos="7584"/>
        </w:tabs>
        <w:spacing w:line="360" w:lineRule="auto"/>
        <w:rPr>
          <w:rFonts w:ascii="Arial" w:hAnsi="Arial" w:cs="Arial"/>
        </w:rPr>
      </w:pPr>
      <w:r w:rsidRPr="003B7006">
        <w:rPr>
          <w:rFonts w:ascii="Arial" w:hAnsi="Arial" w:cs="Arial"/>
        </w:rPr>
        <w:t>5.5 RACI Matrix</w:t>
      </w:r>
    </w:p>
    <w:p w14:paraId="4BF4D2F9" w14:textId="77777777" w:rsidR="008C5E5F" w:rsidRDefault="00260349" w:rsidP="0073683B">
      <w:pPr>
        <w:tabs>
          <w:tab w:val="left" w:pos="7584"/>
        </w:tabs>
        <w:spacing w:line="360" w:lineRule="auto"/>
        <w:rPr>
          <w:rFonts w:ascii="Arial" w:hAnsi="Arial" w:cs="Arial"/>
        </w:rPr>
      </w:pPr>
      <w:r w:rsidRPr="003B7006">
        <w:rPr>
          <w:rFonts w:ascii="Arial" w:hAnsi="Arial" w:cs="Arial"/>
        </w:rPr>
        <w:t>The RACI matrix (Responsible, Accountable, Consulted, Informed) is a widely used framework for clarifying stakeholder roles and responsibilities. It delineates who is responsible for executing tasks, who is accountable for decision-making, who must be consulted for input, and who should be kept informed of progress. This clarity reduces ambiguity, enhances coordination, and supports effective governance (Crawford and Bryce, 2003).</w:t>
      </w:r>
    </w:p>
    <w:p w14:paraId="0125A967" w14:textId="5A6B2BBD" w:rsidR="00400763" w:rsidRPr="00ED590E" w:rsidRDefault="00ED590E" w:rsidP="0073683B">
      <w:pPr>
        <w:tabs>
          <w:tab w:val="left" w:pos="7584"/>
        </w:tabs>
        <w:spacing w:line="360" w:lineRule="auto"/>
        <w:rPr>
          <w:rFonts w:ascii="Arial" w:hAnsi="Arial" w:cs="Arial"/>
          <w:sz w:val="32"/>
          <w:szCs w:val="32"/>
        </w:rPr>
      </w:pPr>
      <w:r w:rsidRPr="00ED590E">
        <w:rPr>
          <w:rFonts w:ascii="Arial" w:hAnsi="Arial" w:cs="Arial"/>
          <w:sz w:val="32"/>
          <w:szCs w:val="32"/>
        </w:rPr>
        <w:t xml:space="preserve"> </w:t>
      </w:r>
      <w:r w:rsidR="008C5E5F" w:rsidRPr="00ED590E">
        <w:rPr>
          <w:rFonts w:ascii="Arial" w:hAnsi="Arial" w:cs="Arial"/>
          <w:sz w:val="32"/>
          <w:szCs w:val="32"/>
        </w:rPr>
        <w:t xml:space="preserve">Raci </w:t>
      </w:r>
      <w:r w:rsidRPr="00ED590E">
        <w:rPr>
          <w:rFonts w:ascii="Arial" w:hAnsi="Arial" w:cs="Arial"/>
          <w:sz w:val="32"/>
          <w:szCs w:val="32"/>
        </w:rPr>
        <w:t>Matrix Table</w:t>
      </w:r>
      <w:r w:rsidR="0046285C">
        <w:rPr>
          <w:rFonts w:ascii="Arial" w:hAnsi="Arial" w:cs="Arial"/>
          <w:sz w:val="32"/>
          <w:szCs w:val="32"/>
        </w:rPr>
        <w:t xml:space="preserve"> below</w:t>
      </w:r>
    </w:p>
    <w:p w14:paraId="07D69D20" w14:textId="77777777" w:rsidR="0073683B" w:rsidRPr="00400763" w:rsidRDefault="0073683B" w:rsidP="0073683B">
      <w:pPr>
        <w:tabs>
          <w:tab w:val="left" w:pos="7584"/>
        </w:tabs>
        <w:spacing w:line="360" w:lineRule="auto"/>
        <w:rPr>
          <w:rFonts w:ascii="Arial" w:hAnsi="Arial" w:cs="Aria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45"/>
        <w:gridCol w:w="1219"/>
        <w:gridCol w:w="954"/>
        <w:gridCol w:w="991"/>
        <w:gridCol w:w="1268"/>
        <w:gridCol w:w="1268"/>
        <w:gridCol w:w="1208"/>
        <w:gridCol w:w="873"/>
      </w:tblGrid>
      <w:tr w:rsidR="007759ED" w:rsidRPr="00400763" w14:paraId="27017F63" w14:textId="77777777">
        <w:trPr>
          <w:tblHeader/>
          <w:tblCellSpacing w:w="15" w:type="dxa"/>
        </w:trPr>
        <w:tc>
          <w:tcPr>
            <w:tcW w:w="0" w:type="auto"/>
            <w:vAlign w:val="center"/>
            <w:hideMark/>
          </w:tcPr>
          <w:p w14:paraId="1CE091DD" w14:textId="1C36C9ED" w:rsidR="00400763" w:rsidRPr="00400763" w:rsidRDefault="00400763" w:rsidP="00417B11">
            <w:pPr>
              <w:spacing w:after="0" w:line="240" w:lineRule="auto"/>
              <w:rPr>
                <w:rFonts w:ascii="Arial" w:eastAsia="Times New Roman" w:hAnsi="Arial" w:cs="Arial"/>
                <w:b/>
                <w:bCs/>
                <w:kern w:val="0"/>
                <w:sz w:val="24"/>
                <w:szCs w:val="24"/>
                <w:lang w:eastAsia="en-GB"/>
                <w14:ligatures w14:val="none"/>
              </w:rPr>
            </w:pPr>
            <w:r w:rsidRPr="00400763">
              <w:rPr>
                <w:rFonts w:ascii="Arial" w:eastAsia="Times New Roman" w:hAnsi="Arial" w:cs="Arial"/>
                <w:b/>
                <w:bCs/>
                <w:kern w:val="0"/>
                <w:sz w:val="24"/>
                <w:szCs w:val="24"/>
                <w:lang w:eastAsia="en-GB"/>
                <w14:ligatures w14:val="none"/>
              </w:rPr>
              <w:t>Task / Deliverable</w:t>
            </w:r>
          </w:p>
        </w:tc>
        <w:tc>
          <w:tcPr>
            <w:tcW w:w="0" w:type="auto"/>
            <w:vAlign w:val="center"/>
            <w:hideMark/>
          </w:tcPr>
          <w:p w14:paraId="6E487CA9" w14:textId="77777777" w:rsidR="00400763" w:rsidRPr="00400763" w:rsidRDefault="00400763" w:rsidP="00400763">
            <w:pPr>
              <w:spacing w:after="0" w:line="240" w:lineRule="auto"/>
              <w:jc w:val="center"/>
              <w:rPr>
                <w:rFonts w:ascii="Arial" w:eastAsia="Times New Roman" w:hAnsi="Arial" w:cs="Arial"/>
                <w:b/>
                <w:bCs/>
                <w:kern w:val="0"/>
                <w:sz w:val="24"/>
                <w:szCs w:val="24"/>
                <w:lang w:eastAsia="en-GB"/>
                <w14:ligatures w14:val="none"/>
              </w:rPr>
            </w:pPr>
            <w:r w:rsidRPr="00400763">
              <w:rPr>
                <w:rFonts w:ascii="Arial" w:eastAsia="Times New Roman" w:hAnsi="Arial" w:cs="Arial"/>
                <w:b/>
                <w:bCs/>
                <w:kern w:val="0"/>
                <w:sz w:val="24"/>
                <w:szCs w:val="24"/>
                <w:lang w:eastAsia="en-GB"/>
                <w14:ligatures w14:val="none"/>
              </w:rPr>
              <w:t>Executive Leadership</w:t>
            </w:r>
          </w:p>
        </w:tc>
        <w:tc>
          <w:tcPr>
            <w:tcW w:w="0" w:type="auto"/>
            <w:vAlign w:val="center"/>
            <w:hideMark/>
          </w:tcPr>
          <w:p w14:paraId="6DE35FA2" w14:textId="77777777" w:rsidR="00400763" w:rsidRPr="00400763" w:rsidRDefault="00400763" w:rsidP="00400763">
            <w:pPr>
              <w:spacing w:after="0" w:line="240" w:lineRule="auto"/>
              <w:jc w:val="center"/>
              <w:rPr>
                <w:rFonts w:ascii="Arial" w:eastAsia="Times New Roman" w:hAnsi="Arial" w:cs="Arial"/>
                <w:b/>
                <w:bCs/>
                <w:kern w:val="0"/>
                <w:sz w:val="24"/>
                <w:szCs w:val="24"/>
                <w:lang w:eastAsia="en-GB"/>
                <w14:ligatures w14:val="none"/>
              </w:rPr>
            </w:pPr>
            <w:r w:rsidRPr="00400763">
              <w:rPr>
                <w:rFonts w:ascii="Arial" w:eastAsia="Times New Roman" w:hAnsi="Arial" w:cs="Arial"/>
                <w:b/>
                <w:bCs/>
                <w:kern w:val="0"/>
                <w:sz w:val="24"/>
                <w:szCs w:val="24"/>
                <w:lang w:eastAsia="en-GB"/>
                <w14:ligatures w14:val="none"/>
              </w:rPr>
              <w:t>Project Manager</w:t>
            </w:r>
          </w:p>
        </w:tc>
        <w:tc>
          <w:tcPr>
            <w:tcW w:w="0" w:type="auto"/>
            <w:vAlign w:val="center"/>
            <w:hideMark/>
          </w:tcPr>
          <w:p w14:paraId="46D8B23A" w14:textId="77777777" w:rsidR="00400763" w:rsidRPr="00400763" w:rsidRDefault="00400763" w:rsidP="00400763">
            <w:pPr>
              <w:spacing w:after="0" w:line="240" w:lineRule="auto"/>
              <w:jc w:val="center"/>
              <w:rPr>
                <w:rFonts w:ascii="Arial" w:eastAsia="Times New Roman" w:hAnsi="Arial" w:cs="Arial"/>
                <w:b/>
                <w:bCs/>
                <w:kern w:val="0"/>
                <w:sz w:val="24"/>
                <w:szCs w:val="24"/>
                <w:lang w:eastAsia="en-GB"/>
                <w14:ligatures w14:val="none"/>
              </w:rPr>
            </w:pPr>
            <w:r w:rsidRPr="00400763">
              <w:rPr>
                <w:rFonts w:ascii="Arial" w:eastAsia="Times New Roman" w:hAnsi="Arial" w:cs="Arial"/>
                <w:b/>
                <w:bCs/>
                <w:kern w:val="0"/>
                <w:sz w:val="24"/>
                <w:szCs w:val="24"/>
                <w:lang w:eastAsia="en-GB"/>
                <w14:ligatures w14:val="none"/>
              </w:rPr>
              <w:t>Facilities Team</w:t>
            </w:r>
          </w:p>
        </w:tc>
        <w:tc>
          <w:tcPr>
            <w:tcW w:w="0" w:type="auto"/>
            <w:vAlign w:val="center"/>
            <w:hideMark/>
          </w:tcPr>
          <w:p w14:paraId="023A35F6" w14:textId="77777777" w:rsidR="00400763" w:rsidRPr="00400763" w:rsidRDefault="00400763" w:rsidP="00400763">
            <w:pPr>
              <w:spacing w:after="0" w:line="240" w:lineRule="auto"/>
              <w:jc w:val="center"/>
              <w:rPr>
                <w:rFonts w:ascii="Arial" w:eastAsia="Times New Roman" w:hAnsi="Arial" w:cs="Arial"/>
                <w:b/>
                <w:bCs/>
                <w:kern w:val="0"/>
                <w:sz w:val="24"/>
                <w:szCs w:val="24"/>
                <w:lang w:eastAsia="en-GB"/>
                <w14:ligatures w14:val="none"/>
              </w:rPr>
            </w:pPr>
            <w:r w:rsidRPr="00400763">
              <w:rPr>
                <w:rFonts w:ascii="Arial" w:eastAsia="Times New Roman" w:hAnsi="Arial" w:cs="Arial"/>
                <w:b/>
                <w:bCs/>
                <w:kern w:val="0"/>
                <w:sz w:val="24"/>
                <w:szCs w:val="24"/>
                <w:lang w:eastAsia="en-GB"/>
                <w14:ligatures w14:val="none"/>
              </w:rPr>
              <w:t>IT Department</w:t>
            </w:r>
          </w:p>
        </w:tc>
        <w:tc>
          <w:tcPr>
            <w:tcW w:w="0" w:type="auto"/>
            <w:vAlign w:val="center"/>
            <w:hideMark/>
          </w:tcPr>
          <w:p w14:paraId="0E34DE82" w14:textId="77777777" w:rsidR="00400763" w:rsidRPr="00400763" w:rsidRDefault="00400763" w:rsidP="00400763">
            <w:pPr>
              <w:spacing w:after="0" w:line="240" w:lineRule="auto"/>
              <w:jc w:val="center"/>
              <w:rPr>
                <w:rFonts w:ascii="Arial" w:eastAsia="Times New Roman" w:hAnsi="Arial" w:cs="Arial"/>
                <w:b/>
                <w:bCs/>
                <w:kern w:val="0"/>
                <w:sz w:val="24"/>
                <w:szCs w:val="24"/>
                <w:lang w:eastAsia="en-GB"/>
                <w14:ligatures w14:val="none"/>
              </w:rPr>
            </w:pPr>
            <w:r w:rsidRPr="00400763">
              <w:rPr>
                <w:rFonts w:ascii="Arial" w:eastAsia="Times New Roman" w:hAnsi="Arial" w:cs="Arial"/>
                <w:b/>
                <w:bCs/>
                <w:kern w:val="0"/>
                <w:sz w:val="24"/>
                <w:szCs w:val="24"/>
                <w:lang w:eastAsia="en-GB"/>
                <w14:ligatures w14:val="none"/>
              </w:rPr>
              <w:t>HR Department</w:t>
            </w:r>
          </w:p>
        </w:tc>
        <w:tc>
          <w:tcPr>
            <w:tcW w:w="0" w:type="auto"/>
            <w:vAlign w:val="center"/>
            <w:hideMark/>
          </w:tcPr>
          <w:p w14:paraId="1D48E74A" w14:textId="77777777" w:rsidR="00400763" w:rsidRPr="00400763" w:rsidRDefault="00400763" w:rsidP="00400763">
            <w:pPr>
              <w:spacing w:after="0" w:line="240" w:lineRule="auto"/>
              <w:jc w:val="center"/>
              <w:rPr>
                <w:rFonts w:ascii="Arial" w:eastAsia="Times New Roman" w:hAnsi="Arial" w:cs="Arial"/>
                <w:b/>
                <w:bCs/>
                <w:kern w:val="0"/>
                <w:sz w:val="24"/>
                <w:szCs w:val="24"/>
                <w:lang w:eastAsia="en-GB"/>
                <w14:ligatures w14:val="none"/>
              </w:rPr>
            </w:pPr>
            <w:r w:rsidRPr="00400763">
              <w:rPr>
                <w:rFonts w:ascii="Arial" w:eastAsia="Times New Roman" w:hAnsi="Arial" w:cs="Arial"/>
                <w:b/>
                <w:bCs/>
                <w:kern w:val="0"/>
                <w:sz w:val="24"/>
                <w:szCs w:val="24"/>
                <w:lang w:eastAsia="en-GB"/>
                <w14:ligatures w14:val="none"/>
              </w:rPr>
              <w:t>Employees / End Users</w:t>
            </w:r>
          </w:p>
        </w:tc>
        <w:tc>
          <w:tcPr>
            <w:tcW w:w="0" w:type="auto"/>
            <w:vAlign w:val="center"/>
            <w:hideMark/>
          </w:tcPr>
          <w:p w14:paraId="10DDC5FF" w14:textId="77777777" w:rsidR="00400763" w:rsidRPr="00400763" w:rsidRDefault="00400763" w:rsidP="00400763">
            <w:pPr>
              <w:spacing w:after="0" w:line="240" w:lineRule="auto"/>
              <w:jc w:val="center"/>
              <w:rPr>
                <w:rFonts w:ascii="Arial" w:eastAsia="Times New Roman" w:hAnsi="Arial" w:cs="Arial"/>
                <w:b/>
                <w:bCs/>
                <w:kern w:val="0"/>
                <w:lang w:eastAsia="en-GB"/>
                <w14:ligatures w14:val="none"/>
              </w:rPr>
            </w:pPr>
            <w:r w:rsidRPr="00400763">
              <w:rPr>
                <w:rFonts w:ascii="Arial" w:eastAsia="Times New Roman" w:hAnsi="Arial" w:cs="Arial"/>
                <w:b/>
                <w:bCs/>
                <w:kern w:val="0"/>
                <w:lang w:eastAsia="en-GB"/>
                <w14:ligatures w14:val="none"/>
              </w:rPr>
              <w:t>External Vendors</w:t>
            </w:r>
          </w:p>
        </w:tc>
      </w:tr>
      <w:tr w:rsidR="007759ED" w:rsidRPr="00400763" w14:paraId="2209B165" w14:textId="77777777">
        <w:trPr>
          <w:tblCellSpacing w:w="15" w:type="dxa"/>
        </w:trPr>
        <w:tc>
          <w:tcPr>
            <w:tcW w:w="0" w:type="auto"/>
            <w:vAlign w:val="center"/>
            <w:hideMark/>
          </w:tcPr>
          <w:p w14:paraId="7F80B1D5" w14:textId="77777777" w:rsidR="00400763" w:rsidRPr="00400763" w:rsidRDefault="00400763" w:rsidP="00400763">
            <w:pPr>
              <w:spacing w:after="0" w:line="240" w:lineRule="auto"/>
              <w:rPr>
                <w:rFonts w:ascii="Times New Roman" w:eastAsia="Times New Roman" w:hAnsi="Times New Roman" w:cs="Times New Roman"/>
                <w:kern w:val="0"/>
                <w:sz w:val="24"/>
                <w:szCs w:val="24"/>
                <w:lang w:eastAsia="en-GB"/>
                <w14:ligatures w14:val="none"/>
              </w:rPr>
            </w:pPr>
            <w:r w:rsidRPr="00400763">
              <w:rPr>
                <w:rFonts w:ascii="Times New Roman" w:eastAsia="Times New Roman" w:hAnsi="Times New Roman" w:cs="Times New Roman"/>
                <w:kern w:val="0"/>
                <w:sz w:val="24"/>
                <w:szCs w:val="24"/>
                <w:lang w:eastAsia="en-GB"/>
                <w14:ligatures w14:val="none"/>
              </w:rPr>
              <w:t>Define project scope &amp; objectives</w:t>
            </w:r>
          </w:p>
        </w:tc>
        <w:tc>
          <w:tcPr>
            <w:tcW w:w="0" w:type="auto"/>
            <w:vAlign w:val="center"/>
            <w:hideMark/>
          </w:tcPr>
          <w:p w14:paraId="0733336A" w14:textId="77777777" w:rsidR="00400763" w:rsidRPr="00400763" w:rsidRDefault="00400763" w:rsidP="00400763">
            <w:pPr>
              <w:spacing w:after="0" w:line="240" w:lineRule="auto"/>
              <w:rPr>
                <w:rFonts w:ascii="Times New Roman" w:eastAsia="Times New Roman" w:hAnsi="Times New Roman" w:cs="Times New Roman"/>
                <w:kern w:val="0"/>
                <w:sz w:val="24"/>
                <w:szCs w:val="24"/>
                <w:lang w:eastAsia="en-GB"/>
                <w14:ligatures w14:val="none"/>
              </w:rPr>
            </w:pPr>
            <w:r w:rsidRPr="00400763">
              <w:rPr>
                <w:rFonts w:ascii="Times New Roman" w:eastAsia="Times New Roman" w:hAnsi="Times New Roman" w:cs="Times New Roman"/>
                <w:kern w:val="0"/>
                <w:sz w:val="24"/>
                <w:szCs w:val="24"/>
                <w:lang w:eastAsia="en-GB"/>
                <w14:ligatures w14:val="none"/>
              </w:rPr>
              <w:t>A</w:t>
            </w:r>
          </w:p>
        </w:tc>
        <w:tc>
          <w:tcPr>
            <w:tcW w:w="0" w:type="auto"/>
            <w:vAlign w:val="center"/>
            <w:hideMark/>
          </w:tcPr>
          <w:p w14:paraId="524826E0" w14:textId="77777777" w:rsidR="00400763" w:rsidRPr="00400763" w:rsidRDefault="00400763" w:rsidP="00400763">
            <w:pPr>
              <w:spacing w:after="0" w:line="240" w:lineRule="auto"/>
              <w:rPr>
                <w:rFonts w:ascii="Times New Roman" w:eastAsia="Times New Roman" w:hAnsi="Times New Roman" w:cs="Times New Roman"/>
                <w:kern w:val="0"/>
                <w:sz w:val="24"/>
                <w:szCs w:val="24"/>
                <w:lang w:eastAsia="en-GB"/>
                <w14:ligatures w14:val="none"/>
              </w:rPr>
            </w:pPr>
            <w:r w:rsidRPr="00400763">
              <w:rPr>
                <w:rFonts w:ascii="Times New Roman" w:eastAsia="Times New Roman" w:hAnsi="Times New Roman" w:cs="Times New Roman"/>
                <w:kern w:val="0"/>
                <w:sz w:val="24"/>
                <w:szCs w:val="24"/>
                <w:lang w:eastAsia="en-GB"/>
                <w14:ligatures w14:val="none"/>
              </w:rPr>
              <w:t>R</w:t>
            </w:r>
          </w:p>
        </w:tc>
        <w:tc>
          <w:tcPr>
            <w:tcW w:w="0" w:type="auto"/>
            <w:vAlign w:val="center"/>
            <w:hideMark/>
          </w:tcPr>
          <w:p w14:paraId="35083026" w14:textId="77777777" w:rsidR="00400763" w:rsidRPr="00400763" w:rsidRDefault="00400763" w:rsidP="00400763">
            <w:pPr>
              <w:spacing w:after="0" w:line="240" w:lineRule="auto"/>
              <w:rPr>
                <w:rFonts w:ascii="Times New Roman" w:eastAsia="Times New Roman" w:hAnsi="Times New Roman" w:cs="Times New Roman"/>
                <w:kern w:val="0"/>
                <w:sz w:val="24"/>
                <w:szCs w:val="24"/>
                <w:lang w:eastAsia="en-GB"/>
                <w14:ligatures w14:val="none"/>
              </w:rPr>
            </w:pPr>
            <w:r w:rsidRPr="00400763">
              <w:rPr>
                <w:rFonts w:ascii="Times New Roman" w:eastAsia="Times New Roman" w:hAnsi="Times New Roman" w:cs="Times New Roman"/>
                <w:kern w:val="0"/>
                <w:sz w:val="24"/>
                <w:szCs w:val="24"/>
                <w:lang w:eastAsia="en-GB"/>
                <w14:ligatures w14:val="none"/>
              </w:rPr>
              <w:t>C</w:t>
            </w:r>
          </w:p>
        </w:tc>
        <w:tc>
          <w:tcPr>
            <w:tcW w:w="0" w:type="auto"/>
            <w:vAlign w:val="center"/>
            <w:hideMark/>
          </w:tcPr>
          <w:p w14:paraId="162BF44E" w14:textId="77777777" w:rsidR="00400763" w:rsidRPr="00400763" w:rsidRDefault="00400763" w:rsidP="00400763">
            <w:pPr>
              <w:spacing w:after="0" w:line="240" w:lineRule="auto"/>
              <w:rPr>
                <w:rFonts w:ascii="Times New Roman" w:eastAsia="Times New Roman" w:hAnsi="Times New Roman" w:cs="Times New Roman"/>
                <w:kern w:val="0"/>
                <w:sz w:val="24"/>
                <w:szCs w:val="24"/>
                <w:lang w:eastAsia="en-GB"/>
                <w14:ligatures w14:val="none"/>
              </w:rPr>
            </w:pPr>
            <w:r w:rsidRPr="00400763">
              <w:rPr>
                <w:rFonts w:ascii="Times New Roman" w:eastAsia="Times New Roman" w:hAnsi="Times New Roman" w:cs="Times New Roman"/>
                <w:kern w:val="0"/>
                <w:sz w:val="24"/>
                <w:szCs w:val="24"/>
                <w:lang w:eastAsia="en-GB"/>
                <w14:ligatures w14:val="none"/>
              </w:rPr>
              <w:t>C</w:t>
            </w:r>
          </w:p>
        </w:tc>
        <w:tc>
          <w:tcPr>
            <w:tcW w:w="0" w:type="auto"/>
            <w:vAlign w:val="center"/>
            <w:hideMark/>
          </w:tcPr>
          <w:p w14:paraId="2F48074A" w14:textId="77777777" w:rsidR="00400763" w:rsidRPr="00400763" w:rsidRDefault="00400763" w:rsidP="00400763">
            <w:pPr>
              <w:spacing w:after="0" w:line="240" w:lineRule="auto"/>
              <w:rPr>
                <w:rFonts w:ascii="Times New Roman" w:eastAsia="Times New Roman" w:hAnsi="Times New Roman" w:cs="Times New Roman"/>
                <w:kern w:val="0"/>
                <w:sz w:val="24"/>
                <w:szCs w:val="24"/>
                <w:lang w:eastAsia="en-GB"/>
                <w14:ligatures w14:val="none"/>
              </w:rPr>
            </w:pPr>
            <w:r w:rsidRPr="00400763">
              <w:rPr>
                <w:rFonts w:ascii="Times New Roman" w:eastAsia="Times New Roman" w:hAnsi="Times New Roman" w:cs="Times New Roman"/>
                <w:kern w:val="0"/>
                <w:sz w:val="24"/>
                <w:szCs w:val="24"/>
                <w:lang w:eastAsia="en-GB"/>
                <w14:ligatures w14:val="none"/>
              </w:rPr>
              <w:t>C</w:t>
            </w:r>
          </w:p>
        </w:tc>
        <w:tc>
          <w:tcPr>
            <w:tcW w:w="0" w:type="auto"/>
            <w:vAlign w:val="center"/>
            <w:hideMark/>
          </w:tcPr>
          <w:p w14:paraId="794C6923" w14:textId="77777777" w:rsidR="00400763" w:rsidRPr="00400763" w:rsidRDefault="00400763" w:rsidP="00400763">
            <w:pPr>
              <w:spacing w:after="0" w:line="240" w:lineRule="auto"/>
              <w:rPr>
                <w:rFonts w:ascii="Times New Roman" w:eastAsia="Times New Roman" w:hAnsi="Times New Roman" w:cs="Times New Roman"/>
                <w:kern w:val="0"/>
                <w:sz w:val="24"/>
                <w:szCs w:val="24"/>
                <w:lang w:eastAsia="en-GB"/>
                <w14:ligatures w14:val="none"/>
              </w:rPr>
            </w:pPr>
            <w:r w:rsidRPr="00400763">
              <w:rPr>
                <w:rFonts w:ascii="Times New Roman" w:eastAsia="Times New Roman" w:hAnsi="Times New Roman" w:cs="Times New Roman"/>
                <w:kern w:val="0"/>
                <w:sz w:val="24"/>
                <w:szCs w:val="24"/>
                <w:lang w:eastAsia="en-GB"/>
                <w14:ligatures w14:val="none"/>
              </w:rPr>
              <w:t>I</w:t>
            </w:r>
          </w:p>
        </w:tc>
        <w:tc>
          <w:tcPr>
            <w:tcW w:w="0" w:type="auto"/>
            <w:vAlign w:val="center"/>
            <w:hideMark/>
          </w:tcPr>
          <w:p w14:paraId="036A59F5" w14:textId="77777777" w:rsidR="00400763" w:rsidRPr="00400763" w:rsidRDefault="00400763" w:rsidP="00400763">
            <w:pPr>
              <w:spacing w:after="0" w:line="240" w:lineRule="auto"/>
              <w:rPr>
                <w:rFonts w:ascii="Times New Roman" w:eastAsia="Times New Roman" w:hAnsi="Times New Roman" w:cs="Times New Roman"/>
                <w:kern w:val="0"/>
                <w:sz w:val="24"/>
                <w:szCs w:val="24"/>
                <w:lang w:eastAsia="en-GB"/>
                <w14:ligatures w14:val="none"/>
              </w:rPr>
            </w:pPr>
            <w:r w:rsidRPr="00400763">
              <w:rPr>
                <w:rFonts w:ascii="Times New Roman" w:eastAsia="Times New Roman" w:hAnsi="Times New Roman" w:cs="Times New Roman"/>
                <w:kern w:val="0"/>
                <w:sz w:val="24"/>
                <w:szCs w:val="24"/>
                <w:lang w:eastAsia="en-GB"/>
                <w14:ligatures w14:val="none"/>
              </w:rPr>
              <w:t>I</w:t>
            </w:r>
          </w:p>
        </w:tc>
      </w:tr>
      <w:tr w:rsidR="007759ED" w:rsidRPr="00400763" w14:paraId="7AB0B26E" w14:textId="77777777">
        <w:trPr>
          <w:tblCellSpacing w:w="15" w:type="dxa"/>
        </w:trPr>
        <w:tc>
          <w:tcPr>
            <w:tcW w:w="0" w:type="auto"/>
            <w:vAlign w:val="center"/>
            <w:hideMark/>
          </w:tcPr>
          <w:p w14:paraId="68E73BAB" w14:textId="77777777" w:rsidR="00400763" w:rsidRPr="00400763" w:rsidRDefault="00400763" w:rsidP="00400763">
            <w:pPr>
              <w:spacing w:after="0" w:line="240" w:lineRule="auto"/>
              <w:rPr>
                <w:rFonts w:ascii="Times New Roman" w:eastAsia="Times New Roman" w:hAnsi="Times New Roman" w:cs="Times New Roman"/>
                <w:kern w:val="0"/>
                <w:sz w:val="24"/>
                <w:szCs w:val="24"/>
                <w:lang w:eastAsia="en-GB"/>
                <w14:ligatures w14:val="none"/>
              </w:rPr>
            </w:pPr>
            <w:r w:rsidRPr="00400763">
              <w:rPr>
                <w:rFonts w:ascii="Times New Roman" w:eastAsia="Times New Roman" w:hAnsi="Times New Roman" w:cs="Times New Roman"/>
                <w:kern w:val="0"/>
                <w:sz w:val="24"/>
                <w:szCs w:val="24"/>
                <w:lang w:eastAsia="en-GB"/>
                <w14:ligatures w14:val="none"/>
              </w:rPr>
              <w:t>Stakeholder engagement strategy</w:t>
            </w:r>
          </w:p>
        </w:tc>
        <w:tc>
          <w:tcPr>
            <w:tcW w:w="0" w:type="auto"/>
            <w:vAlign w:val="center"/>
            <w:hideMark/>
          </w:tcPr>
          <w:p w14:paraId="09E8F002" w14:textId="77777777" w:rsidR="00400763" w:rsidRPr="00400763" w:rsidRDefault="00400763" w:rsidP="00400763">
            <w:pPr>
              <w:spacing w:after="0" w:line="240" w:lineRule="auto"/>
              <w:rPr>
                <w:rFonts w:ascii="Times New Roman" w:eastAsia="Times New Roman" w:hAnsi="Times New Roman" w:cs="Times New Roman"/>
                <w:kern w:val="0"/>
                <w:sz w:val="24"/>
                <w:szCs w:val="24"/>
                <w:lang w:eastAsia="en-GB"/>
                <w14:ligatures w14:val="none"/>
              </w:rPr>
            </w:pPr>
            <w:r w:rsidRPr="00400763">
              <w:rPr>
                <w:rFonts w:ascii="Times New Roman" w:eastAsia="Times New Roman" w:hAnsi="Times New Roman" w:cs="Times New Roman"/>
                <w:kern w:val="0"/>
                <w:sz w:val="24"/>
                <w:szCs w:val="24"/>
                <w:lang w:eastAsia="en-GB"/>
                <w14:ligatures w14:val="none"/>
              </w:rPr>
              <w:t>A</w:t>
            </w:r>
          </w:p>
        </w:tc>
        <w:tc>
          <w:tcPr>
            <w:tcW w:w="0" w:type="auto"/>
            <w:vAlign w:val="center"/>
            <w:hideMark/>
          </w:tcPr>
          <w:p w14:paraId="484C2AE2" w14:textId="77777777" w:rsidR="00400763" w:rsidRPr="00400763" w:rsidRDefault="00400763" w:rsidP="00400763">
            <w:pPr>
              <w:spacing w:after="0" w:line="240" w:lineRule="auto"/>
              <w:rPr>
                <w:rFonts w:ascii="Times New Roman" w:eastAsia="Times New Roman" w:hAnsi="Times New Roman" w:cs="Times New Roman"/>
                <w:kern w:val="0"/>
                <w:sz w:val="24"/>
                <w:szCs w:val="24"/>
                <w:lang w:eastAsia="en-GB"/>
                <w14:ligatures w14:val="none"/>
              </w:rPr>
            </w:pPr>
            <w:r w:rsidRPr="00400763">
              <w:rPr>
                <w:rFonts w:ascii="Times New Roman" w:eastAsia="Times New Roman" w:hAnsi="Times New Roman" w:cs="Times New Roman"/>
                <w:kern w:val="0"/>
                <w:sz w:val="24"/>
                <w:szCs w:val="24"/>
                <w:lang w:eastAsia="en-GB"/>
                <w14:ligatures w14:val="none"/>
              </w:rPr>
              <w:t>R</w:t>
            </w:r>
          </w:p>
        </w:tc>
        <w:tc>
          <w:tcPr>
            <w:tcW w:w="0" w:type="auto"/>
            <w:vAlign w:val="center"/>
            <w:hideMark/>
          </w:tcPr>
          <w:p w14:paraId="2D15F5BF" w14:textId="77777777" w:rsidR="00400763" w:rsidRPr="00400763" w:rsidRDefault="00400763" w:rsidP="00400763">
            <w:pPr>
              <w:spacing w:after="0" w:line="240" w:lineRule="auto"/>
              <w:rPr>
                <w:rFonts w:ascii="Times New Roman" w:eastAsia="Times New Roman" w:hAnsi="Times New Roman" w:cs="Times New Roman"/>
                <w:kern w:val="0"/>
                <w:sz w:val="24"/>
                <w:szCs w:val="24"/>
                <w:lang w:eastAsia="en-GB"/>
                <w14:ligatures w14:val="none"/>
              </w:rPr>
            </w:pPr>
            <w:r w:rsidRPr="00400763">
              <w:rPr>
                <w:rFonts w:ascii="Times New Roman" w:eastAsia="Times New Roman" w:hAnsi="Times New Roman" w:cs="Times New Roman"/>
                <w:kern w:val="0"/>
                <w:sz w:val="24"/>
                <w:szCs w:val="24"/>
                <w:lang w:eastAsia="en-GB"/>
                <w14:ligatures w14:val="none"/>
              </w:rPr>
              <w:t>C</w:t>
            </w:r>
          </w:p>
        </w:tc>
        <w:tc>
          <w:tcPr>
            <w:tcW w:w="0" w:type="auto"/>
            <w:vAlign w:val="center"/>
            <w:hideMark/>
          </w:tcPr>
          <w:p w14:paraId="3E816B77" w14:textId="77777777" w:rsidR="00400763" w:rsidRPr="00400763" w:rsidRDefault="00400763" w:rsidP="00400763">
            <w:pPr>
              <w:spacing w:after="0" w:line="240" w:lineRule="auto"/>
              <w:rPr>
                <w:rFonts w:ascii="Times New Roman" w:eastAsia="Times New Roman" w:hAnsi="Times New Roman" w:cs="Times New Roman"/>
                <w:kern w:val="0"/>
                <w:sz w:val="24"/>
                <w:szCs w:val="24"/>
                <w:lang w:eastAsia="en-GB"/>
                <w14:ligatures w14:val="none"/>
              </w:rPr>
            </w:pPr>
            <w:r w:rsidRPr="00400763">
              <w:rPr>
                <w:rFonts w:ascii="Times New Roman" w:eastAsia="Times New Roman" w:hAnsi="Times New Roman" w:cs="Times New Roman"/>
                <w:kern w:val="0"/>
                <w:sz w:val="24"/>
                <w:szCs w:val="24"/>
                <w:lang w:eastAsia="en-GB"/>
                <w14:ligatures w14:val="none"/>
              </w:rPr>
              <w:t>C</w:t>
            </w:r>
          </w:p>
        </w:tc>
        <w:tc>
          <w:tcPr>
            <w:tcW w:w="0" w:type="auto"/>
            <w:vAlign w:val="center"/>
            <w:hideMark/>
          </w:tcPr>
          <w:p w14:paraId="06048E39" w14:textId="77777777" w:rsidR="00400763" w:rsidRPr="00400763" w:rsidRDefault="00400763" w:rsidP="00400763">
            <w:pPr>
              <w:spacing w:after="0" w:line="240" w:lineRule="auto"/>
              <w:rPr>
                <w:rFonts w:ascii="Times New Roman" w:eastAsia="Times New Roman" w:hAnsi="Times New Roman" w:cs="Times New Roman"/>
                <w:kern w:val="0"/>
                <w:sz w:val="24"/>
                <w:szCs w:val="24"/>
                <w:lang w:eastAsia="en-GB"/>
                <w14:ligatures w14:val="none"/>
              </w:rPr>
            </w:pPr>
            <w:r w:rsidRPr="00400763">
              <w:rPr>
                <w:rFonts w:ascii="Times New Roman" w:eastAsia="Times New Roman" w:hAnsi="Times New Roman" w:cs="Times New Roman"/>
                <w:kern w:val="0"/>
                <w:sz w:val="24"/>
                <w:szCs w:val="24"/>
                <w:lang w:eastAsia="en-GB"/>
                <w14:ligatures w14:val="none"/>
              </w:rPr>
              <w:t>R</w:t>
            </w:r>
          </w:p>
        </w:tc>
        <w:tc>
          <w:tcPr>
            <w:tcW w:w="0" w:type="auto"/>
            <w:vAlign w:val="center"/>
            <w:hideMark/>
          </w:tcPr>
          <w:p w14:paraId="77D0D9F3" w14:textId="77777777" w:rsidR="00400763" w:rsidRPr="00400763" w:rsidRDefault="00400763" w:rsidP="00400763">
            <w:pPr>
              <w:spacing w:after="0" w:line="240" w:lineRule="auto"/>
              <w:rPr>
                <w:rFonts w:ascii="Times New Roman" w:eastAsia="Times New Roman" w:hAnsi="Times New Roman" w:cs="Times New Roman"/>
                <w:kern w:val="0"/>
                <w:sz w:val="24"/>
                <w:szCs w:val="24"/>
                <w:lang w:eastAsia="en-GB"/>
                <w14:ligatures w14:val="none"/>
              </w:rPr>
            </w:pPr>
            <w:r w:rsidRPr="00400763">
              <w:rPr>
                <w:rFonts w:ascii="Times New Roman" w:eastAsia="Times New Roman" w:hAnsi="Times New Roman" w:cs="Times New Roman"/>
                <w:kern w:val="0"/>
                <w:sz w:val="24"/>
                <w:szCs w:val="24"/>
                <w:lang w:eastAsia="en-GB"/>
                <w14:ligatures w14:val="none"/>
              </w:rPr>
              <w:t>C</w:t>
            </w:r>
          </w:p>
        </w:tc>
        <w:tc>
          <w:tcPr>
            <w:tcW w:w="0" w:type="auto"/>
            <w:vAlign w:val="center"/>
            <w:hideMark/>
          </w:tcPr>
          <w:p w14:paraId="224636CA" w14:textId="77777777" w:rsidR="00400763" w:rsidRPr="00400763" w:rsidRDefault="00400763" w:rsidP="00400763">
            <w:pPr>
              <w:spacing w:after="0" w:line="240" w:lineRule="auto"/>
              <w:rPr>
                <w:rFonts w:ascii="Times New Roman" w:eastAsia="Times New Roman" w:hAnsi="Times New Roman" w:cs="Times New Roman"/>
                <w:kern w:val="0"/>
                <w:sz w:val="24"/>
                <w:szCs w:val="24"/>
                <w:lang w:eastAsia="en-GB"/>
                <w14:ligatures w14:val="none"/>
              </w:rPr>
            </w:pPr>
            <w:r w:rsidRPr="00400763">
              <w:rPr>
                <w:rFonts w:ascii="Times New Roman" w:eastAsia="Times New Roman" w:hAnsi="Times New Roman" w:cs="Times New Roman"/>
                <w:kern w:val="0"/>
                <w:sz w:val="24"/>
                <w:szCs w:val="24"/>
                <w:lang w:eastAsia="en-GB"/>
                <w14:ligatures w14:val="none"/>
              </w:rPr>
              <w:t>I</w:t>
            </w:r>
          </w:p>
        </w:tc>
      </w:tr>
      <w:tr w:rsidR="007759ED" w:rsidRPr="00400763" w14:paraId="2E73E6E5" w14:textId="77777777">
        <w:trPr>
          <w:tblCellSpacing w:w="15" w:type="dxa"/>
        </w:trPr>
        <w:tc>
          <w:tcPr>
            <w:tcW w:w="0" w:type="auto"/>
            <w:vAlign w:val="center"/>
            <w:hideMark/>
          </w:tcPr>
          <w:p w14:paraId="67BA1800" w14:textId="77777777" w:rsidR="00400763" w:rsidRPr="00400763" w:rsidRDefault="00400763" w:rsidP="00400763">
            <w:pPr>
              <w:spacing w:after="0" w:line="240" w:lineRule="auto"/>
              <w:rPr>
                <w:rFonts w:ascii="Times New Roman" w:eastAsia="Times New Roman" w:hAnsi="Times New Roman" w:cs="Times New Roman"/>
                <w:kern w:val="0"/>
                <w:sz w:val="24"/>
                <w:szCs w:val="24"/>
                <w:lang w:eastAsia="en-GB"/>
                <w14:ligatures w14:val="none"/>
              </w:rPr>
            </w:pPr>
            <w:r w:rsidRPr="00400763">
              <w:rPr>
                <w:rFonts w:ascii="Times New Roman" w:eastAsia="Times New Roman" w:hAnsi="Times New Roman" w:cs="Times New Roman"/>
                <w:kern w:val="0"/>
                <w:sz w:val="24"/>
                <w:szCs w:val="24"/>
                <w:lang w:eastAsia="en-GB"/>
                <w14:ligatures w14:val="none"/>
              </w:rPr>
              <w:t>Office space planning &amp; design</w:t>
            </w:r>
          </w:p>
        </w:tc>
        <w:tc>
          <w:tcPr>
            <w:tcW w:w="0" w:type="auto"/>
            <w:vAlign w:val="center"/>
            <w:hideMark/>
          </w:tcPr>
          <w:p w14:paraId="6937A385" w14:textId="77777777" w:rsidR="00400763" w:rsidRPr="00400763" w:rsidRDefault="00400763" w:rsidP="00400763">
            <w:pPr>
              <w:spacing w:after="0" w:line="240" w:lineRule="auto"/>
              <w:rPr>
                <w:rFonts w:ascii="Times New Roman" w:eastAsia="Times New Roman" w:hAnsi="Times New Roman" w:cs="Times New Roman"/>
                <w:kern w:val="0"/>
                <w:sz w:val="24"/>
                <w:szCs w:val="24"/>
                <w:lang w:eastAsia="en-GB"/>
                <w14:ligatures w14:val="none"/>
              </w:rPr>
            </w:pPr>
            <w:r w:rsidRPr="00400763">
              <w:rPr>
                <w:rFonts w:ascii="Times New Roman" w:eastAsia="Times New Roman" w:hAnsi="Times New Roman" w:cs="Times New Roman"/>
                <w:kern w:val="0"/>
                <w:sz w:val="24"/>
                <w:szCs w:val="24"/>
                <w:lang w:eastAsia="en-GB"/>
                <w14:ligatures w14:val="none"/>
              </w:rPr>
              <w:t>I</w:t>
            </w:r>
          </w:p>
        </w:tc>
        <w:tc>
          <w:tcPr>
            <w:tcW w:w="0" w:type="auto"/>
            <w:vAlign w:val="center"/>
            <w:hideMark/>
          </w:tcPr>
          <w:p w14:paraId="16891842" w14:textId="77777777" w:rsidR="00400763" w:rsidRPr="00400763" w:rsidRDefault="00400763" w:rsidP="00400763">
            <w:pPr>
              <w:spacing w:after="0" w:line="240" w:lineRule="auto"/>
              <w:rPr>
                <w:rFonts w:ascii="Times New Roman" w:eastAsia="Times New Roman" w:hAnsi="Times New Roman" w:cs="Times New Roman"/>
                <w:kern w:val="0"/>
                <w:sz w:val="24"/>
                <w:szCs w:val="24"/>
                <w:lang w:eastAsia="en-GB"/>
                <w14:ligatures w14:val="none"/>
              </w:rPr>
            </w:pPr>
            <w:r w:rsidRPr="00400763">
              <w:rPr>
                <w:rFonts w:ascii="Times New Roman" w:eastAsia="Times New Roman" w:hAnsi="Times New Roman" w:cs="Times New Roman"/>
                <w:kern w:val="0"/>
                <w:sz w:val="24"/>
                <w:szCs w:val="24"/>
                <w:lang w:eastAsia="en-GB"/>
                <w14:ligatures w14:val="none"/>
              </w:rPr>
              <w:t>C</w:t>
            </w:r>
          </w:p>
        </w:tc>
        <w:tc>
          <w:tcPr>
            <w:tcW w:w="0" w:type="auto"/>
            <w:vAlign w:val="center"/>
            <w:hideMark/>
          </w:tcPr>
          <w:p w14:paraId="247467E2" w14:textId="77777777" w:rsidR="00400763" w:rsidRPr="00400763" w:rsidRDefault="00400763" w:rsidP="00400763">
            <w:pPr>
              <w:spacing w:after="0" w:line="240" w:lineRule="auto"/>
              <w:rPr>
                <w:rFonts w:ascii="Times New Roman" w:eastAsia="Times New Roman" w:hAnsi="Times New Roman" w:cs="Times New Roman"/>
                <w:kern w:val="0"/>
                <w:sz w:val="24"/>
                <w:szCs w:val="24"/>
                <w:lang w:eastAsia="en-GB"/>
                <w14:ligatures w14:val="none"/>
              </w:rPr>
            </w:pPr>
            <w:r w:rsidRPr="00400763">
              <w:rPr>
                <w:rFonts w:ascii="Times New Roman" w:eastAsia="Times New Roman" w:hAnsi="Times New Roman" w:cs="Times New Roman"/>
                <w:kern w:val="0"/>
                <w:sz w:val="24"/>
                <w:szCs w:val="24"/>
                <w:lang w:eastAsia="en-GB"/>
                <w14:ligatures w14:val="none"/>
              </w:rPr>
              <w:t>R</w:t>
            </w:r>
          </w:p>
        </w:tc>
        <w:tc>
          <w:tcPr>
            <w:tcW w:w="0" w:type="auto"/>
            <w:vAlign w:val="center"/>
            <w:hideMark/>
          </w:tcPr>
          <w:p w14:paraId="20C1FCA8" w14:textId="77777777" w:rsidR="00400763" w:rsidRPr="00400763" w:rsidRDefault="00400763" w:rsidP="00400763">
            <w:pPr>
              <w:spacing w:after="0" w:line="240" w:lineRule="auto"/>
              <w:rPr>
                <w:rFonts w:ascii="Times New Roman" w:eastAsia="Times New Roman" w:hAnsi="Times New Roman" w:cs="Times New Roman"/>
                <w:kern w:val="0"/>
                <w:sz w:val="24"/>
                <w:szCs w:val="24"/>
                <w:lang w:eastAsia="en-GB"/>
                <w14:ligatures w14:val="none"/>
              </w:rPr>
            </w:pPr>
            <w:r w:rsidRPr="00400763">
              <w:rPr>
                <w:rFonts w:ascii="Times New Roman" w:eastAsia="Times New Roman" w:hAnsi="Times New Roman" w:cs="Times New Roman"/>
                <w:kern w:val="0"/>
                <w:sz w:val="24"/>
                <w:szCs w:val="24"/>
                <w:lang w:eastAsia="en-GB"/>
                <w14:ligatures w14:val="none"/>
              </w:rPr>
              <w:t>C</w:t>
            </w:r>
          </w:p>
        </w:tc>
        <w:tc>
          <w:tcPr>
            <w:tcW w:w="0" w:type="auto"/>
            <w:vAlign w:val="center"/>
            <w:hideMark/>
          </w:tcPr>
          <w:p w14:paraId="4D066B4F" w14:textId="77777777" w:rsidR="00400763" w:rsidRPr="00400763" w:rsidRDefault="00400763" w:rsidP="00400763">
            <w:pPr>
              <w:spacing w:after="0" w:line="240" w:lineRule="auto"/>
              <w:rPr>
                <w:rFonts w:ascii="Times New Roman" w:eastAsia="Times New Roman" w:hAnsi="Times New Roman" w:cs="Times New Roman"/>
                <w:kern w:val="0"/>
                <w:sz w:val="24"/>
                <w:szCs w:val="24"/>
                <w:lang w:eastAsia="en-GB"/>
                <w14:ligatures w14:val="none"/>
              </w:rPr>
            </w:pPr>
            <w:r w:rsidRPr="00400763">
              <w:rPr>
                <w:rFonts w:ascii="Times New Roman" w:eastAsia="Times New Roman" w:hAnsi="Times New Roman" w:cs="Times New Roman"/>
                <w:kern w:val="0"/>
                <w:sz w:val="24"/>
                <w:szCs w:val="24"/>
                <w:lang w:eastAsia="en-GB"/>
                <w14:ligatures w14:val="none"/>
              </w:rPr>
              <w:t>C</w:t>
            </w:r>
          </w:p>
        </w:tc>
        <w:tc>
          <w:tcPr>
            <w:tcW w:w="0" w:type="auto"/>
            <w:vAlign w:val="center"/>
            <w:hideMark/>
          </w:tcPr>
          <w:p w14:paraId="0A4F8AF9" w14:textId="77777777" w:rsidR="00400763" w:rsidRPr="00400763" w:rsidRDefault="00400763" w:rsidP="00400763">
            <w:pPr>
              <w:spacing w:after="0" w:line="240" w:lineRule="auto"/>
              <w:rPr>
                <w:rFonts w:ascii="Times New Roman" w:eastAsia="Times New Roman" w:hAnsi="Times New Roman" w:cs="Times New Roman"/>
                <w:kern w:val="0"/>
                <w:sz w:val="24"/>
                <w:szCs w:val="24"/>
                <w:lang w:eastAsia="en-GB"/>
                <w14:ligatures w14:val="none"/>
              </w:rPr>
            </w:pPr>
            <w:r w:rsidRPr="00400763">
              <w:rPr>
                <w:rFonts w:ascii="Times New Roman" w:eastAsia="Times New Roman" w:hAnsi="Times New Roman" w:cs="Times New Roman"/>
                <w:kern w:val="0"/>
                <w:sz w:val="24"/>
                <w:szCs w:val="24"/>
                <w:lang w:eastAsia="en-GB"/>
                <w14:ligatures w14:val="none"/>
              </w:rPr>
              <w:t>C</w:t>
            </w:r>
          </w:p>
        </w:tc>
        <w:tc>
          <w:tcPr>
            <w:tcW w:w="0" w:type="auto"/>
            <w:vAlign w:val="center"/>
            <w:hideMark/>
          </w:tcPr>
          <w:p w14:paraId="28931AB2" w14:textId="77777777" w:rsidR="00400763" w:rsidRPr="00400763" w:rsidRDefault="00400763" w:rsidP="00400763">
            <w:pPr>
              <w:spacing w:after="0" w:line="240" w:lineRule="auto"/>
              <w:rPr>
                <w:rFonts w:ascii="Times New Roman" w:eastAsia="Times New Roman" w:hAnsi="Times New Roman" w:cs="Times New Roman"/>
                <w:kern w:val="0"/>
                <w:sz w:val="24"/>
                <w:szCs w:val="24"/>
                <w:lang w:eastAsia="en-GB"/>
                <w14:ligatures w14:val="none"/>
              </w:rPr>
            </w:pPr>
            <w:r w:rsidRPr="00400763">
              <w:rPr>
                <w:rFonts w:ascii="Times New Roman" w:eastAsia="Times New Roman" w:hAnsi="Times New Roman" w:cs="Times New Roman"/>
                <w:kern w:val="0"/>
                <w:sz w:val="24"/>
                <w:szCs w:val="24"/>
                <w:lang w:eastAsia="en-GB"/>
                <w14:ligatures w14:val="none"/>
              </w:rPr>
              <w:t>A</w:t>
            </w:r>
          </w:p>
        </w:tc>
      </w:tr>
      <w:tr w:rsidR="007759ED" w:rsidRPr="00400763" w14:paraId="14D18FF2" w14:textId="77777777">
        <w:trPr>
          <w:tblCellSpacing w:w="15" w:type="dxa"/>
        </w:trPr>
        <w:tc>
          <w:tcPr>
            <w:tcW w:w="0" w:type="auto"/>
            <w:vAlign w:val="center"/>
            <w:hideMark/>
          </w:tcPr>
          <w:p w14:paraId="2F6DBCEE" w14:textId="77777777" w:rsidR="00400763" w:rsidRPr="00400763" w:rsidRDefault="00400763" w:rsidP="00400763">
            <w:pPr>
              <w:spacing w:after="0" w:line="240" w:lineRule="auto"/>
              <w:rPr>
                <w:rFonts w:ascii="Times New Roman" w:eastAsia="Times New Roman" w:hAnsi="Times New Roman" w:cs="Times New Roman"/>
                <w:kern w:val="0"/>
                <w:sz w:val="24"/>
                <w:szCs w:val="24"/>
                <w:lang w:eastAsia="en-GB"/>
                <w14:ligatures w14:val="none"/>
              </w:rPr>
            </w:pPr>
            <w:r w:rsidRPr="00400763">
              <w:rPr>
                <w:rFonts w:ascii="Times New Roman" w:eastAsia="Times New Roman" w:hAnsi="Times New Roman" w:cs="Times New Roman"/>
                <w:kern w:val="0"/>
                <w:sz w:val="24"/>
                <w:szCs w:val="24"/>
                <w:lang w:eastAsia="en-GB"/>
                <w14:ligatures w14:val="none"/>
              </w:rPr>
              <w:t>Technology infrastructure setup</w:t>
            </w:r>
          </w:p>
        </w:tc>
        <w:tc>
          <w:tcPr>
            <w:tcW w:w="0" w:type="auto"/>
            <w:vAlign w:val="center"/>
            <w:hideMark/>
          </w:tcPr>
          <w:p w14:paraId="1FF5B2DB" w14:textId="77777777" w:rsidR="00400763" w:rsidRPr="00400763" w:rsidRDefault="00400763" w:rsidP="00400763">
            <w:pPr>
              <w:spacing w:after="0" w:line="240" w:lineRule="auto"/>
              <w:rPr>
                <w:rFonts w:ascii="Times New Roman" w:eastAsia="Times New Roman" w:hAnsi="Times New Roman" w:cs="Times New Roman"/>
                <w:kern w:val="0"/>
                <w:sz w:val="24"/>
                <w:szCs w:val="24"/>
                <w:lang w:eastAsia="en-GB"/>
                <w14:ligatures w14:val="none"/>
              </w:rPr>
            </w:pPr>
            <w:r w:rsidRPr="00400763">
              <w:rPr>
                <w:rFonts w:ascii="Times New Roman" w:eastAsia="Times New Roman" w:hAnsi="Times New Roman" w:cs="Times New Roman"/>
                <w:kern w:val="0"/>
                <w:sz w:val="24"/>
                <w:szCs w:val="24"/>
                <w:lang w:eastAsia="en-GB"/>
                <w14:ligatures w14:val="none"/>
              </w:rPr>
              <w:t>I</w:t>
            </w:r>
          </w:p>
        </w:tc>
        <w:tc>
          <w:tcPr>
            <w:tcW w:w="0" w:type="auto"/>
            <w:vAlign w:val="center"/>
            <w:hideMark/>
          </w:tcPr>
          <w:p w14:paraId="2FDB3E79" w14:textId="77777777" w:rsidR="00400763" w:rsidRPr="00400763" w:rsidRDefault="00400763" w:rsidP="00400763">
            <w:pPr>
              <w:spacing w:after="0" w:line="240" w:lineRule="auto"/>
              <w:rPr>
                <w:rFonts w:ascii="Times New Roman" w:eastAsia="Times New Roman" w:hAnsi="Times New Roman" w:cs="Times New Roman"/>
                <w:kern w:val="0"/>
                <w:sz w:val="24"/>
                <w:szCs w:val="24"/>
                <w:lang w:eastAsia="en-GB"/>
                <w14:ligatures w14:val="none"/>
              </w:rPr>
            </w:pPr>
            <w:r w:rsidRPr="00400763">
              <w:rPr>
                <w:rFonts w:ascii="Times New Roman" w:eastAsia="Times New Roman" w:hAnsi="Times New Roman" w:cs="Times New Roman"/>
                <w:kern w:val="0"/>
                <w:sz w:val="24"/>
                <w:szCs w:val="24"/>
                <w:lang w:eastAsia="en-GB"/>
                <w14:ligatures w14:val="none"/>
              </w:rPr>
              <w:t>C</w:t>
            </w:r>
          </w:p>
        </w:tc>
        <w:tc>
          <w:tcPr>
            <w:tcW w:w="0" w:type="auto"/>
            <w:vAlign w:val="center"/>
            <w:hideMark/>
          </w:tcPr>
          <w:p w14:paraId="08F8634E" w14:textId="77777777" w:rsidR="00400763" w:rsidRPr="00400763" w:rsidRDefault="00400763" w:rsidP="00400763">
            <w:pPr>
              <w:spacing w:after="0" w:line="240" w:lineRule="auto"/>
              <w:rPr>
                <w:rFonts w:ascii="Times New Roman" w:eastAsia="Times New Roman" w:hAnsi="Times New Roman" w:cs="Times New Roman"/>
                <w:kern w:val="0"/>
                <w:sz w:val="24"/>
                <w:szCs w:val="24"/>
                <w:lang w:eastAsia="en-GB"/>
                <w14:ligatures w14:val="none"/>
              </w:rPr>
            </w:pPr>
            <w:r w:rsidRPr="00400763">
              <w:rPr>
                <w:rFonts w:ascii="Times New Roman" w:eastAsia="Times New Roman" w:hAnsi="Times New Roman" w:cs="Times New Roman"/>
                <w:kern w:val="0"/>
                <w:sz w:val="24"/>
                <w:szCs w:val="24"/>
                <w:lang w:eastAsia="en-GB"/>
                <w14:ligatures w14:val="none"/>
              </w:rPr>
              <w:t>C</w:t>
            </w:r>
          </w:p>
        </w:tc>
        <w:tc>
          <w:tcPr>
            <w:tcW w:w="0" w:type="auto"/>
            <w:vAlign w:val="center"/>
            <w:hideMark/>
          </w:tcPr>
          <w:p w14:paraId="3C06556B" w14:textId="77777777" w:rsidR="00400763" w:rsidRPr="00400763" w:rsidRDefault="00400763" w:rsidP="00400763">
            <w:pPr>
              <w:spacing w:after="0" w:line="240" w:lineRule="auto"/>
              <w:rPr>
                <w:rFonts w:ascii="Times New Roman" w:eastAsia="Times New Roman" w:hAnsi="Times New Roman" w:cs="Times New Roman"/>
                <w:kern w:val="0"/>
                <w:sz w:val="24"/>
                <w:szCs w:val="24"/>
                <w:lang w:eastAsia="en-GB"/>
                <w14:ligatures w14:val="none"/>
              </w:rPr>
            </w:pPr>
            <w:r w:rsidRPr="00400763">
              <w:rPr>
                <w:rFonts w:ascii="Times New Roman" w:eastAsia="Times New Roman" w:hAnsi="Times New Roman" w:cs="Times New Roman"/>
                <w:kern w:val="0"/>
                <w:sz w:val="24"/>
                <w:szCs w:val="24"/>
                <w:lang w:eastAsia="en-GB"/>
                <w14:ligatures w14:val="none"/>
              </w:rPr>
              <w:t>R</w:t>
            </w:r>
          </w:p>
        </w:tc>
        <w:tc>
          <w:tcPr>
            <w:tcW w:w="0" w:type="auto"/>
            <w:vAlign w:val="center"/>
            <w:hideMark/>
          </w:tcPr>
          <w:p w14:paraId="5A07B88B" w14:textId="77777777" w:rsidR="00400763" w:rsidRPr="00400763" w:rsidRDefault="00400763" w:rsidP="00400763">
            <w:pPr>
              <w:spacing w:after="0" w:line="240" w:lineRule="auto"/>
              <w:rPr>
                <w:rFonts w:ascii="Times New Roman" w:eastAsia="Times New Roman" w:hAnsi="Times New Roman" w:cs="Times New Roman"/>
                <w:kern w:val="0"/>
                <w:sz w:val="24"/>
                <w:szCs w:val="24"/>
                <w:lang w:eastAsia="en-GB"/>
                <w14:ligatures w14:val="none"/>
              </w:rPr>
            </w:pPr>
            <w:r w:rsidRPr="00400763">
              <w:rPr>
                <w:rFonts w:ascii="Times New Roman" w:eastAsia="Times New Roman" w:hAnsi="Times New Roman" w:cs="Times New Roman"/>
                <w:kern w:val="0"/>
                <w:sz w:val="24"/>
                <w:szCs w:val="24"/>
                <w:lang w:eastAsia="en-GB"/>
                <w14:ligatures w14:val="none"/>
              </w:rPr>
              <w:t>I</w:t>
            </w:r>
          </w:p>
        </w:tc>
        <w:tc>
          <w:tcPr>
            <w:tcW w:w="0" w:type="auto"/>
            <w:vAlign w:val="center"/>
            <w:hideMark/>
          </w:tcPr>
          <w:p w14:paraId="753FA20E" w14:textId="77777777" w:rsidR="00400763" w:rsidRPr="00400763" w:rsidRDefault="00400763" w:rsidP="00400763">
            <w:pPr>
              <w:spacing w:after="0" w:line="240" w:lineRule="auto"/>
              <w:rPr>
                <w:rFonts w:ascii="Times New Roman" w:eastAsia="Times New Roman" w:hAnsi="Times New Roman" w:cs="Times New Roman"/>
                <w:kern w:val="0"/>
                <w:sz w:val="24"/>
                <w:szCs w:val="24"/>
                <w:lang w:eastAsia="en-GB"/>
                <w14:ligatures w14:val="none"/>
              </w:rPr>
            </w:pPr>
            <w:r w:rsidRPr="00400763">
              <w:rPr>
                <w:rFonts w:ascii="Times New Roman" w:eastAsia="Times New Roman" w:hAnsi="Times New Roman" w:cs="Times New Roman"/>
                <w:kern w:val="0"/>
                <w:sz w:val="24"/>
                <w:szCs w:val="24"/>
                <w:lang w:eastAsia="en-GB"/>
                <w14:ligatures w14:val="none"/>
              </w:rPr>
              <w:t>I</w:t>
            </w:r>
          </w:p>
        </w:tc>
        <w:tc>
          <w:tcPr>
            <w:tcW w:w="0" w:type="auto"/>
            <w:vAlign w:val="center"/>
            <w:hideMark/>
          </w:tcPr>
          <w:p w14:paraId="2538F311" w14:textId="77777777" w:rsidR="00400763" w:rsidRPr="00400763" w:rsidRDefault="00400763" w:rsidP="00400763">
            <w:pPr>
              <w:spacing w:after="0" w:line="240" w:lineRule="auto"/>
              <w:rPr>
                <w:rFonts w:ascii="Times New Roman" w:eastAsia="Times New Roman" w:hAnsi="Times New Roman" w:cs="Times New Roman"/>
                <w:kern w:val="0"/>
                <w:sz w:val="24"/>
                <w:szCs w:val="24"/>
                <w:lang w:eastAsia="en-GB"/>
                <w14:ligatures w14:val="none"/>
              </w:rPr>
            </w:pPr>
            <w:r w:rsidRPr="00400763">
              <w:rPr>
                <w:rFonts w:ascii="Times New Roman" w:eastAsia="Times New Roman" w:hAnsi="Times New Roman" w:cs="Times New Roman"/>
                <w:kern w:val="0"/>
                <w:sz w:val="24"/>
                <w:szCs w:val="24"/>
                <w:lang w:eastAsia="en-GB"/>
                <w14:ligatures w14:val="none"/>
              </w:rPr>
              <w:t>A</w:t>
            </w:r>
          </w:p>
        </w:tc>
      </w:tr>
      <w:tr w:rsidR="007759ED" w:rsidRPr="00400763" w14:paraId="0C9AC4D4" w14:textId="77777777">
        <w:trPr>
          <w:tblCellSpacing w:w="15" w:type="dxa"/>
        </w:trPr>
        <w:tc>
          <w:tcPr>
            <w:tcW w:w="0" w:type="auto"/>
            <w:vAlign w:val="center"/>
            <w:hideMark/>
          </w:tcPr>
          <w:p w14:paraId="468BF64E" w14:textId="77777777" w:rsidR="00400763" w:rsidRPr="00400763" w:rsidRDefault="00400763" w:rsidP="00400763">
            <w:pPr>
              <w:spacing w:after="0" w:line="240" w:lineRule="auto"/>
              <w:rPr>
                <w:rFonts w:ascii="Times New Roman" w:eastAsia="Times New Roman" w:hAnsi="Times New Roman" w:cs="Times New Roman"/>
                <w:kern w:val="0"/>
                <w:sz w:val="24"/>
                <w:szCs w:val="24"/>
                <w:lang w:eastAsia="en-GB"/>
                <w14:ligatures w14:val="none"/>
              </w:rPr>
            </w:pPr>
            <w:r w:rsidRPr="00400763">
              <w:rPr>
                <w:rFonts w:ascii="Times New Roman" w:eastAsia="Times New Roman" w:hAnsi="Times New Roman" w:cs="Times New Roman"/>
                <w:kern w:val="0"/>
                <w:sz w:val="24"/>
                <w:szCs w:val="24"/>
                <w:lang w:eastAsia="en-GB"/>
                <w14:ligatures w14:val="none"/>
              </w:rPr>
              <w:t>HR policy updates (remote work, relocation)</w:t>
            </w:r>
          </w:p>
        </w:tc>
        <w:tc>
          <w:tcPr>
            <w:tcW w:w="0" w:type="auto"/>
            <w:vAlign w:val="center"/>
            <w:hideMark/>
          </w:tcPr>
          <w:p w14:paraId="0274DB71" w14:textId="77777777" w:rsidR="00400763" w:rsidRPr="00400763" w:rsidRDefault="00400763" w:rsidP="00400763">
            <w:pPr>
              <w:spacing w:after="0" w:line="240" w:lineRule="auto"/>
              <w:rPr>
                <w:rFonts w:ascii="Times New Roman" w:eastAsia="Times New Roman" w:hAnsi="Times New Roman" w:cs="Times New Roman"/>
                <w:kern w:val="0"/>
                <w:sz w:val="24"/>
                <w:szCs w:val="24"/>
                <w:lang w:eastAsia="en-GB"/>
                <w14:ligatures w14:val="none"/>
              </w:rPr>
            </w:pPr>
            <w:r w:rsidRPr="00400763">
              <w:rPr>
                <w:rFonts w:ascii="Times New Roman" w:eastAsia="Times New Roman" w:hAnsi="Times New Roman" w:cs="Times New Roman"/>
                <w:kern w:val="0"/>
                <w:sz w:val="24"/>
                <w:szCs w:val="24"/>
                <w:lang w:eastAsia="en-GB"/>
                <w14:ligatures w14:val="none"/>
              </w:rPr>
              <w:t>I</w:t>
            </w:r>
          </w:p>
        </w:tc>
        <w:tc>
          <w:tcPr>
            <w:tcW w:w="0" w:type="auto"/>
            <w:vAlign w:val="center"/>
            <w:hideMark/>
          </w:tcPr>
          <w:p w14:paraId="58132E01" w14:textId="77777777" w:rsidR="00400763" w:rsidRPr="00400763" w:rsidRDefault="00400763" w:rsidP="00400763">
            <w:pPr>
              <w:spacing w:after="0" w:line="240" w:lineRule="auto"/>
              <w:rPr>
                <w:rFonts w:ascii="Times New Roman" w:eastAsia="Times New Roman" w:hAnsi="Times New Roman" w:cs="Times New Roman"/>
                <w:kern w:val="0"/>
                <w:sz w:val="24"/>
                <w:szCs w:val="24"/>
                <w:lang w:eastAsia="en-GB"/>
                <w14:ligatures w14:val="none"/>
              </w:rPr>
            </w:pPr>
            <w:r w:rsidRPr="00400763">
              <w:rPr>
                <w:rFonts w:ascii="Times New Roman" w:eastAsia="Times New Roman" w:hAnsi="Times New Roman" w:cs="Times New Roman"/>
                <w:kern w:val="0"/>
                <w:sz w:val="24"/>
                <w:szCs w:val="24"/>
                <w:lang w:eastAsia="en-GB"/>
                <w14:ligatures w14:val="none"/>
              </w:rPr>
              <w:t>C</w:t>
            </w:r>
          </w:p>
        </w:tc>
        <w:tc>
          <w:tcPr>
            <w:tcW w:w="0" w:type="auto"/>
            <w:vAlign w:val="center"/>
            <w:hideMark/>
          </w:tcPr>
          <w:p w14:paraId="72D8BFCB" w14:textId="77777777" w:rsidR="00400763" w:rsidRPr="00400763" w:rsidRDefault="00400763" w:rsidP="00400763">
            <w:pPr>
              <w:spacing w:after="0" w:line="240" w:lineRule="auto"/>
              <w:rPr>
                <w:rFonts w:ascii="Times New Roman" w:eastAsia="Times New Roman" w:hAnsi="Times New Roman" w:cs="Times New Roman"/>
                <w:kern w:val="0"/>
                <w:sz w:val="24"/>
                <w:szCs w:val="24"/>
                <w:lang w:eastAsia="en-GB"/>
                <w14:ligatures w14:val="none"/>
              </w:rPr>
            </w:pPr>
            <w:r w:rsidRPr="00400763">
              <w:rPr>
                <w:rFonts w:ascii="Times New Roman" w:eastAsia="Times New Roman" w:hAnsi="Times New Roman" w:cs="Times New Roman"/>
                <w:kern w:val="0"/>
                <w:sz w:val="24"/>
                <w:szCs w:val="24"/>
                <w:lang w:eastAsia="en-GB"/>
                <w14:ligatures w14:val="none"/>
              </w:rPr>
              <w:t>I</w:t>
            </w:r>
          </w:p>
        </w:tc>
        <w:tc>
          <w:tcPr>
            <w:tcW w:w="0" w:type="auto"/>
            <w:vAlign w:val="center"/>
            <w:hideMark/>
          </w:tcPr>
          <w:p w14:paraId="0042C104" w14:textId="77777777" w:rsidR="00400763" w:rsidRPr="00400763" w:rsidRDefault="00400763" w:rsidP="00400763">
            <w:pPr>
              <w:spacing w:after="0" w:line="240" w:lineRule="auto"/>
              <w:rPr>
                <w:rFonts w:ascii="Times New Roman" w:eastAsia="Times New Roman" w:hAnsi="Times New Roman" w:cs="Times New Roman"/>
                <w:kern w:val="0"/>
                <w:sz w:val="24"/>
                <w:szCs w:val="24"/>
                <w:lang w:eastAsia="en-GB"/>
                <w14:ligatures w14:val="none"/>
              </w:rPr>
            </w:pPr>
            <w:r w:rsidRPr="00400763">
              <w:rPr>
                <w:rFonts w:ascii="Times New Roman" w:eastAsia="Times New Roman" w:hAnsi="Times New Roman" w:cs="Times New Roman"/>
                <w:kern w:val="0"/>
                <w:sz w:val="24"/>
                <w:szCs w:val="24"/>
                <w:lang w:eastAsia="en-GB"/>
                <w14:ligatures w14:val="none"/>
              </w:rPr>
              <w:t>I</w:t>
            </w:r>
          </w:p>
        </w:tc>
        <w:tc>
          <w:tcPr>
            <w:tcW w:w="0" w:type="auto"/>
            <w:vAlign w:val="center"/>
            <w:hideMark/>
          </w:tcPr>
          <w:p w14:paraId="1BF36A15" w14:textId="77777777" w:rsidR="00400763" w:rsidRPr="00400763" w:rsidRDefault="00400763" w:rsidP="00400763">
            <w:pPr>
              <w:spacing w:after="0" w:line="240" w:lineRule="auto"/>
              <w:rPr>
                <w:rFonts w:ascii="Times New Roman" w:eastAsia="Times New Roman" w:hAnsi="Times New Roman" w:cs="Times New Roman"/>
                <w:kern w:val="0"/>
                <w:sz w:val="24"/>
                <w:szCs w:val="24"/>
                <w:lang w:eastAsia="en-GB"/>
                <w14:ligatures w14:val="none"/>
              </w:rPr>
            </w:pPr>
            <w:r w:rsidRPr="00400763">
              <w:rPr>
                <w:rFonts w:ascii="Times New Roman" w:eastAsia="Times New Roman" w:hAnsi="Times New Roman" w:cs="Times New Roman"/>
                <w:kern w:val="0"/>
                <w:sz w:val="24"/>
                <w:szCs w:val="24"/>
                <w:lang w:eastAsia="en-GB"/>
                <w14:ligatures w14:val="none"/>
              </w:rPr>
              <w:t>R</w:t>
            </w:r>
          </w:p>
        </w:tc>
        <w:tc>
          <w:tcPr>
            <w:tcW w:w="0" w:type="auto"/>
            <w:vAlign w:val="center"/>
            <w:hideMark/>
          </w:tcPr>
          <w:p w14:paraId="643960E0" w14:textId="77777777" w:rsidR="00400763" w:rsidRPr="00400763" w:rsidRDefault="00400763" w:rsidP="00400763">
            <w:pPr>
              <w:spacing w:after="0" w:line="240" w:lineRule="auto"/>
              <w:rPr>
                <w:rFonts w:ascii="Times New Roman" w:eastAsia="Times New Roman" w:hAnsi="Times New Roman" w:cs="Times New Roman"/>
                <w:kern w:val="0"/>
                <w:sz w:val="24"/>
                <w:szCs w:val="24"/>
                <w:lang w:eastAsia="en-GB"/>
                <w14:ligatures w14:val="none"/>
              </w:rPr>
            </w:pPr>
            <w:r w:rsidRPr="00400763">
              <w:rPr>
                <w:rFonts w:ascii="Times New Roman" w:eastAsia="Times New Roman" w:hAnsi="Times New Roman" w:cs="Times New Roman"/>
                <w:kern w:val="0"/>
                <w:sz w:val="24"/>
                <w:szCs w:val="24"/>
                <w:lang w:eastAsia="en-GB"/>
                <w14:ligatures w14:val="none"/>
              </w:rPr>
              <w:t>C</w:t>
            </w:r>
          </w:p>
        </w:tc>
        <w:tc>
          <w:tcPr>
            <w:tcW w:w="0" w:type="auto"/>
            <w:vAlign w:val="center"/>
            <w:hideMark/>
          </w:tcPr>
          <w:p w14:paraId="084650EA" w14:textId="77777777" w:rsidR="00400763" w:rsidRPr="00400763" w:rsidRDefault="00400763" w:rsidP="00400763">
            <w:pPr>
              <w:spacing w:after="0" w:line="240" w:lineRule="auto"/>
              <w:rPr>
                <w:rFonts w:ascii="Times New Roman" w:eastAsia="Times New Roman" w:hAnsi="Times New Roman" w:cs="Times New Roman"/>
                <w:kern w:val="0"/>
                <w:sz w:val="24"/>
                <w:szCs w:val="24"/>
                <w:lang w:eastAsia="en-GB"/>
                <w14:ligatures w14:val="none"/>
              </w:rPr>
            </w:pPr>
            <w:r w:rsidRPr="00400763">
              <w:rPr>
                <w:rFonts w:ascii="Times New Roman" w:eastAsia="Times New Roman" w:hAnsi="Times New Roman" w:cs="Times New Roman"/>
                <w:kern w:val="0"/>
                <w:sz w:val="24"/>
                <w:szCs w:val="24"/>
                <w:lang w:eastAsia="en-GB"/>
                <w14:ligatures w14:val="none"/>
              </w:rPr>
              <w:t>I</w:t>
            </w:r>
          </w:p>
        </w:tc>
      </w:tr>
      <w:tr w:rsidR="007759ED" w:rsidRPr="00400763" w14:paraId="602A08D7" w14:textId="77777777" w:rsidTr="00AB728A">
        <w:trPr>
          <w:tblCellSpacing w:w="15" w:type="dxa"/>
        </w:trPr>
        <w:tc>
          <w:tcPr>
            <w:tcW w:w="0" w:type="auto"/>
            <w:vAlign w:val="center"/>
          </w:tcPr>
          <w:p w14:paraId="287DA5C0" w14:textId="77777777" w:rsidR="00AB5491" w:rsidRPr="00400763" w:rsidRDefault="00AB5491" w:rsidP="00400763">
            <w:pPr>
              <w:spacing w:after="0" w:line="240" w:lineRule="auto"/>
              <w:rPr>
                <w:rFonts w:ascii="Arial" w:eastAsia="Times New Roman" w:hAnsi="Arial" w:cs="Arial"/>
                <w:kern w:val="0"/>
                <w:lang w:eastAsia="en-GB"/>
                <w14:ligatures w14:val="none"/>
              </w:rPr>
            </w:pPr>
          </w:p>
        </w:tc>
        <w:tc>
          <w:tcPr>
            <w:tcW w:w="0" w:type="auto"/>
            <w:vAlign w:val="center"/>
          </w:tcPr>
          <w:p w14:paraId="774C7B15" w14:textId="5D78FBFF" w:rsidR="00400763" w:rsidRPr="00400763" w:rsidRDefault="00400763" w:rsidP="00400763">
            <w:pPr>
              <w:spacing w:after="0" w:line="240" w:lineRule="auto"/>
              <w:rPr>
                <w:rFonts w:ascii="Arial" w:eastAsia="Times New Roman" w:hAnsi="Arial" w:cs="Arial"/>
                <w:kern w:val="0"/>
                <w:lang w:eastAsia="en-GB"/>
                <w14:ligatures w14:val="none"/>
              </w:rPr>
            </w:pPr>
          </w:p>
        </w:tc>
        <w:tc>
          <w:tcPr>
            <w:tcW w:w="0" w:type="auto"/>
            <w:vAlign w:val="center"/>
          </w:tcPr>
          <w:p w14:paraId="4C1AC7A5" w14:textId="60B6BCE1" w:rsidR="00400763" w:rsidRPr="00400763" w:rsidRDefault="00400763" w:rsidP="00400763">
            <w:pPr>
              <w:spacing w:after="0" w:line="240" w:lineRule="auto"/>
              <w:rPr>
                <w:rFonts w:ascii="Arial" w:eastAsia="Times New Roman" w:hAnsi="Arial" w:cs="Arial"/>
                <w:kern w:val="0"/>
                <w:lang w:eastAsia="en-GB"/>
                <w14:ligatures w14:val="none"/>
              </w:rPr>
            </w:pPr>
          </w:p>
        </w:tc>
        <w:tc>
          <w:tcPr>
            <w:tcW w:w="0" w:type="auto"/>
            <w:vAlign w:val="center"/>
          </w:tcPr>
          <w:p w14:paraId="3A69D7E3" w14:textId="3073ACBE" w:rsidR="00400763" w:rsidRPr="00400763" w:rsidRDefault="00400763" w:rsidP="00400763">
            <w:pPr>
              <w:spacing w:after="0" w:line="240" w:lineRule="auto"/>
              <w:rPr>
                <w:rFonts w:ascii="Arial" w:eastAsia="Times New Roman" w:hAnsi="Arial" w:cs="Arial"/>
                <w:kern w:val="0"/>
                <w:lang w:eastAsia="en-GB"/>
                <w14:ligatures w14:val="none"/>
              </w:rPr>
            </w:pPr>
          </w:p>
        </w:tc>
        <w:tc>
          <w:tcPr>
            <w:tcW w:w="0" w:type="auto"/>
            <w:vAlign w:val="center"/>
          </w:tcPr>
          <w:p w14:paraId="098BFC3B" w14:textId="0309F7CA" w:rsidR="00400763" w:rsidRPr="00400763" w:rsidRDefault="00400763" w:rsidP="00400763">
            <w:pPr>
              <w:spacing w:after="0" w:line="240" w:lineRule="auto"/>
              <w:rPr>
                <w:rFonts w:ascii="Arial" w:eastAsia="Times New Roman" w:hAnsi="Arial" w:cs="Arial"/>
                <w:kern w:val="0"/>
                <w:lang w:eastAsia="en-GB"/>
                <w14:ligatures w14:val="none"/>
              </w:rPr>
            </w:pPr>
          </w:p>
        </w:tc>
        <w:tc>
          <w:tcPr>
            <w:tcW w:w="0" w:type="auto"/>
            <w:vAlign w:val="center"/>
          </w:tcPr>
          <w:p w14:paraId="5A5811F6" w14:textId="3C14BFAC" w:rsidR="00400763" w:rsidRPr="00400763" w:rsidRDefault="00400763" w:rsidP="00400763">
            <w:pPr>
              <w:spacing w:after="0" w:line="240" w:lineRule="auto"/>
              <w:rPr>
                <w:rFonts w:ascii="Arial" w:eastAsia="Times New Roman" w:hAnsi="Arial" w:cs="Arial"/>
                <w:kern w:val="0"/>
                <w:lang w:eastAsia="en-GB"/>
                <w14:ligatures w14:val="none"/>
              </w:rPr>
            </w:pPr>
          </w:p>
        </w:tc>
        <w:tc>
          <w:tcPr>
            <w:tcW w:w="0" w:type="auto"/>
            <w:vAlign w:val="center"/>
          </w:tcPr>
          <w:p w14:paraId="7FB602D9" w14:textId="4ECD7BD7" w:rsidR="00400763" w:rsidRPr="00400763" w:rsidRDefault="00400763" w:rsidP="00400763">
            <w:pPr>
              <w:spacing w:after="0" w:line="240" w:lineRule="auto"/>
              <w:rPr>
                <w:rFonts w:ascii="Arial" w:eastAsia="Times New Roman" w:hAnsi="Arial" w:cs="Arial"/>
                <w:kern w:val="0"/>
                <w:lang w:eastAsia="en-GB"/>
                <w14:ligatures w14:val="none"/>
              </w:rPr>
            </w:pPr>
          </w:p>
        </w:tc>
        <w:tc>
          <w:tcPr>
            <w:tcW w:w="0" w:type="auto"/>
            <w:vAlign w:val="center"/>
          </w:tcPr>
          <w:p w14:paraId="04984209" w14:textId="58479FE2" w:rsidR="00400763" w:rsidRPr="00400763" w:rsidRDefault="00400763" w:rsidP="00400763">
            <w:pPr>
              <w:spacing w:after="0" w:line="240" w:lineRule="auto"/>
              <w:rPr>
                <w:rFonts w:ascii="Arial" w:eastAsia="Times New Roman" w:hAnsi="Arial" w:cs="Arial"/>
                <w:kern w:val="0"/>
                <w:lang w:eastAsia="en-GB"/>
                <w14:ligatures w14:val="none"/>
              </w:rPr>
            </w:pPr>
          </w:p>
        </w:tc>
      </w:tr>
      <w:tr w:rsidR="007759ED" w:rsidRPr="00400763" w14:paraId="69C53C9E" w14:textId="77777777" w:rsidTr="0073683B">
        <w:trPr>
          <w:tblCellSpacing w:w="15" w:type="dxa"/>
        </w:trPr>
        <w:tc>
          <w:tcPr>
            <w:tcW w:w="0" w:type="auto"/>
            <w:vAlign w:val="center"/>
          </w:tcPr>
          <w:p w14:paraId="47A21B70" w14:textId="762663A5" w:rsidR="00400763" w:rsidRPr="00400763" w:rsidRDefault="00400763" w:rsidP="00400763">
            <w:pPr>
              <w:spacing w:after="0" w:line="240" w:lineRule="auto"/>
              <w:rPr>
                <w:rFonts w:ascii="Arial" w:eastAsia="Times New Roman" w:hAnsi="Arial" w:cs="Arial"/>
                <w:kern w:val="0"/>
                <w:lang w:eastAsia="en-GB"/>
                <w14:ligatures w14:val="none"/>
              </w:rPr>
            </w:pPr>
          </w:p>
        </w:tc>
        <w:tc>
          <w:tcPr>
            <w:tcW w:w="0" w:type="auto"/>
            <w:vAlign w:val="center"/>
          </w:tcPr>
          <w:p w14:paraId="310370C7" w14:textId="4E7B9595" w:rsidR="00400763" w:rsidRPr="00400763" w:rsidRDefault="00400763" w:rsidP="00400763">
            <w:pPr>
              <w:spacing w:after="0" w:line="240" w:lineRule="auto"/>
              <w:rPr>
                <w:rFonts w:ascii="Arial" w:eastAsia="Times New Roman" w:hAnsi="Arial" w:cs="Arial"/>
                <w:kern w:val="0"/>
                <w:lang w:eastAsia="en-GB"/>
                <w14:ligatures w14:val="none"/>
              </w:rPr>
            </w:pPr>
          </w:p>
        </w:tc>
        <w:tc>
          <w:tcPr>
            <w:tcW w:w="0" w:type="auto"/>
            <w:vAlign w:val="center"/>
          </w:tcPr>
          <w:p w14:paraId="6C0A5B01" w14:textId="4F1E0A3D" w:rsidR="00400763" w:rsidRPr="00400763" w:rsidRDefault="00400763" w:rsidP="00400763">
            <w:pPr>
              <w:spacing w:after="0" w:line="240" w:lineRule="auto"/>
              <w:rPr>
                <w:rFonts w:ascii="Arial" w:eastAsia="Times New Roman" w:hAnsi="Arial" w:cs="Arial"/>
                <w:kern w:val="0"/>
                <w:lang w:eastAsia="en-GB"/>
                <w14:ligatures w14:val="none"/>
              </w:rPr>
            </w:pPr>
          </w:p>
        </w:tc>
        <w:tc>
          <w:tcPr>
            <w:tcW w:w="0" w:type="auto"/>
            <w:vAlign w:val="center"/>
          </w:tcPr>
          <w:p w14:paraId="645237F6" w14:textId="27F7239D" w:rsidR="00400763" w:rsidRPr="00400763" w:rsidRDefault="00400763" w:rsidP="00400763">
            <w:pPr>
              <w:spacing w:after="0" w:line="240" w:lineRule="auto"/>
              <w:rPr>
                <w:rFonts w:ascii="Arial" w:eastAsia="Times New Roman" w:hAnsi="Arial" w:cs="Arial"/>
                <w:kern w:val="0"/>
                <w:lang w:eastAsia="en-GB"/>
                <w14:ligatures w14:val="none"/>
              </w:rPr>
            </w:pPr>
          </w:p>
        </w:tc>
        <w:tc>
          <w:tcPr>
            <w:tcW w:w="0" w:type="auto"/>
            <w:vAlign w:val="center"/>
          </w:tcPr>
          <w:p w14:paraId="4139C949" w14:textId="7CCEE369" w:rsidR="00400763" w:rsidRPr="00400763" w:rsidRDefault="00400763" w:rsidP="00400763">
            <w:pPr>
              <w:spacing w:after="0" w:line="240" w:lineRule="auto"/>
              <w:rPr>
                <w:rFonts w:ascii="Arial" w:eastAsia="Times New Roman" w:hAnsi="Arial" w:cs="Arial"/>
                <w:kern w:val="0"/>
                <w:lang w:eastAsia="en-GB"/>
                <w14:ligatures w14:val="none"/>
              </w:rPr>
            </w:pPr>
          </w:p>
        </w:tc>
        <w:tc>
          <w:tcPr>
            <w:tcW w:w="0" w:type="auto"/>
            <w:vAlign w:val="center"/>
          </w:tcPr>
          <w:p w14:paraId="60EBC517" w14:textId="449E0266" w:rsidR="00400763" w:rsidRPr="00400763" w:rsidRDefault="00400763" w:rsidP="00400763">
            <w:pPr>
              <w:spacing w:after="0" w:line="240" w:lineRule="auto"/>
              <w:rPr>
                <w:rFonts w:ascii="Arial" w:eastAsia="Times New Roman" w:hAnsi="Arial" w:cs="Arial"/>
                <w:kern w:val="0"/>
                <w:lang w:eastAsia="en-GB"/>
                <w14:ligatures w14:val="none"/>
              </w:rPr>
            </w:pPr>
          </w:p>
        </w:tc>
        <w:tc>
          <w:tcPr>
            <w:tcW w:w="0" w:type="auto"/>
            <w:vAlign w:val="center"/>
          </w:tcPr>
          <w:p w14:paraId="4FF4FFD0" w14:textId="06BABAD4" w:rsidR="00400763" w:rsidRPr="00400763" w:rsidRDefault="00400763" w:rsidP="00400763">
            <w:pPr>
              <w:spacing w:after="0" w:line="240" w:lineRule="auto"/>
              <w:rPr>
                <w:rFonts w:ascii="Arial" w:eastAsia="Times New Roman" w:hAnsi="Arial" w:cs="Arial"/>
                <w:kern w:val="0"/>
                <w:lang w:eastAsia="en-GB"/>
                <w14:ligatures w14:val="none"/>
              </w:rPr>
            </w:pPr>
          </w:p>
        </w:tc>
        <w:tc>
          <w:tcPr>
            <w:tcW w:w="0" w:type="auto"/>
            <w:vAlign w:val="center"/>
          </w:tcPr>
          <w:p w14:paraId="05069D17" w14:textId="3D47CE1B" w:rsidR="00400763" w:rsidRPr="00400763" w:rsidRDefault="00400763" w:rsidP="00400763">
            <w:pPr>
              <w:spacing w:after="0" w:line="240" w:lineRule="auto"/>
              <w:rPr>
                <w:rFonts w:ascii="Arial" w:eastAsia="Times New Roman" w:hAnsi="Arial" w:cs="Arial"/>
                <w:kern w:val="0"/>
                <w:lang w:eastAsia="en-GB"/>
                <w14:ligatures w14:val="none"/>
              </w:rPr>
            </w:pPr>
          </w:p>
        </w:tc>
      </w:tr>
    </w:tbl>
    <w:p w14:paraId="5D56BA19" w14:textId="77777777" w:rsidR="00AB728A" w:rsidRDefault="00AB728A" w:rsidP="00763F4F">
      <w:pPr>
        <w:pStyle w:val="Heading2"/>
        <w:rPr>
          <w:rFonts w:ascii="Arial" w:eastAsia="MS Gothic" w:hAnsi="Arial" w:cs="Arial"/>
          <w:color w:val="000000" w:themeColor="text1"/>
          <w:kern w:val="0"/>
          <w:lang w:val="en-US"/>
          <w14:ligatures w14:val="none"/>
        </w:rPr>
      </w:pPr>
    </w:p>
    <w:p w14:paraId="11B5E073" w14:textId="3ADDF070" w:rsidR="003056D0" w:rsidRPr="008F69C8" w:rsidRDefault="00AB728A" w:rsidP="00763F4F">
      <w:pPr>
        <w:pStyle w:val="Heading2"/>
        <w:rPr>
          <w:rFonts w:ascii="Arial" w:eastAsia="MS Gothic" w:hAnsi="Arial" w:cs="Arial"/>
          <w:b/>
          <w:bCs/>
          <w:color w:val="000000" w:themeColor="text1"/>
          <w:kern w:val="0"/>
          <w:lang w:val="en-US"/>
          <w14:ligatures w14:val="none"/>
        </w:rPr>
      </w:pPr>
      <w:r w:rsidRPr="008F69C8">
        <w:rPr>
          <w:rFonts w:ascii="Arial" w:eastAsia="MS Gothic" w:hAnsi="Arial" w:cs="Arial"/>
          <w:b/>
          <w:bCs/>
          <w:color w:val="000000" w:themeColor="text1"/>
          <w:kern w:val="0"/>
          <w:lang w:val="en-US"/>
          <w14:ligatures w14:val="none"/>
        </w:rPr>
        <w:t>Strengths</w:t>
      </w:r>
      <w:r w:rsidR="00136674" w:rsidRPr="008F69C8">
        <w:rPr>
          <w:rFonts w:ascii="Arial" w:eastAsia="MS Gothic" w:hAnsi="Arial" w:cs="Arial"/>
          <w:b/>
          <w:bCs/>
          <w:color w:val="000000" w:themeColor="text1"/>
          <w:kern w:val="0"/>
          <w:lang w:val="en-US"/>
          <w14:ligatures w14:val="none"/>
        </w:rPr>
        <w:t xml:space="preserve"> and weakness</w:t>
      </w:r>
      <w:r w:rsidR="00AB5491" w:rsidRPr="008F69C8">
        <w:rPr>
          <w:rFonts w:ascii="Arial" w:eastAsia="MS Gothic" w:hAnsi="Arial" w:cs="Arial"/>
          <w:b/>
          <w:bCs/>
          <w:color w:val="000000" w:themeColor="text1"/>
          <w:kern w:val="0"/>
          <w:lang w:val="en-US"/>
          <w14:ligatures w14:val="none"/>
        </w:rPr>
        <w:t>es</w:t>
      </w:r>
    </w:p>
    <w:p w14:paraId="27C1F7A3" w14:textId="4D9ADFE7" w:rsidR="00F47590" w:rsidRDefault="006E3766" w:rsidP="00763F4F">
      <w:pPr>
        <w:pStyle w:val="Heading2"/>
        <w:rPr>
          <w:rFonts w:ascii="Arial" w:eastAsia="MS Gothic" w:hAnsi="Arial" w:cs="Arial"/>
          <w:b/>
          <w:bCs/>
          <w:color w:val="000000" w:themeColor="text1"/>
          <w:kern w:val="0"/>
          <w:sz w:val="22"/>
          <w:szCs w:val="22"/>
          <w:lang w:val="en-US"/>
          <w14:ligatures w14:val="none"/>
        </w:rPr>
      </w:pPr>
      <w:r w:rsidRPr="006E3766">
        <w:rPr>
          <w:rFonts w:ascii="Arial" w:eastAsia="MS Gothic" w:hAnsi="Arial" w:cs="Arial"/>
          <w:color w:val="000000" w:themeColor="text1"/>
          <w:kern w:val="0"/>
          <w:sz w:val="22"/>
          <w:szCs w:val="22"/>
          <w:lang w:val="en-US"/>
          <w14:ligatures w14:val="none"/>
        </w:rPr>
        <w:t xml:space="preserve">Lloyds Banking Group demonstrates several internal strengths that provide a solid foundation for its office consolidation program. The organisation benefits from a strong brand reputation and high levels of customer trust, built over centuries of service in the UK financial sector (SWOT &amp; PESTLE, 2025). This reputation is reinforced by its financial stability and extensive resources, which enable the Group to fund large-scale transformation initiatives without compromising operational resilience (SWOT Analysis, 2025). Furthermore, Lloyds possesses experienced leadership and project management capability, allowing it to manage complex </w:t>
      </w:r>
      <w:r w:rsidR="008665CD" w:rsidRPr="006E3766">
        <w:rPr>
          <w:rFonts w:ascii="Arial" w:eastAsia="MS Gothic" w:hAnsi="Arial" w:cs="Arial"/>
          <w:color w:val="000000" w:themeColor="text1"/>
          <w:kern w:val="0"/>
          <w:sz w:val="22"/>
          <w:szCs w:val="22"/>
          <w:lang w:val="en-US"/>
          <w14:ligatures w14:val="none"/>
        </w:rPr>
        <w:t>programs</w:t>
      </w:r>
      <w:r w:rsidRPr="006E3766">
        <w:rPr>
          <w:rFonts w:ascii="Arial" w:eastAsia="MS Gothic" w:hAnsi="Arial" w:cs="Arial"/>
          <w:color w:val="000000" w:themeColor="text1"/>
          <w:kern w:val="0"/>
          <w:sz w:val="22"/>
          <w:szCs w:val="22"/>
          <w:lang w:val="en-US"/>
          <w14:ligatures w14:val="none"/>
        </w:rPr>
        <w:t xml:space="preserve"> effectively. The presence of clear governance frameworks, including the RACI model and stakeholder engagement strategies, strengthens accountability and ensures alignment across diverse functions (MBA Skool,</w:t>
      </w:r>
      <w:r w:rsidRPr="006E3766">
        <w:rPr>
          <w:rFonts w:ascii="Arial" w:eastAsia="MS Gothic" w:hAnsi="Arial" w:cs="Arial"/>
          <w:b/>
          <w:bCs/>
          <w:color w:val="000000" w:themeColor="text1"/>
          <w:kern w:val="0"/>
          <w:lang w:val="en-US"/>
          <w14:ligatures w14:val="none"/>
        </w:rPr>
        <w:t xml:space="preserve"> </w:t>
      </w:r>
      <w:r w:rsidRPr="004B7BE0">
        <w:rPr>
          <w:rFonts w:ascii="Arial" w:eastAsia="MS Gothic" w:hAnsi="Arial" w:cs="Arial"/>
          <w:color w:val="000000" w:themeColor="text1"/>
          <w:kern w:val="0"/>
          <w:sz w:val="22"/>
          <w:szCs w:val="22"/>
          <w:lang w:val="en-US"/>
          <w14:ligatures w14:val="none"/>
        </w:rPr>
        <w:t>2025</w:t>
      </w:r>
      <w:r w:rsidRPr="004B7BE0">
        <w:rPr>
          <w:rFonts w:ascii="Arial" w:eastAsia="MS Gothic" w:hAnsi="Arial" w:cs="Arial"/>
          <w:b/>
          <w:bCs/>
          <w:color w:val="000000" w:themeColor="text1"/>
          <w:kern w:val="0"/>
          <w:sz w:val="22"/>
          <w:szCs w:val="22"/>
          <w:lang w:val="en-US"/>
          <w14:ligatures w14:val="none"/>
        </w:rPr>
        <w:t>).</w:t>
      </w:r>
    </w:p>
    <w:p w14:paraId="723C362C" w14:textId="0A336626" w:rsidR="00EB5D02" w:rsidRPr="00EB5D02" w:rsidRDefault="00F47590" w:rsidP="00EB5D02">
      <w:pPr>
        <w:pStyle w:val="Heading2"/>
        <w:rPr>
          <w:rFonts w:ascii="Arial" w:eastAsia="MS Gothic" w:hAnsi="Arial" w:cs="Arial"/>
          <w:color w:val="000000" w:themeColor="text1"/>
          <w:kern w:val="0"/>
          <w:sz w:val="22"/>
          <w:szCs w:val="22"/>
          <w:lang w:val="en-US"/>
          <w14:ligatures w14:val="none"/>
        </w:rPr>
      </w:pPr>
      <w:r w:rsidRPr="00F47590">
        <w:t xml:space="preserve"> </w:t>
      </w:r>
      <w:r w:rsidRPr="00F47590">
        <w:rPr>
          <w:rFonts w:ascii="Arial" w:eastAsia="MS Gothic" w:hAnsi="Arial" w:cs="Arial"/>
          <w:color w:val="000000" w:themeColor="text1"/>
          <w:kern w:val="0"/>
          <w:sz w:val="22"/>
          <w:szCs w:val="22"/>
          <w:lang w:val="en-US"/>
          <w14:ligatures w14:val="none"/>
        </w:rPr>
        <w:t>Despite these advantages, several weaknesses present challenges to the consolidation effort. A key concern is employee resistance to change, particularly regarding relocation and hybrid working policies, which may undermine engagement and morale (Students Assignment Help, 2025). The Group also faces the burden of legacy systems and infrastructure, which can slow integration with modern office setups and hinder digital transformation (Osum, 2024). In addition, communication gaps between departments risk creating inefficiencies and misalignment during the transition. Finally, the consolidation process is likely to cause short-term disruption to productivity, requiring careful planning and mitigation to minimise operational impact (SWOT Analysis, 2025).</w:t>
      </w:r>
      <w:r w:rsidR="00EB5D02" w:rsidRPr="00EB5D02">
        <w:t xml:space="preserve"> </w:t>
      </w:r>
      <w:r w:rsidR="00EB5D02" w:rsidRPr="00EB5D02">
        <w:rPr>
          <w:rFonts w:ascii="Arial" w:eastAsia="MS Gothic" w:hAnsi="Arial" w:cs="Arial"/>
          <w:color w:val="000000" w:themeColor="text1"/>
          <w:kern w:val="0"/>
          <w:sz w:val="22"/>
          <w:szCs w:val="22"/>
          <w:lang w:val="en-US"/>
          <w14:ligatures w14:val="none"/>
        </w:rPr>
        <w:t>Weaknesses</w:t>
      </w:r>
    </w:p>
    <w:p w14:paraId="0AF72A0D" w14:textId="77777777" w:rsidR="00EB5D02" w:rsidRPr="00EB5D02" w:rsidRDefault="00EB5D02" w:rsidP="00EB5D02">
      <w:pPr>
        <w:pStyle w:val="Heading2"/>
        <w:rPr>
          <w:rFonts w:ascii="Arial" w:eastAsia="MS Gothic" w:hAnsi="Arial" w:cs="Arial"/>
          <w:color w:val="000000" w:themeColor="text1"/>
          <w:kern w:val="0"/>
          <w:sz w:val="22"/>
          <w:szCs w:val="22"/>
          <w:lang w:val="en-US"/>
          <w14:ligatures w14:val="none"/>
        </w:rPr>
      </w:pPr>
      <w:r w:rsidRPr="00EB5D02">
        <w:rPr>
          <w:rFonts w:ascii="Arial" w:eastAsia="MS Gothic" w:hAnsi="Arial" w:cs="Arial"/>
          <w:color w:val="000000" w:themeColor="text1"/>
          <w:kern w:val="0"/>
          <w:sz w:val="22"/>
          <w:szCs w:val="22"/>
          <w:lang w:val="en-US"/>
          <w14:ligatures w14:val="none"/>
        </w:rPr>
        <w:t>Despite these strengths, Lloyds faces several internal weaknesses that constrain its strategic agility. A key limitation is its legacy IT infrastructure, which slows innovation and integration with modern systems, creating operational inefficiencies (SWOT Analysis, 2025). In addition, the Group has been criticised for limited international presence, with operations concentrated primarily in the UK, leaving it vulnerable to domestic economic fluctuations (MBA Skool, 2025).</w:t>
      </w:r>
    </w:p>
    <w:p w14:paraId="639D5183" w14:textId="573CDD26" w:rsidR="00432C3C" w:rsidRPr="00432C3C" w:rsidRDefault="00EB5D02" w:rsidP="00432C3C">
      <w:pPr>
        <w:pStyle w:val="Heading2"/>
        <w:rPr>
          <w:rFonts w:ascii="Arial" w:eastAsia="MS Gothic" w:hAnsi="Arial" w:cs="Arial"/>
          <w:color w:val="000000" w:themeColor="text1"/>
          <w:kern w:val="0"/>
          <w:sz w:val="22"/>
          <w:szCs w:val="22"/>
          <w:lang w:val="en-US"/>
          <w14:ligatures w14:val="none"/>
        </w:rPr>
      </w:pPr>
      <w:r w:rsidRPr="00EB5D02">
        <w:rPr>
          <w:rFonts w:ascii="Arial" w:eastAsia="MS Gothic" w:hAnsi="Arial" w:cs="Arial"/>
          <w:color w:val="000000" w:themeColor="text1"/>
          <w:kern w:val="0"/>
          <w:sz w:val="22"/>
          <w:szCs w:val="22"/>
          <w:lang w:val="en-US"/>
          <w14:ligatures w14:val="none"/>
        </w:rPr>
        <w:t>Another weakness is margin compression and profitability challenges, driven by low interest rates and intense competition from digital</w:t>
      </w:r>
      <w:r w:rsidRPr="00EB5D02">
        <w:rPr>
          <w:rFonts w:ascii="Cambria Math" w:eastAsia="MS Gothic" w:hAnsi="Cambria Math" w:cs="Cambria Math"/>
          <w:color w:val="000000" w:themeColor="text1"/>
          <w:kern w:val="0"/>
          <w:sz w:val="22"/>
          <w:szCs w:val="22"/>
          <w:lang w:val="en-US"/>
          <w14:ligatures w14:val="none"/>
        </w:rPr>
        <w:t>‑</w:t>
      </w:r>
      <w:r w:rsidRPr="00EB5D02">
        <w:rPr>
          <w:rFonts w:ascii="Arial" w:eastAsia="MS Gothic" w:hAnsi="Arial" w:cs="Arial"/>
          <w:color w:val="000000" w:themeColor="text1"/>
          <w:kern w:val="0"/>
          <w:sz w:val="22"/>
          <w:szCs w:val="22"/>
          <w:lang w:val="en-US"/>
          <w14:ligatures w14:val="none"/>
        </w:rPr>
        <w:t>native banks and fintech firms (SWOT Analysis, 2025). Lloyds has also faced reputational risks from past regulatory fines and customer complaints, particularly around mis</w:t>
      </w:r>
      <w:r w:rsidRPr="00EB5D02">
        <w:rPr>
          <w:rFonts w:ascii="Cambria Math" w:eastAsia="MS Gothic" w:hAnsi="Cambria Math" w:cs="Cambria Math"/>
          <w:color w:val="000000" w:themeColor="text1"/>
          <w:kern w:val="0"/>
          <w:sz w:val="22"/>
          <w:szCs w:val="22"/>
          <w:lang w:val="en-US"/>
          <w14:ligatures w14:val="none"/>
        </w:rPr>
        <w:t>‑</w:t>
      </w:r>
      <w:r w:rsidRPr="00EB5D02">
        <w:rPr>
          <w:rFonts w:ascii="Arial" w:eastAsia="MS Gothic" w:hAnsi="Arial" w:cs="Arial"/>
          <w:color w:val="000000" w:themeColor="text1"/>
          <w:kern w:val="0"/>
          <w:sz w:val="22"/>
          <w:szCs w:val="22"/>
          <w:lang w:val="en-US"/>
          <w14:ligatures w14:val="none"/>
        </w:rPr>
        <w:t>selling scandals, which continue to affect stakeholder perceptions (SWOT &amp; PESTLE, 2025). Moreover, employee resistance to change during digital and organisational transitions remains a challenge, potentially undermining productivity and morale (Breakout Tools, 2025). Finally, the Group’s slow pace of innovation compared to fintech competitors highlights a structural weakness, as its heritage and scale, while advantageous, can also hinder rapid adaptation (SWOT Analysis, 2025).</w:t>
      </w:r>
      <w:r w:rsidR="00432C3C" w:rsidRPr="00432C3C">
        <w:t xml:space="preserve"> </w:t>
      </w:r>
      <w:r w:rsidR="00432C3C" w:rsidRPr="00432C3C">
        <w:rPr>
          <w:rFonts w:ascii="Arial" w:eastAsia="MS Gothic" w:hAnsi="Arial" w:cs="Arial"/>
          <w:color w:val="000000" w:themeColor="text1"/>
          <w:kern w:val="0"/>
          <w:sz w:val="22"/>
          <w:szCs w:val="22"/>
          <w:lang w:val="en-US"/>
          <w14:ligatures w14:val="none"/>
        </w:rPr>
        <w:t>Strengths</w:t>
      </w:r>
    </w:p>
    <w:p w14:paraId="254CEDFA" w14:textId="77777777" w:rsidR="00432C3C" w:rsidRPr="00432C3C" w:rsidRDefault="00432C3C" w:rsidP="00432C3C">
      <w:pPr>
        <w:pStyle w:val="Heading2"/>
        <w:rPr>
          <w:rFonts w:ascii="Arial" w:eastAsia="MS Gothic" w:hAnsi="Arial" w:cs="Arial"/>
          <w:color w:val="000000" w:themeColor="text1"/>
          <w:kern w:val="0"/>
          <w:sz w:val="22"/>
          <w:szCs w:val="22"/>
          <w:lang w:val="en-US"/>
          <w14:ligatures w14:val="none"/>
        </w:rPr>
      </w:pPr>
      <w:r w:rsidRPr="00432C3C">
        <w:rPr>
          <w:rFonts w:ascii="Arial" w:eastAsia="MS Gothic" w:hAnsi="Arial" w:cs="Arial"/>
          <w:color w:val="000000" w:themeColor="text1"/>
          <w:kern w:val="0"/>
          <w:sz w:val="22"/>
          <w:szCs w:val="22"/>
          <w:lang w:val="en-US"/>
          <w14:ligatures w14:val="none"/>
        </w:rPr>
        <w:t>Lloyds Banking Group possesses a number of internal strengths that reinforce its competitive position in the UK financial services sector. First, the organisation benefits from strong brand recognition and customer trust, cultivated over more than 250 years of service (MBA Skool, 2025). This heritage provides Lloyds with a loyal customer base and a reputation for reliability. Second, the Group maintains financial stability and scale, serving approximately 30 million customers and employing over 63,000 staff, which enables it to leverage economies of scale and sustain resilience in volatile markets (SWOT &amp; PESTLE, 2025).</w:t>
      </w:r>
    </w:p>
    <w:p w14:paraId="3307F485" w14:textId="45FA7D8F" w:rsidR="003056D0" w:rsidRDefault="00432C3C" w:rsidP="00432C3C">
      <w:pPr>
        <w:pStyle w:val="Heading2"/>
        <w:rPr>
          <w:rFonts w:ascii="Arial" w:eastAsia="MS Gothic" w:hAnsi="Arial" w:cs="Arial"/>
          <w:color w:val="000000" w:themeColor="text1"/>
          <w:kern w:val="0"/>
          <w:sz w:val="22"/>
          <w:szCs w:val="22"/>
          <w:lang w:val="en-US"/>
          <w14:ligatures w14:val="none"/>
        </w:rPr>
      </w:pPr>
      <w:r w:rsidRPr="00432C3C">
        <w:rPr>
          <w:rFonts w:ascii="Arial" w:eastAsia="MS Gothic" w:hAnsi="Arial" w:cs="Arial"/>
          <w:color w:val="000000" w:themeColor="text1"/>
          <w:kern w:val="0"/>
          <w:sz w:val="22"/>
          <w:szCs w:val="22"/>
          <w:lang w:val="en-US"/>
          <w14:ligatures w14:val="none"/>
        </w:rPr>
        <w:lastRenderedPageBreak/>
        <w:t>Another strength lies in Lloyds’ digital transformation strategy, which has positioned the bank as a leading digital</w:t>
      </w:r>
      <w:r w:rsidRPr="00432C3C">
        <w:rPr>
          <w:rFonts w:ascii="Cambria Math" w:eastAsia="MS Gothic" w:hAnsi="Cambria Math" w:cs="Cambria Math"/>
          <w:color w:val="000000" w:themeColor="text1"/>
          <w:kern w:val="0"/>
          <w:sz w:val="22"/>
          <w:szCs w:val="22"/>
          <w:lang w:val="en-US"/>
          <w14:ligatures w14:val="none"/>
        </w:rPr>
        <w:t>‑</w:t>
      </w:r>
      <w:r w:rsidRPr="00432C3C">
        <w:rPr>
          <w:rFonts w:ascii="Arial" w:eastAsia="MS Gothic" w:hAnsi="Arial" w:cs="Arial"/>
          <w:color w:val="000000" w:themeColor="text1"/>
          <w:kern w:val="0"/>
          <w:sz w:val="22"/>
          <w:szCs w:val="22"/>
          <w:lang w:val="en-US"/>
          <w14:ligatures w14:val="none"/>
        </w:rPr>
        <w:t xml:space="preserve">first provider in the UK. Its investment in mobile banking platforms and fintech partnerships has enhanced customer experience and operational efficiency (SWOT Analysis, 2025). Furthermore, Lloyds demonstrates commitment to sustainability and ESG initiatives, including carbon reduction targets and community investment </w:t>
      </w:r>
      <w:r w:rsidR="00A871DD" w:rsidRPr="00432C3C">
        <w:rPr>
          <w:rFonts w:ascii="Arial" w:eastAsia="MS Gothic" w:hAnsi="Arial" w:cs="Arial"/>
          <w:color w:val="000000" w:themeColor="text1"/>
          <w:kern w:val="0"/>
          <w:sz w:val="22"/>
          <w:szCs w:val="22"/>
          <w:lang w:val="en-US"/>
          <w14:ligatures w14:val="none"/>
        </w:rPr>
        <w:t>programs</w:t>
      </w:r>
      <w:r w:rsidRPr="00432C3C">
        <w:rPr>
          <w:rFonts w:ascii="Arial" w:eastAsia="MS Gothic" w:hAnsi="Arial" w:cs="Arial"/>
          <w:color w:val="000000" w:themeColor="text1"/>
          <w:kern w:val="0"/>
          <w:sz w:val="22"/>
          <w:szCs w:val="22"/>
          <w:lang w:val="en-US"/>
          <w14:ligatures w14:val="none"/>
        </w:rPr>
        <w:t>, which strengthen its corporate reputation and align with stakeholder expectations (Quaintel Research, 2025). Finally, the Group’s diversified portfolio of services, spanning retail banking, commercial banking, insurance, and wealth management, reduces reliance on any single revenue stream and enhances long</w:t>
      </w:r>
      <w:r w:rsidRPr="00432C3C">
        <w:rPr>
          <w:rFonts w:ascii="Cambria Math" w:eastAsia="MS Gothic" w:hAnsi="Cambria Math" w:cs="Cambria Math"/>
          <w:color w:val="000000" w:themeColor="text1"/>
          <w:kern w:val="0"/>
          <w:sz w:val="22"/>
          <w:szCs w:val="22"/>
          <w:lang w:val="en-US"/>
          <w14:ligatures w14:val="none"/>
        </w:rPr>
        <w:t>‑</w:t>
      </w:r>
      <w:r w:rsidRPr="00432C3C">
        <w:rPr>
          <w:rFonts w:ascii="Arial" w:eastAsia="MS Gothic" w:hAnsi="Arial" w:cs="Arial"/>
          <w:color w:val="000000" w:themeColor="text1"/>
          <w:kern w:val="0"/>
          <w:sz w:val="22"/>
          <w:szCs w:val="22"/>
          <w:lang w:val="en-US"/>
          <w14:ligatures w14:val="none"/>
        </w:rPr>
        <w:t>term stability (Breakout Tools, 2025).</w:t>
      </w:r>
    </w:p>
    <w:p w14:paraId="47627987" w14:textId="77777777" w:rsidR="00EB5D02" w:rsidRPr="00EB5D02" w:rsidRDefault="00EB5D02" w:rsidP="00EB5D02">
      <w:pPr>
        <w:rPr>
          <w:lang w:val="en-US"/>
        </w:rPr>
      </w:pPr>
    </w:p>
    <w:p w14:paraId="7EA2EC09" w14:textId="62413756" w:rsidR="005D0A46" w:rsidRPr="00B1614D" w:rsidRDefault="005D0A46" w:rsidP="005D0A46">
      <w:pPr>
        <w:rPr>
          <w:rFonts w:ascii="Arial" w:hAnsi="Arial" w:cs="Arial"/>
          <w:b/>
          <w:bCs/>
          <w:sz w:val="32"/>
          <w:szCs w:val="32"/>
          <w:lang w:val="en-US"/>
        </w:rPr>
      </w:pPr>
      <w:r w:rsidRPr="00B1614D">
        <w:rPr>
          <w:rFonts w:ascii="Arial" w:hAnsi="Arial" w:cs="Arial"/>
          <w:b/>
          <w:bCs/>
          <w:sz w:val="32"/>
          <w:szCs w:val="32"/>
          <w:lang w:val="en-US"/>
        </w:rPr>
        <w:t>Critical Evaluation</w:t>
      </w:r>
    </w:p>
    <w:p w14:paraId="4B4614DF" w14:textId="0277F37D" w:rsidR="005D0A46" w:rsidRPr="005D0A46" w:rsidRDefault="005D0A46" w:rsidP="005D0A46">
      <w:pPr>
        <w:rPr>
          <w:rFonts w:ascii="Arial" w:hAnsi="Arial" w:cs="Arial"/>
          <w:lang w:val="en-US"/>
        </w:rPr>
      </w:pPr>
      <w:r w:rsidRPr="005D0A46">
        <w:rPr>
          <w:rFonts w:ascii="Arial" w:hAnsi="Arial" w:cs="Arial"/>
          <w:lang w:val="en-US"/>
        </w:rPr>
        <w:t xml:space="preserve">Lloyds Banking Group demonstrates both strengths and limitations in its approach to stakeholder engagement. A notable strength lies in its proactive communication with customers and regulators, which has been shown to reduce risk exposure and enhance institutional trust (SWOT &amp; PESTLE, 2025). This structured engagement strategy reflects the Group’s commitment to transparency and regulatory compliance, positioning it </w:t>
      </w:r>
      <w:r w:rsidRPr="005D0A46">
        <w:rPr>
          <w:rFonts w:ascii="Arial" w:hAnsi="Arial" w:cs="Arial"/>
          <w:lang w:val="en-US"/>
        </w:rPr>
        <w:t>favorably</w:t>
      </w:r>
      <w:r w:rsidRPr="005D0A46">
        <w:rPr>
          <w:rFonts w:ascii="Arial" w:hAnsi="Arial" w:cs="Arial"/>
          <w:lang w:val="en-US"/>
        </w:rPr>
        <w:t xml:space="preserve"> within the UK financial services sector.</w:t>
      </w:r>
    </w:p>
    <w:p w14:paraId="2EB01A64" w14:textId="11A03B82" w:rsidR="00157587" w:rsidRPr="00157587" w:rsidRDefault="005D0A46" w:rsidP="00157587">
      <w:pPr>
        <w:rPr>
          <w:rFonts w:ascii="Arial" w:hAnsi="Arial" w:cs="Arial"/>
          <w:lang w:val="en-US"/>
        </w:rPr>
      </w:pPr>
      <w:r w:rsidRPr="005D0A46">
        <w:rPr>
          <w:rFonts w:ascii="Arial" w:hAnsi="Arial" w:cs="Arial"/>
          <w:lang w:val="en-US"/>
        </w:rPr>
        <w:t>However, challenges remain in ensuring that all stakeholders experience equitable benefits. For instance, smaller business customers have criticised the bank for insufficient support during digital transitions, highlighting a gap in stakeholder inclusivity (Students Assignment Help, 2025). This suggests that while Lloyds has successfully engaged primary stakeholders, secondary groups may perceive limited value, thereby weakening overall stakeholder satisfaction.</w:t>
      </w:r>
      <w:r w:rsidR="00157587" w:rsidRPr="00157587">
        <w:t xml:space="preserve"> </w:t>
      </w:r>
      <w:r w:rsidR="00157587" w:rsidRPr="00157587">
        <w:rPr>
          <w:rFonts w:ascii="Arial" w:hAnsi="Arial" w:cs="Arial"/>
          <w:lang w:val="en-US"/>
        </w:rPr>
        <w:t>value, thereby weakening overall stakeholder satisfaction.</w:t>
      </w:r>
    </w:p>
    <w:p w14:paraId="34F1392F" w14:textId="40718608" w:rsidR="00157587" w:rsidRPr="00157587" w:rsidRDefault="00157587" w:rsidP="00157587">
      <w:pPr>
        <w:rPr>
          <w:rFonts w:ascii="Arial" w:hAnsi="Arial" w:cs="Arial"/>
          <w:lang w:val="en-US"/>
        </w:rPr>
      </w:pPr>
      <w:r w:rsidRPr="00157587">
        <w:rPr>
          <w:rFonts w:ascii="Arial" w:hAnsi="Arial" w:cs="Arial"/>
          <w:lang w:val="en-US"/>
        </w:rPr>
        <w:t>A comparative perspective further illustrates these dynamics. Public</w:t>
      </w:r>
      <w:r w:rsidRPr="00157587">
        <w:rPr>
          <w:rFonts w:ascii="Cambria Math" w:hAnsi="Cambria Math" w:cs="Cambria Math"/>
          <w:lang w:val="en-US"/>
        </w:rPr>
        <w:t>‑</w:t>
      </w:r>
      <w:r w:rsidRPr="00157587">
        <w:rPr>
          <w:rFonts w:ascii="Arial" w:hAnsi="Arial" w:cs="Arial"/>
          <w:lang w:val="en-US"/>
        </w:rPr>
        <w:t xml:space="preserve">sector projects such as the NHS National </w:t>
      </w:r>
      <w:r w:rsidRPr="00157587">
        <w:rPr>
          <w:rFonts w:ascii="Arial" w:hAnsi="Arial" w:cs="Arial"/>
          <w:lang w:val="en-US"/>
        </w:rPr>
        <w:t>Program</w:t>
      </w:r>
      <w:r w:rsidRPr="00157587">
        <w:rPr>
          <w:rFonts w:ascii="Arial" w:hAnsi="Arial" w:cs="Arial"/>
          <w:lang w:val="en-US"/>
        </w:rPr>
        <w:t xml:space="preserve"> for IT failed largely due to inadequate stakeholder engagement, resulting in cost overruns and eventual project abandonment (National Audit Office, 2011). In contrast, Lloyds demonstrates how private organisations can achieve greater success through structured strategies, clear accountability, and proactive communication. This comparison underscores the importance of governance frameworks in mitigating stakeholder risks and ensuring project sustainability.</w:t>
      </w:r>
    </w:p>
    <w:p w14:paraId="6DC94161" w14:textId="252B8529" w:rsidR="00CC1446" w:rsidRDefault="00157587" w:rsidP="00157587">
      <w:pPr>
        <w:rPr>
          <w:rFonts w:ascii="Arial" w:hAnsi="Arial" w:cs="Arial"/>
          <w:lang w:val="en-US"/>
        </w:rPr>
      </w:pPr>
      <w:r w:rsidRPr="00157587">
        <w:rPr>
          <w:rFonts w:ascii="Arial" w:hAnsi="Arial" w:cs="Arial"/>
          <w:lang w:val="en-US"/>
        </w:rPr>
        <w:t>Nevertheless, opportunities for improvement remain. Lloyds could enhance its stakeholder engagement by further involving secondary stakeholders such as community groups and local organisations, thereby addressing broader social impacts of its operations (Lloyds Banking Group, 2024). Such engagement would not only strengthen corporate social responsibility but also reinforce the Group’s reputation as a socially conscious institution.</w:t>
      </w:r>
    </w:p>
    <w:p w14:paraId="1FAEB326" w14:textId="77777777" w:rsidR="0014121D" w:rsidRDefault="00A31DDC" w:rsidP="00682952">
      <w:pPr>
        <w:rPr>
          <w:rFonts w:ascii="Arial" w:hAnsi="Arial" w:cs="Arial"/>
          <w:lang w:val="en-US"/>
        </w:rPr>
      </w:pPr>
      <w:r w:rsidRPr="00A31DDC">
        <w:rPr>
          <w:rFonts w:ascii="Arial" w:hAnsi="Arial" w:cs="Arial"/>
          <w:lang w:val="en-US"/>
        </w:rPr>
        <w:t>In summary, while Lloyds Banking Group exhibits strong stakeholder engagement practices, particularly with regulators and customers, the organisation must address gaps in inclusivity to ensure that all stakeholder groups derive meaningful benefits.</w:t>
      </w:r>
    </w:p>
    <w:p w14:paraId="54448EB9" w14:textId="14BC87B4" w:rsidR="00682952" w:rsidRPr="00682952" w:rsidRDefault="00A31DDC" w:rsidP="00682952">
      <w:pPr>
        <w:rPr>
          <w:rFonts w:ascii="Arial" w:hAnsi="Arial" w:cs="Arial"/>
          <w:lang w:val="en-US"/>
        </w:rPr>
      </w:pPr>
      <w:r w:rsidRPr="00A31DDC">
        <w:rPr>
          <w:rFonts w:ascii="Arial" w:hAnsi="Arial" w:cs="Arial"/>
          <w:lang w:val="en-US"/>
        </w:rPr>
        <w:t xml:space="preserve"> A more holistic approach would enhance resilience, mitigate reputational risks, and align the Group’s operations with broader societal expectations.</w:t>
      </w:r>
      <w:r w:rsidR="00682952" w:rsidRPr="00682952">
        <w:t xml:space="preserve"> </w:t>
      </w:r>
      <w:r w:rsidR="00682952" w:rsidRPr="00682952">
        <w:rPr>
          <w:rFonts w:ascii="Arial" w:hAnsi="Arial" w:cs="Arial"/>
          <w:lang w:val="en-US"/>
        </w:rPr>
        <w:t>consolidate Lloyds’ position as a socially conscious institution. This approach would enable the Group to anticipate emerging challenges, adapt to evolving stakeholder demands, and maintain competitive advantage in an increasingly dynamic financial services landscape.</w:t>
      </w:r>
    </w:p>
    <w:p w14:paraId="6306B575" w14:textId="1A5F6A90" w:rsidR="00DA429D" w:rsidRDefault="00682952" w:rsidP="00DA429D">
      <w:pPr>
        <w:rPr>
          <w:rFonts w:ascii="Arial" w:hAnsi="Arial" w:cs="Arial"/>
          <w:lang w:val="en-US"/>
        </w:rPr>
      </w:pPr>
      <w:r w:rsidRPr="00682952">
        <w:rPr>
          <w:rFonts w:ascii="Arial" w:hAnsi="Arial" w:cs="Arial"/>
          <w:lang w:val="en-US"/>
        </w:rPr>
        <w:t xml:space="preserve">Ultimately, while Lloyds Banking Group has established a strong foundation in stakeholder engagement, the pursuit of a more comprehensive and inclusive strategy will be critical to </w:t>
      </w:r>
    </w:p>
    <w:p w14:paraId="46622E75" w14:textId="77777777" w:rsidR="00322433" w:rsidRDefault="00322433" w:rsidP="00DA429D">
      <w:pPr>
        <w:rPr>
          <w:rFonts w:ascii="Arial" w:hAnsi="Arial" w:cs="Arial"/>
          <w:b/>
          <w:bCs/>
          <w:sz w:val="32"/>
          <w:szCs w:val="32"/>
        </w:rPr>
      </w:pPr>
    </w:p>
    <w:p w14:paraId="7AD0A150" w14:textId="68B016A9" w:rsidR="00AA76E3" w:rsidRPr="00DA429D" w:rsidRDefault="00AA76E3" w:rsidP="00DA429D">
      <w:pPr>
        <w:rPr>
          <w:rFonts w:ascii="Arial" w:hAnsi="Arial" w:cs="Arial"/>
          <w:lang w:val="en-US"/>
        </w:rPr>
      </w:pPr>
      <w:r w:rsidRPr="00B1614D">
        <w:rPr>
          <w:rFonts w:ascii="Arial" w:hAnsi="Arial" w:cs="Arial"/>
          <w:b/>
          <w:bCs/>
          <w:sz w:val="32"/>
          <w:szCs w:val="32"/>
        </w:rPr>
        <w:t>Conclusion</w:t>
      </w:r>
    </w:p>
    <w:p w14:paraId="75620AE9" w14:textId="77777777" w:rsidR="000F4020" w:rsidRDefault="00AA76E3" w:rsidP="000F4020">
      <w:r>
        <w:t>This report has critically evaluated the stakeholder engagement process underpinning Lloyds Banking Group’s office consolidation project in London. The analysis has demonstrated that the success of such a complex organisational initiative is contingent upon the effective identification, prioritisation, and engagement of both internal and external stakeholders. By recognising the diverse interests and levels of influence across stakeholder groups, Lloyds has been able to mitigate risks and enhance project legitimacy.</w:t>
      </w:r>
    </w:p>
    <w:p w14:paraId="08195820" w14:textId="469C4DD0" w:rsidR="000F4020" w:rsidRDefault="000F4020" w:rsidP="000F4020">
      <w:pPr>
        <w:rPr>
          <w:rFonts w:ascii="Arial" w:hAnsi="Arial" w:cs="Arial"/>
          <w:lang w:val="en-US"/>
        </w:rPr>
      </w:pPr>
      <w:r w:rsidRPr="000F4020">
        <w:rPr>
          <w:rFonts w:ascii="Arial" w:hAnsi="Arial" w:cs="Arial"/>
          <w:lang w:val="en-US"/>
        </w:rPr>
        <w:t xml:space="preserve"> </w:t>
      </w:r>
      <w:r w:rsidRPr="00682952">
        <w:rPr>
          <w:rFonts w:ascii="Arial" w:hAnsi="Arial" w:cs="Arial"/>
          <w:lang w:val="en-US"/>
        </w:rPr>
        <w:t>ensuring that all stakeholders derive meaningful benefits. Such a strategy will enhance organisational resilience, safeguard reputation, and contribute to sustainable growth and long</w:t>
      </w:r>
      <w:r w:rsidRPr="00682952">
        <w:rPr>
          <w:rFonts w:ascii="Cambria Math" w:hAnsi="Cambria Math" w:cs="Cambria Math"/>
          <w:lang w:val="en-US"/>
        </w:rPr>
        <w:t>‑</w:t>
      </w:r>
      <w:r w:rsidRPr="00682952">
        <w:rPr>
          <w:rFonts w:ascii="Arial" w:hAnsi="Arial" w:cs="Arial"/>
          <w:lang w:val="en-US"/>
        </w:rPr>
        <w:t>term success</w:t>
      </w:r>
    </w:p>
    <w:p w14:paraId="3A8449F9" w14:textId="515BF659" w:rsidR="00AA76E3" w:rsidRDefault="00AA76E3" w:rsidP="00AA76E3">
      <w:pPr>
        <w:pStyle w:val="NormalWeb"/>
      </w:pPr>
      <w:r>
        <w:t xml:space="preserve">A range of theoretical and practical frameworks were applied to guide this process, including the Stakeholder Salience Model, Stakeholder Mapping, Engagement and Communication Plans, the RACI Matrix, and the 4Cs Model. Collectively, these tools provided structured mechanisms for clarifying roles, fostering accountability, and aligning expectations. Their application facilitated transparent interactions, strengthened trust, and ensured that stakeholder interests were integrated into project </w:t>
      </w:r>
      <w:r w:rsidR="00EC7BCC">
        <w:t>decision-making</w:t>
      </w:r>
      <w:r>
        <w:t>.</w:t>
      </w:r>
    </w:p>
    <w:p w14:paraId="332CE0EA" w14:textId="1ED4D3B1" w:rsidR="00967972" w:rsidRDefault="00967972" w:rsidP="00967972">
      <w:pPr>
        <w:pStyle w:val="NormalWeb"/>
      </w:pPr>
      <w:r>
        <w:t xml:space="preserve">The evaluation highlighted both benefits and challenges. On the one hand, structured engagement contributed to improved project execution, reduced conflict, and enhanced stakeholder satisfaction. On the other hand, persistent challenges such as employee resistance to change, regulatory complexities, and the limitations of legacy systems underscored the need for continuous adaptation. These issues were addressed through proactive communication protocols, inclusive collaboration processes, and </w:t>
      </w:r>
      <w:r w:rsidR="006A5E31">
        <w:t>feedback-driven</w:t>
      </w:r>
      <w:r>
        <w:t xml:space="preserve"> consultations, which helped to sustain momentum and minimise disruption.</w:t>
      </w:r>
    </w:p>
    <w:p w14:paraId="5BBD3A83" w14:textId="77777777" w:rsidR="00967972" w:rsidRDefault="00967972" w:rsidP="00967972">
      <w:pPr>
        <w:pStyle w:val="NormalWeb"/>
      </w:pPr>
      <w:r>
        <w:t>Looking ahead, Lloyds Banking Group can further strengthen its organisational capacity for managing transformation projects by institutionalising stakeholder engagement best practices, embedding them into governance structures, and leveraging digital tools to enhance transparency and responsiveness. Moreover, fostering a culture of collaboration and openness will be critical to ensuring that both primary and secondary stakeholders perceive tangible value from future initiatives.</w:t>
      </w:r>
    </w:p>
    <w:p w14:paraId="057A94B3" w14:textId="20C7B145" w:rsidR="00967972" w:rsidRDefault="00967972" w:rsidP="00967972">
      <w:pPr>
        <w:pStyle w:val="NormalWeb"/>
      </w:pPr>
      <w:r>
        <w:t xml:space="preserve">In conclusion, the stakeholder engagement strategies outlined in this report provide a robust foundation for sustainable growth, organisational resilience, and </w:t>
      </w:r>
      <w:r w:rsidR="006A5E31">
        <w:t>long-term</w:t>
      </w:r>
      <w:r>
        <w:t xml:space="preserve"> project success.</w:t>
      </w:r>
    </w:p>
    <w:p w14:paraId="54EF7977" w14:textId="77777777" w:rsidR="00F85303" w:rsidRDefault="00F85303" w:rsidP="00763F4F">
      <w:pPr>
        <w:spacing w:after="200" w:line="276" w:lineRule="auto"/>
        <w:rPr>
          <w:rFonts w:ascii="Cambria" w:eastAsia="MS Mincho" w:hAnsi="Cambria" w:cs="Times New Roman"/>
          <w:kern w:val="0"/>
          <w:lang w:val="en-US"/>
          <w14:ligatures w14:val="none"/>
        </w:rPr>
      </w:pPr>
    </w:p>
    <w:p w14:paraId="4958B7E1" w14:textId="77777777" w:rsidR="00F85303" w:rsidRPr="00F009A2" w:rsidRDefault="00F85303" w:rsidP="00763F4F">
      <w:pPr>
        <w:spacing w:after="200" w:line="276" w:lineRule="auto"/>
        <w:rPr>
          <w:rFonts w:ascii="Arial" w:eastAsia="MS Mincho" w:hAnsi="Arial" w:cs="Arial"/>
          <w:kern w:val="0"/>
          <w:lang w:val="en-US"/>
          <w14:ligatures w14:val="none"/>
        </w:rPr>
      </w:pPr>
    </w:p>
    <w:p w14:paraId="0419E9A6" w14:textId="77777777" w:rsidR="00F85303" w:rsidRDefault="00F85303" w:rsidP="00763F4F">
      <w:pPr>
        <w:spacing w:after="200" w:line="276" w:lineRule="auto"/>
        <w:rPr>
          <w:rFonts w:ascii="Cambria" w:eastAsia="MS Mincho" w:hAnsi="Cambria" w:cs="Times New Roman"/>
          <w:kern w:val="0"/>
          <w:lang w:val="en-US"/>
          <w14:ligatures w14:val="none"/>
        </w:rPr>
      </w:pPr>
    </w:p>
    <w:p w14:paraId="3E954495" w14:textId="77777777" w:rsidR="00F85303" w:rsidRDefault="00F85303" w:rsidP="00763F4F">
      <w:pPr>
        <w:spacing w:after="200" w:line="276" w:lineRule="auto"/>
        <w:rPr>
          <w:rFonts w:ascii="Cambria" w:eastAsia="MS Mincho" w:hAnsi="Cambria" w:cs="Times New Roman"/>
          <w:kern w:val="0"/>
          <w:lang w:val="en-US"/>
          <w14:ligatures w14:val="none"/>
        </w:rPr>
      </w:pPr>
    </w:p>
    <w:p w14:paraId="43ABA625" w14:textId="77777777" w:rsidR="00F85303" w:rsidRDefault="00F85303" w:rsidP="00763F4F">
      <w:pPr>
        <w:spacing w:after="200" w:line="276" w:lineRule="auto"/>
        <w:rPr>
          <w:rFonts w:ascii="Cambria" w:eastAsia="MS Mincho" w:hAnsi="Cambria" w:cs="Times New Roman"/>
          <w:kern w:val="0"/>
          <w:lang w:val="en-US"/>
          <w14:ligatures w14:val="none"/>
        </w:rPr>
      </w:pPr>
    </w:p>
    <w:p w14:paraId="5E5A4262" w14:textId="77777777" w:rsidR="00F85303" w:rsidRDefault="00F85303" w:rsidP="00763F4F">
      <w:pPr>
        <w:spacing w:after="200" w:line="276" w:lineRule="auto"/>
        <w:rPr>
          <w:rFonts w:ascii="Cambria" w:eastAsia="MS Mincho" w:hAnsi="Cambria" w:cs="Times New Roman"/>
          <w:kern w:val="0"/>
          <w:lang w:val="en-US"/>
          <w14:ligatures w14:val="none"/>
        </w:rPr>
      </w:pPr>
    </w:p>
    <w:p w14:paraId="01318A89" w14:textId="77777777" w:rsidR="00F85303" w:rsidRDefault="00F85303" w:rsidP="00763F4F">
      <w:pPr>
        <w:spacing w:after="200" w:line="276" w:lineRule="auto"/>
        <w:rPr>
          <w:rFonts w:ascii="Cambria" w:eastAsia="MS Mincho" w:hAnsi="Cambria" w:cs="Times New Roman"/>
          <w:kern w:val="0"/>
          <w:lang w:val="en-US"/>
          <w14:ligatures w14:val="none"/>
        </w:rPr>
      </w:pPr>
    </w:p>
    <w:p w14:paraId="7346C834" w14:textId="5FF5CE4C" w:rsidR="00711DED" w:rsidRDefault="00CD132F" w:rsidP="00262380">
      <w:pPr>
        <w:spacing w:line="360" w:lineRule="auto"/>
      </w:pPr>
      <w:r w:rsidRPr="00CD132F">
        <w:rPr>
          <w:rFonts w:ascii="Arial" w:hAnsi="Arial" w:cs="Arial"/>
          <w:b/>
          <w:bCs/>
          <w:sz w:val="32"/>
          <w:szCs w:val="32"/>
          <w:lang w:val="en-US"/>
        </w:rPr>
        <w:t xml:space="preserve"> References</w:t>
      </w:r>
      <w:r w:rsidR="00711DED" w:rsidRPr="00711DED">
        <w:t xml:space="preserve"> </w:t>
      </w:r>
    </w:p>
    <w:p w14:paraId="4E08FBD5" w14:textId="173BFC32" w:rsidR="00711DED" w:rsidRPr="00711DED" w:rsidRDefault="00711DED" w:rsidP="00262380">
      <w:pPr>
        <w:spacing w:line="360" w:lineRule="auto"/>
        <w:rPr>
          <w:rFonts w:ascii="Arial" w:hAnsi="Arial" w:cs="Arial"/>
          <w:sz w:val="24"/>
          <w:szCs w:val="24"/>
        </w:rPr>
      </w:pPr>
      <w:r w:rsidRPr="00711DED">
        <w:rPr>
          <w:rFonts w:ascii="Arial" w:hAnsi="Arial" w:cs="Arial"/>
          <w:sz w:val="24"/>
          <w:szCs w:val="24"/>
        </w:rPr>
        <w:t>Ashcroft, J. (2017) *The relational lens: understanding, measuring, and managing stakeholder relationships*. Cambridge: Cambridge University Press. Available at: https://www-cambridge-org.ezproxy.uwtsd.ac.uk/core/books/relational-lens/value-and-importance-of-relationships/718C31032061BDFA3F480BA2A53F45D4 (Accessed: 16 July 2025).</w:t>
      </w:r>
    </w:p>
    <w:p w14:paraId="590B885C" w14:textId="77777777" w:rsidR="00165CFF" w:rsidRDefault="00785A05" w:rsidP="00262380">
      <w:pPr>
        <w:tabs>
          <w:tab w:val="left" w:pos="7584"/>
        </w:tabs>
        <w:spacing w:line="360" w:lineRule="auto"/>
        <w:rPr>
          <w:rFonts w:ascii="Arial" w:hAnsi="Arial" w:cs="Arial"/>
          <w:sz w:val="24"/>
          <w:szCs w:val="24"/>
          <w:lang w:val="en-US"/>
        </w:rPr>
      </w:pPr>
      <w:r w:rsidRPr="00785A05">
        <w:rPr>
          <w:rFonts w:ascii="Arial" w:hAnsi="Arial" w:cs="Arial"/>
          <w:sz w:val="24"/>
          <w:szCs w:val="24"/>
          <w:lang w:val="en-US"/>
        </w:rPr>
        <w:t>Bourne, L. (2015)</w:t>
      </w:r>
      <w:r>
        <w:rPr>
          <w:rFonts w:ascii="Arial" w:hAnsi="Arial" w:cs="Arial"/>
          <w:sz w:val="24"/>
          <w:szCs w:val="24"/>
          <w:lang w:val="en-US"/>
        </w:rPr>
        <w:t>.</w:t>
      </w:r>
      <w:r w:rsidRPr="00785A05">
        <w:rPr>
          <w:rFonts w:ascii="Arial" w:hAnsi="Arial" w:cs="Arial"/>
          <w:sz w:val="24"/>
          <w:szCs w:val="24"/>
          <w:lang w:val="en-US"/>
        </w:rPr>
        <w:t xml:space="preserve"> Stakeholder Relationship Management: A Maturity Model for Organisational Implementation. 2nd edn. Farnham: Gower.</w:t>
      </w:r>
    </w:p>
    <w:p w14:paraId="3EF8806C" w14:textId="77777777" w:rsidR="001D2BEE" w:rsidRDefault="00CD132F" w:rsidP="001D2BEE">
      <w:pPr>
        <w:tabs>
          <w:tab w:val="left" w:pos="7584"/>
        </w:tabs>
        <w:spacing w:line="360" w:lineRule="auto"/>
        <w:rPr>
          <w:rFonts w:ascii="Arial" w:hAnsi="Arial" w:cs="Arial"/>
          <w:sz w:val="24"/>
          <w:szCs w:val="24"/>
          <w:lang w:val="en-US"/>
        </w:rPr>
      </w:pPr>
      <w:r w:rsidRPr="00CD132F">
        <w:rPr>
          <w:rFonts w:ascii="Arial" w:hAnsi="Arial" w:cs="Arial"/>
          <w:sz w:val="24"/>
          <w:szCs w:val="24"/>
          <w:lang w:val="en-US"/>
        </w:rPr>
        <w:t>Christopher, M., Payne, A. and Ballantyne, D. (2013) *Relationship Marketing: Creating Stakeholder Value*. Saint Louis: Taylor and Francis.</w:t>
      </w:r>
      <w:r w:rsidR="001D2BEE" w:rsidRPr="001D2BEE">
        <w:rPr>
          <w:rFonts w:ascii="Arial" w:hAnsi="Arial" w:cs="Arial"/>
          <w:sz w:val="24"/>
          <w:szCs w:val="24"/>
          <w:lang w:val="en-US"/>
        </w:rPr>
        <w:t xml:space="preserve"> </w:t>
      </w:r>
    </w:p>
    <w:p w14:paraId="10C8E01F" w14:textId="77777777" w:rsidR="00675DA6" w:rsidRDefault="001D2BEE" w:rsidP="00262380">
      <w:pPr>
        <w:tabs>
          <w:tab w:val="left" w:pos="7584"/>
        </w:tabs>
        <w:spacing w:line="360" w:lineRule="auto"/>
        <w:rPr>
          <w:rFonts w:ascii="Arial" w:hAnsi="Arial" w:cs="Arial"/>
          <w:sz w:val="24"/>
          <w:szCs w:val="24"/>
          <w:lang w:val="en-US"/>
        </w:rPr>
      </w:pPr>
      <w:r w:rsidRPr="00CD132F">
        <w:rPr>
          <w:rFonts w:ascii="Arial" w:hAnsi="Arial" w:cs="Arial"/>
          <w:sz w:val="24"/>
          <w:szCs w:val="24"/>
          <w:lang w:val="en-US"/>
        </w:rPr>
        <w:t>Companies House (2025) ‘Lloyds Banking Group’. Available at: https://find-and-update.company-information.service.gov.uk/company/SC095000 (Accessed: 15 July 2025).</w:t>
      </w:r>
    </w:p>
    <w:p w14:paraId="715635FB" w14:textId="101500B5" w:rsidR="00CD132F" w:rsidRDefault="002A387B" w:rsidP="00262380">
      <w:pPr>
        <w:tabs>
          <w:tab w:val="left" w:pos="7584"/>
        </w:tabs>
        <w:spacing w:line="360" w:lineRule="auto"/>
        <w:rPr>
          <w:rFonts w:ascii="Arial" w:hAnsi="Arial" w:cs="Arial"/>
          <w:sz w:val="24"/>
          <w:szCs w:val="24"/>
          <w:lang w:val="en-US"/>
        </w:rPr>
      </w:pPr>
      <w:r w:rsidRPr="002A387B">
        <w:t xml:space="preserve"> </w:t>
      </w:r>
      <w:r w:rsidRPr="002A387B">
        <w:rPr>
          <w:rFonts w:ascii="Arial" w:hAnsi="Arial" w:cs="Arial"/>
          <w:sz w:val="24"/>
          <w:szCs w:val="24"/>
          <w:lang w:val="en-US"/>
        </w:rPr>
        <w:t>Crawford, L. and Bryce, P. (2003) ‘Project monitoring and evaluation: A method for enhancing the efficiency and effectiveness of aid project implementation’, International Journal of Project Management, 21(5), pp. 363–373</w:t>
      </w:r>
    </w:p>
    <w:p w14:paraId="12B5745F" w14:textId="77777777" w:rsidR="003E50B8" w:rsidRDefault="00CD132F" w:rsidP="00262380">
      <w:pPr>
        <w:tabs>
          <w:tab w:val="left" w:pos="7584"/>
        </w:tabs>
        <w:spacing w:line="360" w:lineRule="auto"/>
      </w:pPr>
      <w:r w:rsidRPr="00CD132F">
        <w:rPr>
          <w:rFonts w:ascii="Arial" w:hAnsi="Arial" w:cs="Arial"/>
          <w:sz w:val="24"/>
          <w:szCs w:val="24"/>
          <w:lang w:val="en-US"/>
        </w:rPr>
        <w:t>Freeman, R.E. (1984) *Strategic Management: A Stakeholder Approach*. Boston: Pitman.</w:t>
      </w:r>
      <w:r w:rsidR="00B825E7" w:rsidRPr="00B825E7">
        <w:t xml:space="preserve"> </w:t>
      </w:r>
    </w:p>
    <w:p w14:paraId="324ACC71" w14:textId="77777777" w:rsidR="002F2FF0" w:rsidRDefault="00B825E7" w:rsidP="00262380">
      <w:pPr>
        <w:tabs>
          <w:tab w:val="left" w:pos="7584"/>
        </w:tabs>
        <w:spacing w:line="360" w:lineRule="auto"/>
        <w:rPr>
          <w:rFonts w:ascii="Arial" w:hAnsi="Arial" w:cs="Arial"/>
          <w:sz w:val="24"/>
          <w:szCs w:val="24"/>
          <w:lang w:val="en-US"/>
        </w:rPr>
      </w:pPr>
      <w:r w:rsidRPr="00B825E7">
        <w:rPr>
          <w:rFonts w:ascii="Arial" w:hAnsi="Arial" w:cs="Arial"/>
          <w:sz w:val="24"/>
          <w:szCs w:val="24"/>
          <w:lang w:val="en-US"/>
        </w:rPr>
        <w:t>Johnson, G., Scholes, K. and Whittington, R. (2020)</w:t>
      </w:r>
      <w:r w:rsidR="003E50B8">
        <w:rPr>
          <w:rFonts w:ascii="Arial" w:hAnsi="Arial" w:cs="Arial"/>
          <w:sz w:val="24"/>
          <w:szCs w:val="24"/>
          <w:lang w:val="en-US"/>
        </w:rPr>
        <w:t>.</w:t>
      </w:r>
      <w:r w:rsidRPr="00B825E7">
        <w:rPr>
          <w:rFonts w:ascii="Arial" w:hAnsi="Arial" w:cs="Arial"/>
          <w:sz w:val="24"/>
          <w:szCs w:val="24"/>
          <w:lang w:val="en-US"/>
        </w:rPr>
        <w:t xml:space="preserve"> Exploring Strategy: Text and Cases. 12th edn. Harlow: Pearson Education.</w:t>
      </w:r>
    </w:p>
    <w:p w14:paraId="76191730" w14:textId="77777777" w:rsidR="000071F2" w:rsidRDefault="00AB55A5" w:rsidP="00262380">
      <w:pPr>
        <w:tabs>
          <w:tab w:val="left" w:pos="7584"/>
        </w:tabs>
        <w:spacing w:line="360" w:lineRule="auto"/>
        <w:rPr>
          <w:rFonts w:ascii="Arial" w:hAnsi="Arial" w:cs="Arial"/>
          <w:sz w:val="24"/>
          <w:szCs w:val="24"/>
          <w:lang w:val="en-US"/>
        </w:rPr>
      </w:pPr>
      <w:r w:rsidRPr="00AB55A5">
        <w:rPr>
          <w:rFonts w:ascii="Arial" w:hAnsi="Arial" w:cs="Arial"/>
          <w:sz w:val="24"/>
          <w:szCs w:val="24"/>
          <w:lang w:val="en-US"/>
        </w:rPr>
        <w:t xml:space="preserve"> </w:t>
      </w:r>
      <w:r w:rsidRPr="00CD132F">
        <w:rPr>
          <w:rFonts w:ascii="Arial" w:hAnsi="Arial" w:cs="Arial"/>
          <w:sz w:val="24"/>
          <w:szCs w:val="24"/>
          <w:lang w:val="en-US"/>
        </w:rPr>
        <w:t>Mitchell, R.K., Agle, B.R. and Wood, D.J. (1997) ‘Toward a Theory of Stakeholder Identification and Salience: Defining the Principle of Who and What Really Counts’, *Academy of Management Review*, 22(4), pp. 853–886.</w:t>
      </w:r>
    </w:p>
    <w:p w14:paraId="17861243" w14:textId="77777777" w:rsidR="0013088A" w:rsidRDefault="00B47F14" w:rsidP="00262380">
      <w:pPr>
        <w:tabs>
          <w:tab w:val="left" w:pos="7584"/>
        </w:tabs>
        <w:spacing w:line="360" w:lineRule="auto"/>
        <w:rPr>
          <w:rFonts w:ascii="Arial" w:hAnsi="Arial" w:cs="Arial"/>
          <w:sz w:val="24"/>
          <w:szCs w:val="24"/>
          <w:lang w:val="en-US"/>
        </w:rPr>
      </w:pPr>
      <w:r>
        <w:rPr>
          <w:rFonts w:ascii="Arial" w:hAnsi="Arial" w:cs="Arial"/>
          <w:sz w:val="24"/>
          <w:szCs w:val="24"/>
          <w:lang w:val="en-US"/>
        </w:rPr>
        <w:t xml:space="preserve"> </w:t>
      </w:r>
      <w:r w:rsidR="000071F2" w:rsidRPr="00CD132F">
        <w:rPr>
          <w:rFonts w:ascii="Arial" w:hAnsi="Arial" w:cs="Arial"/>
          <w:sz w:val="24"/>
          <w:szCs w:val="24"/>
          <w:lang w:val="en-US"/>
        </w:rPr>
        <w:t>Office for National Statistics (ONS) (2023) ‘UK workforce statistics’. Available at: https://www.ons.gov.uk (Accessed: 15 July 2025).</w:t>
      </w:r>
    </w:p>
    <w:p w14:paraId="7CE5AA11" w14:textId="408DB5D9" w:rsidR="000071F2" w:rsidRDefault="00731EBC" w:rsidP="00262380">
      <w:pPr>
        <w:tabs>
          <w:tab w:val="left" w:pos="7584"/>
        </w:tabs>
        <w:spacing w:line="360" w:lineRule="auto"/>
        <w:rPr>
          <w:rFonts w:ascii="Arial" w:hAnsi="Arial" w:cs="Arial"/>
          <w:sz w:val="24"/>
          <w:szCs w:val="24"/>
          <w:lang w:val="en-US"/>
        </w:rPr>
      </w:pPr>
      <w:r w:rsidRPr="00731EBC">
        <w:t xml:space="preserve"> </w:t>
      </w:r>
      <w:r w:rsidRPr="00731EBC">
        <w:rPr>
          <w:rFonts w:ascii="Arial" w:hAnsi="Arial" w:cs="Arial"/>
          <w:sz w:val="24"/>
          <w:szCs w:val="24"/>
          <w:lang w:val="en-US"/>
        </w:rPr>
        <w:t>Olander, S. and Landin, A. (2005) ‘Evaluation of stakeholder influence in the implementation of construction projects’, International Journal of Project Management, 23(4), pp. 321–328</w:t>
      </w:r>
    </w:p>
    <w:p w14:paraId="1594CF5B" w14:textId="30920268" w:rsidR="007837D4" w:rsidRPr="00CD132F" w:rsidRDefault="007837D4" w:rsidP="00262380">
      <w:pPr>
        <w:tabs>
          <w:tab w:val="left" w:pos="7584"/>
        </w:tabs>
        <w:spacing w:line="360" w:lineRule="auto"/>
        <w:rPr>
          <w:rFonts w:ascii="Arial" w:hAnsi="Arial" w:cs="Arial"/>
          <w:sz w:val="24"/>
          <w:szCs w:val="24"/>
          <w:lang w:val="en-US"/>
        </w:rPr>
      </w:pPr>
      <w:r w:rsidRPr="007837D4">
        <w:rPr>
          <w:rFonts w:ascii="Arial" w:hAnsi="Arial" w:cs="Arial"/>
          <w:sz w:val="24"/>
          <w:szCs w:val="24"/>
          <w:lang w:val="en-US"/>
        </w:rPr>
        <w:lastRenderedPageBreak/>
        <w:t xml:space="preserve"> </w:t>
      </w:r>
      <w:r w:rsidRPr="00CD132F">
        <w:rPr>
          <w:rFonts w:ascii="Arial" w:hAnsi="Arial" w:cs="Arial"/>
          <w:sz w:val="24"/>
          <w:szCs w:val="24"/>
          <w:lang w:val="en-US"/>
        </w:rPr>
        <w:t>PMI (2021) *A Guide to the Project Management Body of Knowledge (PMBOK® Guide)*. 7th edn. Newtown Square: Project Management Institute.</w:t>
      </w:r>
    </w:p>
    <w:p w14:paraId="7EC2846D" w14:textId="52F4C622" w:rsidR="00CD132F" w:rsidRPr="00CD132F" w:rsidRDefault="00CD132F" w:rsidP="00262380">
      <w:pPr>
        <w:tabs>
          <w:tab w:val="left" w:pos="7584"/>
        </w:tabs>
        <w:spacing w:line="360" w:lineRule="auto"/>
        <w:rPr>
          <w:rFonts w:ascii="Arial" w:hAnsi="Arial" w:cs="Arial"/>
          <w:sz w:val="24"/>
          <w:szCs w:val="24"/>
          <w:lang w:val="en-US"/>
        </w:rPr>
      </w:pPr>
      <w:r w:rsidRPr="00CD132F">
        <w:rPr>
          <w:rFonts w:ascii="Arial" w:hAnsi="Arial" w:cs="Arial"/>
          <w:sz w:val="24"/>
          <w:szCs w:val="24"/>
          <w:lang w:val="en-US"/>
        </w:rPr>
        <w:t xml:space="preserve">Turner, J.R. (2009) *The Handbook of Project-based Management: Leading Strategic </w:t>
      </w:r>
      <w:bookmarkStart w:id="0" w:name="_Hlk215114309"/>
    </w:p>
    <w:bookmarkEnd w:id="0"/>
    <w:p w14:paraId="3B4188EC" w14:textId="77777777" w:rsidR="00CD132F" w:rsidRPr="00CD132F" w:rsidRDefault="00CD132F" w:rsidP="00262380">
      <w:pPr>
        <w:tabs>
          <w:tab w:val="left" w:pos="7584"/>
        </w:tabs>
        <w:spacing w:line="360" w:lineRule="auto"/>
        <w:rPr>
          <w:rFonts w:ascii="Arial" w:hAnsi="Arial" w:cs="Arial"/>
          <w:sz w:val="24"/>
          <w:szCs w:val="24"/>
          <w:lang w:val="en-US"/>
        </w:rPr>
      </w:pPr>
      <w:r w:rsidRPr="00CD132F">
        <w:rPr>
          <w:rFonts w:ascii="Arial" w:hAnsi="Arial" w:cs="Arial"/>
          <w:sz w:val="24"/>
          <w:szCs w:val="24"/>
          <w:lang w:val="en-US"/>
        </w:rPr>
        <w:t>UWTSD (2022) *Harvard Referencing Guide*. Available at: https://uwtsd.ac.uk/media/uwtsd-website/content-assets/documents/library-and-learning-resources/infoskills/Harvard-eng_v.1.2.pdf (Accessed: 16 July 2025).</w:t>
      </w:r>
    </w:p>
    <w:p w14:paraId="550B55FE" w14:textId="77777777" w:rsidR="00763F4F" w:rsidRPr="005F768F" w:rsidRDefault="00763F4F" w:rsidP="00D127B8">
      <w:pPr>
        <w:tabs>
          <w:tab w:val="left" w:pos="7584"/>
        </w:tabs>
        <w:spacing w:line="360" w:lineRule="auto"/>
        <w:rPr>
          <w:rFonts w:ascii="Arial" w:hAnsi="Arial" w:cs="Arial"/>
          <w:sz w:val="32"/>
          <w:szCs w:val="32"/>
        </w:rPr>
      </w:pPr>
    </w:p>
    <w:sectPr w:rsidR="00763F4F" w:rsidRPr="005F76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BB22E1"/>
    <w:multiLevelType w:val="hybridMultilevel"/>
    <w:tmpl w:val="819CA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C36BB5"/>
    <w:multiLevelType w:val="hybridMultilevel"/>
    <w:tmpl w:val="AAF640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D8A157E"/>
    <w:multiLevelType w:val="hybridMultilevel"/>
    <w:tmpl w:val="37F29D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AC5AFB"/>
    <w:multiLevelType w:val="hybridMultilevel"/>
    <w:tmpl w:val="31366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721019"/>
    <w:multiLevelType w:val="hybridMultilevel"/>
    <w:tmpl w:val="8354C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916906"/>
    <w:multiLevelType w:val="multilevel"/>
    <w:tmpl w:val="C9B48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BA06DD"/>
    <w:multiLevelType w:val="multilevel"/>
    <w:tmpl w:val="E6DC2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3070598">
    <w:abstractNumId w:val="2"/>
  </w:num>
  <w:num w:numId="2" w16cid:durableId="1844202481">
    <w:abstractNumId w:val="0"/>
  </w:num>
  <w:num w:numId="3" w16cid:durableId="1780686447">
    <w:abstractNumId w:val="1"/>
  </w:num>
  <w:num w:numId="4" w16cid:durableId="556550157">
    <w:abstractNumId w:val="4"/>
  </w:num>
  <w:num w:numId="5" w16cid:durableId="1306351860">
    <w:abstractNumId w:val="6"/>
  </w:num>
  <w:num w:numId="6" w16cid:durableId="1639022412">
    <w:abstractNumId w:val="5"/>
  </w:num>
  <w:num w:numId="7" w16cid:durableId="11635421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0CE"/>
    <w:rsid w:val="000071F2"/>
    <w:rsid w:val="00016C9C"/>
    <w:rsid w:val="0002791A"/>
    <w:rsid w:val="0005514A"/>
    <w:rsid w:val="00055C11"/>
    <w:rsid w:val="0006479F"/>
    <w:rsid w:val="0007153E"/>
    <w:rsid w:val="00074059"/>
    <w:rsid w:val="00077C53"/>
    <w:rsid w:val="00084F01"/>
    <w:rsid w:val="000937D6"/>
    <w:rsid w:val="000E3B67"/>
    <w:rsid w:val="000F17D4"/>
    <w:rsid w:val="000F4020"/>
    <w:rsid w:val="00100EB6"/>
    <w:rsid w:val="0010636E"/>
    <w:rsid w:val="00124D63"/>
    <w:rsid w:val="0013088A"/>
    <w:rsid w:val="00136674"/>
    <w:rsid w:val="0014121D"/>
    <w:rsid w:val="0014347A"/>
    <w:rsid w:val="00143F95"/>
    <w:rsid w:val="00144486"/>
    <w:rsid w:val="00151DBA"/>
    <w:rsid w:val="00156BCF"/>
    <w:rsid w:val="00157587"/>
    <w:rsid w:val="00165CFF"/>
    <w:rsid w:val="001819E5"/>
    <w:rsid w:val="0018722A"/>
    <w:rsid w:val="001A5EA7"/>
    <w:rsid w:val="001C2565"/>
    <w:rsid w:val="001D2B4A"/>
    <w:rsid w:val="001D2BEE"/>
    <w:rsid w:val="001D3493"/>
    <w:rsid w:val="001E235B"/>
    <w:rsid w:val="00206591"/>
    <w:rsid w:val="00224DD3"/>
    <w:rsid w:val="0024764B"/>
    <w:rsid w:val="00260349"/>
    <w:rsid w:val="00262380"/>
    <w:rsid w:val="002738FC"/>
    <w:rsid w:val="00273A60"/>
    <w:rsid w:val="0027587C"/>
    <w:rsid w:val="00276988"/>
    <w:rsid w:val="00277467"/>
    <w:rsid w:val="00281A8D"/>
    <w:rsid w:val="00283E20"/>
    <w:rsid w:val="00291DF5"/>
    <w:rsid w:val="00294BF4"/>
    <w:rsid w:val="002A387B"/>
    <w:rsid w:val="002B09A4"/>
    <w:rsid w:val="002D4B95"/>
    <w:rsid w:val="002F2FF0"/>
    <w:rsid w:val="002F3F55"/>
    <w:rsid w:val="00302A54"/>
    <w:rsid w:val="003056D0"/>
    <w:rsid w:val="00322433"/>
    <w:rsid w:val="00326C72"/>
    <w:rsid w:val="00330D4F"/>
    <w:rsid w:val="00335438"/>
    <w:rsid w:val="00337C97"/>
    <w:rsid w:val="00340F67"/>
    <w:rsid w:val="00341277"/>
    <w:rsid w:val="00346641"/>
    <w:rsid w:val="00353F85"/>
    <w:rsid w:val="0035496F"/>
    <w:rsid w:val="00362A31"/>
    <w:rsid w:val="003652D9"/>
    <w:rsid w:val="003657F9"/>
    <w:rsid w:val="0036593B"/>
    <w:rsid w:val="0037393C"/>
    <w:rsid w:val="00377B73"/>
    <w:rsid w:val="003824AB"/>
    <w:rsid w:val="003905B8"/>
    <w:rsid w:val="003A2396"/>
    <w:rsid w:val="003B7006"/>
    <w:rsid w:val="003E4A79"/>
    <w:rsid w:val="003E50B8"/>
    <w:rsid w:val="003F018F"/>
    <w:rsid w:val="004003CF"/>
    <w:rsid w:val="00400763"/>
    <w:rsid w:val="00406C66"/>
    <w:rsid w:val="00417B11"/>
    <w:rsid w:val="00432C3C"/>
    <w:rsid w:val="004507A4"/>
    <w:rsid w:val="004574A4"/>
    <w:rsid w:val="0046285C"/>
    <w:rsid w:val="00491C40"/>
    <w:rsid w:val="004B1EFB"/>
    <w:rsid w:val="004B6A46"/>
    <w:rsid w:val="004B7BE0"/>
    <w:rsid w:val="004E1DBB"/>
    <w:rsid w:val="004E3EDD"/>
    <w:rsid w:val="004E4A31"/>
    <w:rsid w:val="004F42C4"/>
    <w:rsid w:val="004F730A"/>
    <w:rsid w:val="00500146"/>
    <w:rsid w:val="00511A0C"/>
    <w:rsid w:val="005130D7"/>
    <w:rsid w:val="00532D78"/>
    <w:rsid w:val="005407AF"/>
    <w:rsid w:val="00544F2D"/>
    <w:rsid w:val="00557B4E"/>
    <w:rsid w:val="00562302"/>
    <w:rsid w:val="00565DEA"/>
    <w:rsid w:val="00571218"/>
    <w:rsid w:val="00581AE9"/>
    <w:rsid w:val="00584CCC"/>
    <w:rsid w:val="0059119B"/>
    <w:rsid w:val="005915DF"/>
    <w:rsid w:val="00591D59"/>
    <w:rsid w:val="005B2B14"/>
    <w:rsid w:val="005C27EB"/>
    <w:rsid w:val="005D0A46"/>
    <w:rsid w:val="005E5EA7"/>
    <w:rsid w:val="005E71F1"/>
    <w:rsid w:val="005F1016"/>
    <w:rsid w:val="005F4CD9"/>
    <w:rsid w:val="005F768F"/>
    <w:rsid w:val="005F770F"/>
    <w:rsid w:val="00602D4F"/>
    <w:rsid w:val="006111D2"/>
    <w:rsid w:val="0064626D"/>
    <w:rsid w:val="00661425"/>
    <w:rsid w:val="00664A19"/>
    <w:rsid w:val="00675DA6"/>
    <w:rsid w:val="00681224"/>
    <w:rsid w:val="00682952"/>
    <w:rsid w:val="00683D4E"/>
    <w:rsid w:val="0069149A"/>
    <w:rsid w:val="006947A3"/>
    <w:rsid w:val="006955C1"/>
    <w:rsid w:val="006A1E6C"/>
    <w:rsid w:val="006A5E31"/>
    <w:rsid w:val="006E3766"/>
    <w:rsid w:val="007015ED"/>
    <w:rsid w:val="00707818"/>
    <w:rsid w:val="00711DED"/>
    <w:rsid w:val="00731A47"/>
    <w:rsid w:val="00731EBC"/>
    <w:rsid w:val="0073683B"/>
    <w:rsid w:val="00737386"/>
    <w:rsid w:val="00753DD1"/>
    <w:rsid w:val="00757E04"/>
    <w:rsid w:val="00763F4F"/>
    <w:rsid w:val="00767AFA"/>
    <w:rsid w:val="007759ED"/>
    <w:rsid w:val="007837D4"/>
    <w:rsid w:val="0078522B"/>
    <w:rsid w:val="00785A05"/>
    <w:rsid w:val="007A10D2"/>
    <w:rsid w:val="007A63A4"/>
    <w:rsid w:val="007B03C1"/>
    <w:rsid w:val="007B290E"/>
    <w:rsid w:val="007B2EB0"/>
    <w:rsid w:val="007B5F69"/>
    <w:rsid w:val="007C21F5"/>
    <w:rsid w:val="007D0B6F"/>
    <w:rsid w:val="007D1D71"/>
    <w:rsid w:val="007F5E89"/>
    <w:rsid w:val="00810457"/>
    <w:rsid w:val="00816915"/>
    <w:rsid w:val="00816F4A"/>
    <w:rsid w:val="00830651"/>
    <w:rsid w:val="00833830"/>
    <w:rsid w:val="008379EA"/>
    <w:rsid w:val="00841E18"/>
    <w:rsid w:val="00846513"/>
    <w:rsid w:val="00851B66"/>
    <w:rsid w:val="00856455"/>
    <w:rsid w:val="00866241"/>
    <w:rsid w:val="008665CD"/>
    <w:rsid w:val="00873F00"/>
    <w:rsid w:val="008A08CC"/>
    <w:rsid w:val="008C5E5F"/>
    <w:rsid w:val="008D3930"/>
    <w:rsid w:val="008F69C8"/>
    <w:rsid w:val="00901D9C"/>
    <w:rsid w:val="00935655"/>
    <w:rsid w:val="00946763"/>
    <w:rsid w:val="00950E0D"/>
    <w:rsid w:val="00962385"/>
    <w:rsid w:val="00964B0D"/>
    <w:rsid w:val="00967847"/>
    <w:rsid w:val="00967972"/>
    <w:rsid w:val="0098237F"/>
    <w:rsid w:val="00991119"/>
    <w:rsid w:val="00992FA0"/>
    <w:rsid w:val="009A48FD"/>
    <w:rsid w:val="009A51B5"/>
    <w:rsid w:val="009B7F31"/>
    <w:rsid w:val="00A00F51"/>
    <w:rsid w:val="00A220FE"/>
    <w:rsid w:val="00A25D6A"/>
    <w:rsid w:val="00A31DDC"/>
    <w:rsid w:val="00A7324D"/>
    <w:rsid w:val="00A869CC"/>
    <w:rsid w:val="00A871DD"/>
    <w:rsid w:val="00AA0931"/>
    <w:rsid w:val="00AA2FD0"/>
    <w:rsid w:val="00AA3761"/>
    <w:rsid w:val="00AA76E3"/>
    <w:rsid w:val="00AB5491"/>
    <w:rsid w:val="00AB55A5"/>
    <w:rsid w:val="00AB728A"/>
    <w:rsid w:val="00AC3AC3"/>
    <w:rsid w:val="00AC76FD"/>
    <w:rsid w:val="00AD1C86"/>
    <w:rsid w:val="00AD51F6"/>
    <w:rsid w:val="00B1614D"/>
    <w:rsid w:val="00B2739C"/>
    <w:rsid w:val="00B35FD9"/>
    <w:rsid w:val="00B47F14"/>
    <w:rsid w:val="00B57F6B"/>
    <w:rsid w:val="00B61A0F"/>
    <w:rsid w:val="00B61ACA"/>
    <w:rsid w:val="00B825E7"/>
    <w:rsid w:val="00B83924"/>
    <w:rsid w:val="00B91B20"/>
    <w:rsid w:val="00BA1A62"/>
    <w:rsid w:val="00BA43DD"/>
    <w:rsid w:val="00BB08E1"/>
    <w:rsid w:val="00BB584C"/>
    <w:rsid w:val="00BB595B"/>
    <w:rsid w:val="00BB5F36"/>
    <w:rsid w:val="00BB6EB5"/>
    <w:rsid w:val="00BC01E8"/>
    <w:rsid w:val="00BC2692"/>
    <w:rsid w:val="00BD40D9"/>
    <w:rsid w:val="00C035B4"/>
    <w:rsid w:val="00C513C5"/>
    <w:rsid w:val="00C708A3"/>
    <w:rsid w:val="00C75099"/>
    <w:rsid w:val="00C80CAB"/>
    <w:rsid w:val="00C84890"/>
    <w:rsid w:val="00C93018"/>
    <w:rsid w:val="00CA66B1"/>
    <w:rsid w:val="00CA75FD"/>
    <w:rsid w:val="00CC1446"/>
    <w:rsid w:val="00CD132F"/>
    <w:rsid w:val="00CD1B00"/>
    <w:rsid w:val="00CD3E52"/>
    <w:rsid w:val="00CD64B5"/>
    <w:rsid w:val="00CE0F1D"/>
    <w:rsid w:val="00CE36B6"/>
    <w:rsid w:val="00CF76E7"/>
    <w:rsid w:val="00D07075"/>
    <w:rsid w:val="00D127B8"/>
    <w:rsid w:val="00D17F53"/>
    <w:rsid w:val="00D64A41"/>
    <w:rsid w:val="00D7616A"/>
    <w:rsid w:val="00D811F0"/>
    <w:rsid w:val="00DA35BB"/>
    <w:rsid w:val="00DA429D"/>
    <w:rsid w:val="00DA441D"/>
    <w:rsid w:val="00DA6680"/>
    <w:rsid w:val="00DA789A"/>
    <w:rsid w:val="00DD772E"/>
    <w:rsid w:val="00DE4BFF"/>
    <w:rsid w:val="00DF7293"/>
    <w:rsid w:val="00E0402A"/>
    <w:rsid w:val="00E078D1"/>
    <w:rsid w:val="00E2303B"/>
    <w:rsid w:val="00E37B6E"/>
    <w:rsid w:val="00E516AD"/>
    <w:rsid w:val="00E55783"/>
    <w:rsid w:val="00E56C9A"/>
    <w:rsid w:val="00E62659"/>
    <w:rsid w:val="00E833C3"/>
    <w:rsid w:val="00E84FF8"/>
    <w:rsid w:val="00E96564"/>
    <w:rsid w:val="00EB4E1C"/>
    <w:rsid w:val="00EB5D02"/>
    <w:rsid w:val="00EC79BA"/>
    <w:rsid w:val="00EC7BCC"/>
    <w:rsid w:val="00ED3D6A"/>
    <w:rsid w:val="00ED590E"/>
    <w:rsid w:val="00ED7227"/>
    <w:rsid w:val="00EE51CD"/>
    <w:rsid w:val="00F009A2"/>
    <w:rsid w:val="00F020AE"/>
    <w:rsid w:val="00F037B1"/>
    <w:rsid w:val="00F223CF"/>
    <w:rsid w:val="00F2389D"/>
    <w:rsid w:val="00F257CF"/>
    <w:rsid w:val="00F300CE"/>
    <w:rsid w:val="00F336DF"/>
    <w:rsid w:val="00F36597"/>
    <w:rsid w:val="00F47590"/>
    <w:rsid w:val="00F475BE"/>
    <w:rsid w:val="00F53B8D"/>
    <w:rsid w:val="00F6048D"/>
    <w:rsid w:val="00F62BEE"/>
    <w:rsid w:val="00F64DE9"/>
    <w:rsid w:val="00F754F2"/>
    <w:rsid w:val="00F85303"/>
    <w:rsid w:val="00F85E37"/>
    <w:rsid w:val="00F877BE"/>
    <w:rsid w:val="00F9357B"/>
    <w:rsid w:val="00F93AA7"/>
    <w:rsid w:val="00FA7D4B"/>
    <w:rsid w:val="00FC37FA"/>
    <w:rsid w:val="00FC7B86"/>
    <w:rsid w:val="00FF1426"/>
    <w:rsid w:val="00FF6979"/>
    <w:rsid w:val="00FF7762"/>
    <w:rsid w:val="00FF7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FD6EA4"/>
  <w15:chartTrackingRefBased/>
  <w15:docId w15:val="{AE6751DB-4518-43D0-9FC3-527639B55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00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00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00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00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00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00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00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00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00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00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00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00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00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00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00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00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00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00CE"/>
    <w:rPr>
      <w:rFonts w:eastAsiaTheme="majorEastAsia" w:cstheme="majorBidi"/>
      <w:color w:val="272727" w:themeColor="text1" w:themeTint="D8"/>
    </w:rPr>
  </w:style>
  <w:style w:type="paragraph" w:styleId="Title">
    <w:name w:val="Title"/>
    <w:basedOn w:val="Normal"/>
    <w:next w:val="Normal"/>
    <w:link w:val="TitleChar"/>
    <w:uiPriority w:val="10"/>
    <w:qFormat/>
    <w:rsid w:val="00F300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00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00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00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00CE"/>
    <w:pPr>
      <w:spacing w:before="160"/>
      <w:jc w:val="center"/>
    </w:pPr>
    <w:rPr>
      <w:i/>
      <w:iCs/>
      <w:color w:val="404040" w:themeColor="text1" w:themeTint="BF"/>
    </w:rPr>
  </w:style>
  <w:style w:type="character" w:customStyle="1" w:styleId="QuoteChar">
    <w:name w:val="Quote Char"/>
    <w:basedOn w:val="DefaultParagraphFont"/>
    <w:link w:val="Quote"/>
    <w:uiPriority w:val="29"/>
    <w:rsid w:val="00F300CE"/>
    <w:rPr>
      <w:i/>
      <w:iCs/>
      <w:color w:val="404040" w:themeColor="text1" w:themeTint="BF"/>
    </w:rPr>
  </w:style>
  <w:style w:type="paragraph" w:styleId="ListParagraph">
    <w:name w:val="List Paragraph"/>
    <w:basedOn w:val="Normal"/>
    <w:uiPriority w:val="34"/>
    <w:qFormat/>
    <w:rsid w:val="00F300CE"/>
    <w:pPr>
      <w:ind w:left="720"/>
      <w:contextualSpacing/>
    </w:pPr>
  </w:style>
  <w:style w:type="character" w:styleId="IntenseEmphasis">
    <w:name w:val="Intense Emphasis"/>
    <w:basedOn w:val="DefaultParagraphFont"/>
    <w:uiPriority w:val="21"/>
    <w:qFormat/>
    <w:rsid w:val="00F300CE"/>
    <w:rPr>
      <w:i/>
      <w:iCs/>
      <w:color w:val="0F4761" w:themeColor="accent1" w:themeShade="BF"/>
    </w:rPr>
  </w:style>
  <w:style w:type="paragraph" w:styleId="IntenseQuote">
    <w:name w:val="Intense Quote"/>
    <w:basedOn w:val="Normal"/>
    <w:next w:val="Normal"/>
    <w:link w:val="IntenseQuoteChar"/>
    <w:uiPriority w:val="30"/>
    <w:qFormat/>
    <w:rsid w:val="00F300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00CE"/>
    <w:rPr>
      <w:i/>
      <w:iCs/>
      <w:color w:val="0F4761" w:themeColor="accent1" w:themeShade="BF"/>
    </w:rPr>
  </w:style>
  <w:style w:type="character" w:styleId="IntenseReference">
    <w:name w:val="Intense Reference"/>
    <w:basedOn w:val="DefaultParagraphFont"/>
    <w:uiPriority w:val="32"/>
    <w:qFormat/>
    <w:rsid w:val="00F300CE"/>
    <w:rPr>
      <w:b/>
      <w:bCs/>
      <w:smallCaps/>
      <w:color w:val="0F4761" w:themeColor="accent1" w:themeShade="BF"/>
      <w:spacing w:val="5"/>
    </w:rPr>
  </w:style>
  <w:style w:type="paragraph" w:styleId="NormalWeb">
    <w:name w:val="Normal (Web)"/>
    <w:basedOn w:val="Normal"/>
    <w:uiPriority w:val="99"/>
    <w:semiHidden/>
    <w:unhideWhenUsed/>
    <w:rsid w:val="00AA76E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4113</Words>
  <Characters>28712</Characters>
  <Application>Microsoft Office Word</Application>
  <DocSecurity>0</DocSecurity>
  <Lines>610</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Sukeisha Bailey</dc:creator>
  <cp:keywords/>
  <dc:description/>
  <cp:lastModifiedBy>Sukeisha Bailey</cp:lastModifiedBy>
  <cp:revision>290</cp:revision>
  <dcterms:created xsi:type="dcterms:W3CDTF">2025-11-25T03:26:00Z</dcterms:created>
  <dcterms:modified xsi:type="dcterms:W3CDTF">2025-11-28T08:50:00Z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4b5f3980-0e3d-4493-9131-8e3e48ffcfde</vt:lpwstr>
  </property>
</Properties>
</file>