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D1C0FB" w14:textId="3FF90F29" w:rsidR="00D23411" w:rsidRDefault="00EB18E3" w:rsidP="003A49CB">
      <w:pPr>
        <w:pStyle w:val="Title"/>
        <w:jc w:val="center"/>
        <w:rPr>
          <w:u w:val="single"/>
        </w:rPr>
      </w:pPr>
      <w:r w:rsidRPr="00EB18E3">
        <w:rPr>
          <w:u w:val="single"/>
        </w:rPr>
        <w:t>Research Proposal</w:t>
      </w:r>
    </w:p>
    <w:p w14:paraId="4CF7C60D" w14:textId="5875CCEB" w:rsidR="00EB18E3" w:rsidRDefault="00EB18E3" w:rsidP="00EB18E3">
      <w:pPr>
        <w:pStyle w:val="Subtitle"/>
      </w:pPr>
    </w:p>
    <w:p w14:paraId="3A43384D" w14:textId="3FD3AF26" w:rsidR="00EB18E3" w:rsidRPr="00AC659E" w:rsidRDefault="00EB18E3" w:rsidP="00EB18E3">
      <w:pPr>
        <w:rPr>
          <w:b/>
          <w:bCs/>
          <w:color w:val="000000" w:themeColor="text1"/>
        </w:rPr>
      </w:pPr>
    </w:p>
    <w:p w14:paraId="36F32217" w14:textId="721E0C7A" w:rsidR="00EB18E3" w:rsidRPr="00AC659E" w:rsidRDefault="00EB18E3" w:rsidP="00AC659E">
      <w:pPr>
        <w:pStyle w:val="Subtitle"/>
        <w:jc w:val="center"/>
        <w:rPr>
          <w:rStyle w:val="Strong"/>
          <w:color w:val="000000" w:themeColor="text1"/>
          <w:sz w:val="24"/>
          <w:szCs w:val="24"/>
          <w:u w:val="single"/>
        </w:rPr>
      </w:pPr>
      <w:r w:rsidRPr="00AC659E">
        <w:rPr>
          <w:rStyle w:val="Strong"/>
          <w:color w:val="000000" w:themeColor="text1"/>
          <w:sz w:val="24"/>
          <w:szCs w:val="24"/>
          <w:u w:val="single"/>
        </w:rPr>
        <w:t>An analysis of PTSD in serving and retired Police Officers, and an evaluation of the</w:t>
      </w:r>
      <w:r w:rsidR="00AC659E" w:rsidRPr="00AC659E">
        <w:rPr>
          <w:rStyle w:val="Strong"/>
          <w:color w:val="000000" w:themeColor="text1"/>
          <w:sz w:val="24"/>
          <w:szCs w:val="24"/>
          <w:u w:val="single"/>
        </w:rPr>
        <w:t xml:space="preserve"> overall</w:t>
      </w:r>
      <w:r w:rsidRPr="00AC659E">
        <w:rPr>
          <w:rStyle w:val="Strong"/>
          <w:color w:val="000000" w:themeColor="text1"/>
          <w:sz w:val="24"/>
          <w:szCs w:val="24"/>
          <w:u w:val="single"/>
        </w:rPr>
        <w:t xml:space="preserve"> success of prevention measures implemented by UK Forces.</w:t>
      </w:r>
    </w:p>
    <w:p w14:paraId="0E58DF66" w14:textId="027EFB57" w:rsidR="00AC659E" w:rsidRDefault="00AC659E" w:rsidP="00AC659E"/>
    <w:p w14:paraId="5C7CDD52" w14:textId="77777777" w:rsidR="00AC659E" w:rsidRPr="00AC659E" w:rsidRDefault="00AC659E" w:rsidP="00AC659E"/>
    <w:p w14:paraId="0298187E" w14:textId="28C89819" w:rsidR="00EB18E3" w:rsidRPr="00B74CED" w:rsidRDefault="00AC659E" w:rsidP="00EB18E3">
      <w:pPr>
        <w:rPr>
          <w:b/>
          <w:bCs/>
          <w:u w:val="single"/>
        </w:rPr>
      </w:pPr>
      <w:r w:rsidRPr="00B74CED">
        <w:rPr>
          <w:b/>
          <w:bCs/>
          <w:u w:val="single"/>
        </w:rPr>
        <w:t xml:space="preserve">Introduction </w:t>
      </w:r>
    </w:p>
    <w:p w14:paraId="6C7C282C" w14:textId="55C09553" w:rsidR="00AC659E" w:rsidRDefault="00AC659E" w:rsidP="00EB18E3"/>
    <w:p w14:paraId="62F17CE5" w14:textId="520A22B1" w:rsidR="00EF0FBB" w:rsidRPr="00446884" w:rsidRDefault="001426E8" w:rsidP="00EB18E3">
      <w:pPr>
        <w:rPr>
          <w:rFonts w:cs="Arial"/>
          <w:sz w:val="22"/>
          <w:szCs w:val="22"/>
        </w:rPr>
      </w:pPr>
      <w:r w:rsidRPr="00446884">
        <w:rPr>
          <w:rFonts w:cs="Arial"/>
          <w:sz w:val="22"/>
          <w:szCs w:val="22"/>
        </w:rPr>
        <w:t xml:space="preserve">In this </w:t>
      </w:r>
      <w:r w:rsidR="000842B2" w:rsidRPr="00446884">
        <w:rPr>
          <w:rFonts w:cs="Arial"/>
          <w:sz w:val="22"/>
          <w:szCs w:val="22"/>
        </w:rPr>
        <w:t>modern era</w:t>
      </w:r>
      <w:r w:rsidRPr="00446884">
        <w:rPr>
          <w:rFonts w:cs="Arial"/>
          <w:sz w:val="22"/>
          <w:szCs w:val="22"/>
        </w:rPr>
        <w:t xml:space="preserve">, it goes without saying that Police Officers, amongst several other types of emergency workers, are exposed to several </w:t>
      </w:r>
      <w:r w:rsidR="00EF0FBB" w:rsidRPr="00446884">
        <w:rPr>
          <w:rFonts w:cs="Arial"/>
          <w:sz w:val="22"/>
          <w:szCs w:val="22"/>
        </w:rPr>
        <w:t xml:space="preserve">critical </w:t>
      </w:r>
      <w:r w:rsidRPr="00446884">
        <w:rPr>
          <w:rFonts w:cs="Arial"/>
          <w:sz w:val="22"/>
          <w:szCs w:val="22"/>
        </w:rPr>
        <w:t xml:space="preserve">incidents over the course of a lifetime that can be described as traumatic. </w:t>
      </w:r>
      <w:r w:rsidR="00EF0FBB" w:rsidRPr="00446884">
        <w:rPr>
          <w:rFonts w:cs="Arial"/>
          <w:sz w:val="22"/>
          <w:szCs w:val="22"/>
        </w:rPr>
        <w:t>These critical incidents range in frequency, however, can be experienced in a matter of days and weeks</w:t>
      </w:r>
      <w:r w:rsidR="00EC15A0" w:rsidRPr="00446884">
        <w:rPr>
          <w:rFonts w:cs="Arial"/>
          <w:sz w:val="22"/>
          <w:szCs w:val="22"/>
        </w:rPr>
        <w:t>; surpassing that of the average person by quite some margin. A symptom of this over-exposure is the development of mental health illnesses such as PTSD</w:t>
      </w:r>
      <w:r w:rsidR="00403895" w:rsidRPr="00446884">
        <w:rPr>
          <w:rFonts w:cs="Arial"/>
          <w:sz w:val="22"/>
          <w:szCs w:val="22"/>
        </w:rPr>
        <w:t xml:space="preserve"> (Post-traumatic stress disorder)</w:t>
      </w:r>
      <w:r w:rsidR="00EC15A0" w:rsidRPr="00446884">
        <w:rPr>
          <w:rFonts w:cs="Arial"/>
          <w:sz w:val="22"/>
          <w:szCs w:val="22"/>
        </w:rPr>
        <w:t xml:space="preserve">, which left un-treated or ignored can have serious and tragic repercussions over the course of a career. </w:t>
      </w:r>
    </w:p>
    <w:p w14:paraId="64A09BE1" w14:textId="77777777" w:rsidR="00EF0FBB" w:rsidRPr="00446884" w:rsidRDefault="00EF0FBB" w:rsidP="00EB18E3">
      <w:pPr>
        <w:rPr>
          <w:rFonts w:cs="Arial"/>
          <w:sz w:val="22"/>
          <w:szCs w:val="22"/>
        </w:rPr>
      </w:pPr>
    </w:p>
    <w:p w14:paraId="1870181C" w14:textId="09DB5CEB" w:rsidR="00B74CED" w:rsidRPr="00446884" w:rsidRDefault="000842B2" w:rsidP="00EB18E3">
      <w:pPr>
        <w:rPr>
          <w:rFonts w:cs="Arial"/>
          <w:sz w:val="22"/>
          <w:szCs w:val="22"/>
        </w:rPr>
      </w:pPr>
      <w:r w:rsidRPr="00446884">
        <w:rPr>
          <w:rFonts w:cs="Arial"/>
          <w:sz w:val="22"/>
          <w:szCs w:val="22"/>
        </w:rPr>
        <w:t>A study conducted in the UK identified that Police Officers exposure to traumatic and critical incidents increases their susceptibility to PTSD, which is as much as four-times higher than that of the general public, with a rate of prevalence of 13% (Bell and Eski 2015).</w:t>
      </w:r>
      <w:r w:rsidR="007138DF" w:rsidRPr="00446884">
        <w:rPr>
          <w:rStyle w:val="EndnoteReference"/>
          <w:rFonts w:cs="Arial"/>
          <w:sz w:val="22"/>
          <w:szCs w:val="22"/>
        </w:rPr>
        <w:endnoteReference w:id="1"/>
      </w:r>
      <w:r w:rsidR="00EF0FBB" w:rsidRPr="00446884">
        <w:rPr>
          <w:rFonts w:cs="Arial"/>
          <w:sz w:val="22"/>
          <w:szCs w:val="22"/>
        </w:rPr>
        <w:t xml:space="preserve"> </w:t>
      </w:r>
      <w:r w:rsidR="00B74CED" w:rsidRPr="00446884">
        <w:rPr>
          <w:rFonts w:cs="Arial"/>
          <w:sz w:val="22"/>
          <w:szCs w:val="22"/>
        </w:rPr>
        <w:t>PTSD is a primary outcome</w:t>
      </w:r>
      <w:r w:rsidR="00403895" w:rsidRPr="00446884">
        <w:rPr>
          <w:rFonts w:cs="Arial"/>
          <w:sz w:val="22"/>
          <w:szCs w:val="22"/>
        </w:rPr>
        <w:t xml:space="preserve"> of exposure to trauma and is the most frequent psychopathological consequence of traumatic events.</w:t>
      </w:r>
      <w:r w:rsidR="003A49CB">
        <w:rPr>
          <w:rFonts w:cs="Arial"/>
          <w:sz w:val="22"/>
          <w:szCs w:val="22"/>
        </w:rPr>
        <w:t xml:space="preserve"> </w:t>
      </w:r>
      <w:r w:rsidR="00403895" w:rsidRPr="00446884">
        <w:rPr>
          <w:rFonts w:cs="Arial"/>
          <w:sz w:val="22"/>
          <w:szCs w:val="22"/>
        </w:rPr>
        <w:t>(</w:t>
      </w:r>
      <w:r w:rsidR="00403895" w:rsidRPr="00446884">
        <w:rPr>
          <w:rFonts w:cs="Arial"/>
          <w:sz w:val="22"/>
          <w:szCs w:val="22"/>
        </w:rPr>
        <w:t>Shalev, Arieh Y et al</w:t>
      </w:r>
      <w:r w:rsidR="002B661C" w:rsidRPr="00446884">
        <w:rPr>
          <w:rFonts w:cs="Arial"/>
          <w:sz w:val="22"/>
          <w:szCs w:val="22"/>
        </w:rPr>
        <w:t xml:space="preserve">. </w:t>
      </w:r>
      <w:r w:rsidR="00403895" w:rsidRPr="00446884">
        <w:rPr>
          <w:rFonts w:cs="Arial"/>
          <w:sz w:val="22"/>
          <w:szCs w:val="22"/>
        </w:rPr>
        <w:t>2019</w:t>
      </w:r>
      <w:r w:rsidR="00403895" w:rsidRPr="00446884">
        <w:rPr>
          <w:rFonts w:cs="Arial"/>
          <w:sz w:val="22"/>
          <w:szCs w:val="22"/>
        </w:rPr>
        <w:t>)</w:t>
      </w:r>
      <w:r w:rsidR="00B07340" w:rsidRPr="00446884">
        <w:rPr>
          <w:rStyle w:val="EndnoteReference"/>
          <w:rFonts w:cs="Arial"/>
          <w:sz w:val="22"/>
          <w:szCs w:val="22"/>
        </w:rPr>
        <w:endnoteReference w:id="2"/>
      </w:r>
      <w:r w:rsidR="002B661C" w:rsidRPr="00446884">
        <w:rPr>
          <w:rFonts w:cs="Arial"/>
          <w:sz w:val="22"/>
          <w:szCs w:val="22"/>
        </w:rPr>
        <w:t xml:space="preserve"> </w:t>
      </w:r>
    </w:p>
    <w:p w14:paraId="029183DB" w14:textId="14AD227B" w:rsidR="002B661C" w:rsidRPr="00446884" w:rsidRDefault="002B661C" w:rsidP="00EB18E3">
      <w:pPr>
        <w:rPr>
          <w:rFonts w:cs="Arial"/>
          <w:sz w:val="22"/>
          <w:szCs w:val="22"/>
        </w:rPr>
      </w:pPr>
    </w:p>
    <w:p w14:paraId="73720A32" w14:textId="78FE199F" w:rsidR="00F3180A" w:rsidRDefault="00F3180A" w:rsidP="00EB18E3">
      <w:pPr>
        <w:rPr>
          <w:rFonts w:ascii="Arial" w:hAnsi="Arial" w:cs="Arial"/>
          <w:sz w:val="22"/>
          <w:szCs w:val="22"/>
        </w:rPr>
      </w:pPr>
    </w:p>
    <w:p w14:paraId="4729D389" w14:textId="77777777" w:rsidR="00F3180A" w:rsidRDefault="00F3180A" w:rsidP="00EB18E3">
      <w:pPr>
        <w:rPr>
          <w:rFonts w:ascii="Arial" w:hAnsi="Arial" w:cs="Arial"/>
          <w:sz w:val="22"/>
          <w:szCs w:val="22"/>
        </w:rPr>
      </w:pPr>
    </w:p>
    <w:p w14:paraId="6695613B" w14:textId="07A84EE8" w:rsidR="007138DF" w:rsidRDefault="007138DF" w:rsidP="00B07340">
      <w:pPr>
        <w:jc w:val="center"/>
        <w:rPr>
          <w:rFonts w:ascii="Arial" w:hAnsi="Arial" w:cs="Arial"/>
          <w:sz w:val="22"/>
          <w:szCs w:val="22"/>
        </w:rPr>
      </w:pPr>
      <w:r>
        <w:rPr>
          <w:rFonts w:ascii="Times New Roman" w:eastAsia="Times New Roman" w:hAnsi="Times New Roman" w:cs="Times New Roman"/>
          <w:noProof/>
          <w:lang w:eastAsia="en-GB"/>
        </w:rPr>
        <w:drawing>
          <wp:inline distT="0" distB="0" distL="0" distR="0" wp14:anchorId="72FBCB94" wp14:editId="734906CA">
            <wp:extent cx="2906162" cy="2164155"/>
            <wp:effectExtent l="0" t="0" r="2540" b="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3612" cy="2229277"/>
                    </a:xfrm>
                    <a:prstGeom prst="rect">
                      <a:avLst/>
                    </a:prstGeom>
                  </pic:spPr>
                </pic:pic>
              </a:graphicData>
            </a:graphic>
          </wp:inline>
        </w:drawing>
      </w:r>
    </w:p>
    <w:p w14:paraId="5EE7CE94" w14:textId="7DECFBB9" w:rsidR="00B07340" w:rsidRDefault="00B07340" w:rsidP="00B07340">
      <w:pPr>
        <w:jc w:val="center"/>
        <w:rPr>
          <w:rFonts w:ascii="Arial" w:hAnsi="Arial" w:cs="Arial"/>
          <w:sz w:val="22"/>
          <w:szCs w:val="22"/>
        </w:rPr>
      </w:pPr>
    </w:p>
    <w:p w14:paraId="0781E0FF" w14:textId="1CA1429F" w:rsidR="00B07340" w:rsidRDefault="00B07340" w:rsidP="00B07340">
      <w:pPr>
        <w:jc w:val="center"/>
        <w:rPr>
          <w:rFonts w:ascii="Arial" w:hAnsi="Arial" w:cs="Arial"/>
          <w:sz w:val="22"/>
          <w:szCs w:val="22"/>
        </w:rPr>
      </w:pPr>
    </w:p>
    <w:p w14:paraId="71859923" w14:textId="1AF892A8" w:rsidR="00B07340" w:rsidRDefault="00B07340" w:rsidP="00B07340">
      <w:pPr>
        <w:jc w:val="center"/>
        <w:rPr>
          <w:rFonts w:cs="Arial"/>
          <w:b/>
          <w:bCs/>
          <w:sz w:val="18"/>
          <w:szCs w:val="18"/>
        </w:rPr>
      </w:pPr>
      <w:r w:rsidRPr="00B07340">
        <w:rPr>
          <w:rFonts w:cs="Arial"/>
          <w:b/>
          <w:bCs/>
          <w:sz w:val="18"/>
          <w:szCs w:val="18"/>
        </w:rPr>
        <w:t xml:space="preserve">Figure 1 </w:t>
      </w:r>
      <w:r>
        <w:rPr>
          <w:rFonts w:cs="Arial"/>
          <w:b/>
          <w:bCs/>
          <w:sz w:val="18"/>
          <w:szCs w:val="18"/>
        </w:rPr>
        <w:t>–</w:t>
      </w:r>
      <w:r w:rsidRPr="00B07340">
        <w:rPr>
          <w:rFonts w:cs="Arial"/>
          <w:b/>
          <w:bCs/>
          <w:sz w:val="18"/>
          <w:szCs w:val="18"/>
        </w:rPr>
        <w:t xml:space="preserve"> </w:t>
      </w:r>
      <w:r>
        <w:rPr>
          <w:rFonts w:cs="Arial"/>
          <w:b/>
          <w:bCs/>
          <w:sz w:val="18"/>
          <w:szCs w:val="18"/>
        </w:rPr>
        <w:t xml:space="preserve">2018 Survey of </w:t>
      </w:r>
      <w:r w:rsidR="00446884">
        <w:rPr>
          <w:rFonts w:cs="Arial"/>
          <w:b/>
          <w:bCs/>
          <w:sz w:val="18"/>
          <w:szCs w:val="18"/>
        </w:rPr>
        <w:t>approximately 17,000</w:t>
      </w:r>
      <w:r>
        <w:rPr>
          <w:rFonts w:cs="Arial"/>
          <w:b/>
          <w:bCs/>
          <w:sz w:val="18"/>
          <w:szCs w:val="18"/>
        </w:rPr>
        <w:t xml:space="preserve"> </w:t>
      </w:r>
      <w:r w:rsidR="00446884">
        <w:rPr>
          <w:rFonts w:cs="Arial"/>
          <w:b/>
          <w:bCs/>
          <w:sz w:val="18"/>
          <w:szCs w:val="18"/>
        </w:rPr>
        <w:t xml:space="preserve">serving </w:t>
      </w:r>
      <w:r>
        <w:rPr>
          <w:rFonts w:cs="Arial"/>
          <w:b/>
          <w:bCs/>
          <w:sz w:val="18"/>
          <w:szCs w:val="18"/>
        </w:rPr>
        <w:t>Police Officers</w:t>
      </w:r>
      <w:r w:rsidR="00446884">
        <w:rPr>
          <w:rFonts w:cs="Arial"/>
          <w:b/>
          <w:bCs/>
          <w:sz w:val="18"/>
          <w:szCs w:val="18"/>
        </w:rPr>
        <w:t>.</w:t>
      </w:r>
    </w:p>
    <w:p w14:paraId="0D1E0EBA" w14:textId="469D33D8" w:rsidR="00446884" w:rsidRDefault="00446884" w:rsidP="00B07340">
      <w:pPr>
        <w:jc w:val="center"/>
        <w:rPr>
          <w:rFonts w:cs="Arial"/>
          <w:i/>
          <w:iCs/>
          <w:sz w:val="18"/>
          <w:szCs w:val="18"/>
        </w:rPr>
      </w:pPr>
      <w:r w:rsidRPr="00446884">
        <w:rPr>
          <w:rFonts w:cs="Arial"/>
          <w:i/>
          <w:iCs/>
          <w:sz w:val="18"/>
          <w:szCs w:val="18"/>
        </w:rPr>
        <w:t xml:space="preserve">(source: </w:t>
      </w:r>
      <w:r w:rsidRPr="00446884">
        <w:rPr>
          <w:rFonts w:cs="Arial"/>
          <w:i/>
          <w:iCs/>
          <w:sz w:val="18"/>
          <w:szCs w:val="18"/>
        </w:rPr>
        <w:t>Police Care, UK 2019</w:t>
      </w:r>
      <w:r>
        <w:rPr>
          <w:rFonts w:cs="Arial"/>
          <w:i/>
          <w:iCs/>
          <w:sz w:val="18"/>
          <w:szCs w:val="18"/>
        </w:rPr>
        <w:t>)</w:t>
      </w:r>
    </w:p>
    <w:p w14:paraId="62DBC4D4" w14:textId="34F05F72" w:rsidR="00446884" w:rsidRDefault="00446884" w:rsidP="00446884">
      <w:pPr>
        <w:rPr>
          <w:rFonts w:cs="Arial"/>
          <w:i/>
          <w:iCs/>
          <w:sz w:val="18"/>
          <w:szCs w:val="18"/>
        </w:rPr>
      </w:pPr>
    </w:p>
    <w:p w14:paraId="048A6B4A" w14:textId="4D42A550" w:rsidR="00446884" w:rsidRDefault="00446884" w:rsidP="00446884">
      <w:pPr>
        <w:rPr>
          <w:rFonts w:cs="Arial"/>
          <w:i/>
          <w:iCs/>
          <w:sz w:val="18"/>
          <w:szCs w:val="18"/>
        </w:rPr>
      </w:pPr>
    </w:p>
    <w:p w14:paraId="10CCC715" w14:textId="7F7947AA" w:rsidR="00446884" w:rsidRDefault="00446884" w:rsidP="00446884">
      <w:pPr>
        <w:rPr>
          <w:rFonts w:cs="Arial"/>
          <w:sz w:val="22"/>
          <w:szCs w:val="22"/>
        </w:rPr>
      </w:pPr>
      <w:r>
        <w:rPr>
          <w:rFonts w:cs="Arial"/>
          <w:sz w:val="22"/>
          <w:szCs w:val="22"/>
        </w:rPr>
        <w:t xml:space="preserve">A survey conducted in 2018 of approximately 17,000 serving Police officers </w:t>
      </w:r>
      <w:r w:rsidR="008A4719">
        <w:rPr>
          <w:rFonts w:cs="Arial"/>
          <w:sz w:val="22"/>
          <w:szCs w:val="22"/>
        </w:rPr>
        <w:t>by the University of Cambridge established that as much as 90% of Police Officers have experienced events which were to some extent traumatic, as outlined in Figure 1</w:t>
      </w:r>
      <w:r w:rsidR="00F30147">
        <w:rPr>
          <w:rFonts w:cs="Arial"/>
          <w:sz w:val="22"/>
          <w:szCs w:val="22"/>
        </w:rPr>
        <w:t xml:space="preserve"> (Police Care, UK 2019)</w:t>
      </w:r>
      <w:r w:rsidR="00F30147">
        <w:rPr>
          <w:rStyle w:val="EndnoteReference"/>
          <w:rFonts w:cs="Arial"/>
          <w:sz w:val="22"/>
          <w:szCs w:val="22"/>
        </w:rPr>
        <w:endnoteReference w:id="3"/>
      </w:r>
      <w:r w:rsidR="00F30147">
        <w:rPr>
          <w:rFonts w:cs="Arial"/>
          <w:sz w:val="22"/>
          <w:szCs w:val="22"/>
        </w:rPr>
        <w:t xml:space="preserve"> With as much as </w:t>
      </w:r>
      <w:r w:rsidR="00F3180A">
        <w:rPr>
          <w:rFonts w:cs="Arial"/>
          <w:sz w:val="22"/>
          <w:szCs w:val="22"/>
        </w:rPr>
        <w:t xml:space="preserve">90% of Police officers experiencing traumatic incidents, it is key to establish the link between traumatic incidents and PTSD. </w:t>
      </w:r>
    </w:p>
    <w:p w14:paraId="6ABF3021" w14:textId="43A64711" w:rsidR="004D14B4" w:rsidRDefault="004D14B4" w:rsidP="00446884">
      <w:pPr>
        <w:rPr>
          <w:rFonts w:cs="Arial"/>
          <w:sz w:val="22"/>
          <w:szCs w:val="22"/>
        </w:rPr>
      </w:pPr>
    </w:p>
    <w:p w14:paraId="5D01324A" w14:textId="11F315EE" w:rsidR="004D14B4" w:rsidRDefault="004D14B4" w:rsidP="00446884">
      <w:pPr>
        <w:rPr>
          <w:rFonts w:cs="Arial"/>
          <w:sz w:val="22"/>
          <w:szCs w:val="22"/>
        </w:rPr>
      </w:pPr>
    </w:p>
    <w:p w14:paraId="359D0528" w14:textId="56E25274" w:rsidR="004D14B4" w:rsidRDefault="004D14B4" w:rsidP="00446884">
      <w:pPr>
        <w:rPr>
          <w:rFonts w:cs="Arial"/>
          <w:b/>
          <w:bCs/>
          <w:sz w:val="22"/>
          <w:szCs w:val="22"/>
          <w:u w:val="single"/>
        </w:rPr>
      </w:pPr>
      <w:r w:rsidRPr="004D14B4">
        <w:rPr>
          <w:rFonts w:cs="Arial"/>
          <w:b/>
          <w:bCs/>
          <w:sz w:val="22"/>
          <w:szCs w:val="22"/>
          <w:u w:val="single"/>
        </w:rPr>
        <w:t xml:space="preserve">Research </w:t>
      </w:r>
      <w:r>
        <w:rPr>
          <w:rFonts w:cs="Arial"/>
          <w:b/>
          <w:bCs/>
          <w:sz w:val="22"/>
          <w:szCs w:val="22"/>
          <w:u w:val="single"/>
        </w:rPr>
        <w:t>Background and Objectives</w:t>
      </w:r>
    </w:p>
    <w:p w14:paraId="43821FAE" w14:textId="7206337E" w:rsidR="004D14B4" w:rsidRDefault="004D14B4" w:rsidP="00446884">
      <w:pPr>
        <w:rPr>
          <w:rFonts w:cs="Arial"/>
          <w:b/>
          <w:bCs/>
          <w:sz w:val="22"/>
          <w:szCs w:val="22"/>
          <w:u w:val="single"/>
        </w:rPr>
      </w:pPr>
    </w:p>
    <w:p w14:paraId="18E2CFB2" w14:textId="504691F1" w:rsidR="004D14B4" w:rsidRDefault="004D14B4" w:rsidP="00446884">
      <w:pPr>
        <w:rPr>
          <w:rFonts w:cs="Arial"/>
          <w:b/>
          <w:bCs/>
          <w:sz w:val="22"/>
          <w:szCs w:val="22"/>
          <w:u w:val="single"/>
        </w:rPr>
      </w:pPr>
    </w:p>
    <w:p w14:paraId="1FADAB41" w14:textId="77777777" w:rsidR="00F3180A" w:rsidRPr="00446884" w:rsidRDefault="00F3180A" w:rsidP="00446884">
      <w:pPr>
        <w:rPr>
          <w:rFonts w:cs="Arial"/>
          <w:sz w:val="22"/>
          <w:szCs w:val="22"/>
        </w:rPr>
      </w:pPr>
    </w:p>
    <w:p w14:paraId="0D069999" w14:textId="74D8D538" w:rsidR="00446884" w:rsidRPr="00B07340" w:rsidRDefault="004D14B4" w:rsidP="00B07340">
      <w:pPr>
        <w:jc w:val="center"/>
        <w:rPr>
          <w:rFonts w:cs="Arial"/>
          <w:b/>
          <w:bCs/>
          <w:sz w:val="18"/>
          <w:szCs w:val="18"/>
        </w:rPr>
      </w:pPr>
      <w:r>
        <w:rPr>
          <w:rFonts w:ascii="Arial" w:hAnsi="Arial" w:cs="Arial"/>
          <w:noProof/>
          <w:sz w:val="22"/>
          <w:szCs w:val="22"/>
        </w:rPr>
        <w:drawing>
          <wp:inline distT="0" distB="0" distL="0" distR="0" wp14:anchorId="3D78BD61" wp14:editId="5C060BC7">
            <wp:extent cx="2597750" cy="1955800"/>
            <wp:effectExtent l="0" t="0" r="6350" b="0"/>
            <wp:docPr id="10" name="Picture 10"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pie char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99294" cy="2032251"/>
                    </a:xfrm>
                    <a:prstGeom prst="rect">
                      <a:avLst/>
                    </a:prstGeom>
                  </pic:spPr>
                </pic:pic>
              </a:graphicData>
            </a:graphic>
          </wp:inline>
        </w:drawing>
      </w:r>
    </w:p>
    <w:p w14:paraId="07B3D787" w14:textId="7B7AD653" w:rsidR="007138DF" w:rsidRPr="004D14B4" w:rsidRDefault="007138DF" w:rsidP="00EB18E3">
      <w:pPr>
        <w:rPr>
          <w:rFonts w:cs="Arial"/>
          <w:sz w:val="22"/>
          <w:szCs w:val="22"/>
        </w:rPr>
      </w:pPr>
    </w:p>
    <w:p w14:paraId="60F61921" w14:textId="0CA4DD8A" w:rsidR="007138DF" w:rsidRPr="004D14B4" w:rsidRDefault="004D14B4" w:rsidP="004D14B4">
      <w:pPr>
        <w:jc w:val="center"/>
        <w:rPr>
          <w:rFonts w:cs="Arial"/>
          <w:b/>
          <w:bCs/>
          <w:sz w:val="18"/>
          <w:szCs w:val="18"/>
        </w:rPr>
      </w:pPr>
      <w:r w:rsidRPr="004D14B4">
        <w:rPr>
          <w:rFonts w:cs="Arial"/>
          <w:b/>
          <w:bCs/>
          <w:sz w:val="18"/>
          <w:szCs w:val="18"/>
        </w:rPr>
        <w:t>Figure 2 – 2018 survey of approximately 17,000 serving Police Officers.</w:t>
      </w:r>
    </w:p>
    <w:p w14:paraId="4F2F3660" w14:textId="77777777" w:rsidR="00B74CED" w:rsidRDefault="00B74CED" w:rsidP="00EB18E3">
      <w:pPr>
        <w:rPr>
          <w:rFonts w:ascii="Arial" w:hAnsi="Arial" w:cs="Arial"/>
          <w:sz w:val="22"/>
          <w:szCs w:val="22"/>
        </w:rPr>
      </w:pPr>
    </w:p>
    <w:p w14:paraId="7192BC5C" w14:textId="77777777" w:rsidR="004D14B4" w:rsidRDefault="004D14B4" w:rsidP="00EB18E3">
      <w:pPr>
        <w:rPr>
          <w:rFonts w:ascii="Arial" w:hAnsi="Arial" w:cs="Arial"/>
          <w:sz w:val="22"/>
          <w:szCs w:val="22"/>
        </w:rPr>
      </w:pPr>
    </w:p>
    <w:p w14:paraId="5FE6E8AD" w14:textId="084DFFCD" w:rsidR="004D14B4" w:rsidRDefault="004D14B4" w:rsidP="00EB18E3">
      <w:pPr>
        <w:rPr>
          <w:rFonts w:cs="Arial"/>
          <w:sz w:val="22"/>
          <w:szCs w:val="22"/>
        </w:rPr>
      </w:pPr>
      <w:r w:rsidRPr="004D14B4">
        <w:rPr>
          <w:rFonts w:cs="Arial"/>
          <w:sz w:val="22"/>
          <w:szCs w:val="22"/>
        </w:rPr>
        <w:t xml:space="preserve">As depicted in Figure 2, of the 17,000 Police officers that had undertaken the survey, 11.9% reported symptoms that were consistent with Complex PTSD, with 7.5% reporting symptoms of PTSD (ibid). This survey clearly displays the need for further research into this field, with almost 20% of the Police workforce reporting symptoms of PTSD depicting a very concerning statistic. </w:t>
      </w:r>
      <w:r>
        <w:rPr>
          <w:rFonts w:cs="Arial"/>
          <w:sz w:val="22"/>
          <w:szCs w:val="22"/>
        </w:rPr>
        <w:t>It is further reported by Cambridge University that for every 100 Police officers (or staff) who have experienced traumatic events, 20 are likely to have a current diagnosis of either PTSD or CPTSD, yet only 5 will have ever been told and only 1 or 2 are likely to have been clinically diagnosed (ibid). This begs the question of whether UK Police Forces have come to the realisation of how deeply-rooted this issue is</w:t>
      </w:r>
      <w:r w:rsidR="003A49CB">
        <w:rPr>
          <w:rFonts w:cs="Arial"/>
          <w:sz w:val="22"/>
          <w:szCs w:val="22"/>
        </w:rPr>
        <w:t>.</w:t>
      </w:r>
      <w:r>
        <w:rPr>
          <w:rFonts w:cs="Arial"/>
          <w:sz w:val="22"/>
          <w:szCs w:val="22"/>
        </w:rPr>
        <w:t xml:space="preserve"> </w:t>
      </w:r>
    </w:p>
    <w:p w14:paraId="5EF53554" w14:textId="000BB136" w:rsidR="004D14B4" w:rsidRDefault="004D14B4" w:rsidP="00EB18E3">
      <w:pPr>
        <w:rPr>
          <w:rFonts w:cs="Arial"/>
          <w:sz w:val="22"/>
          <w:szCs w:val="22"/>
        </w:rPr>
      </w:pPr>
    </w:p>
    <w:p w14:paraId="765109B3" w14:textId="77777777" w:rsidR="003A49CB" w:rsidRDefault="003A49CB" w:rsidP="00EB18E3">
      <w:pPr>
        <w:rPr>
          <w:rFonts w:cs="Arial"/>
          <w:sz w:val="22"/>
          <w:szCs w:val="22"/>
        </w:rPr>
      </w:pPr>
    </w:p>
    <w:p w14:paraId="6AB1494F" w14:textId="0A09A469" w:rsidR="00D96C32" w:rsidRDefault="00D96C32" w:rsidP="00EB18E3">
      <w:pPr>
        <w:rPr>
          <w:rFonts w:cs="Arial"/>
          <w:sz w:val="22"/>
          <w:szCs w:val="22"/>
        </w:rPr>
      </w:pPr>
      <w:r>
        <w:rPr>
          <w:rFonts w:cs="Arial"/>
          <w:sz w:val="22"/>
          <w:szCs w:val="22"/>
        </w:rPr>
        <w:t xml:space="preserve">A key piece of literature that explores this question is “Break a leg – It’s all in the mind” by Bell and Eski (2015). This research discusses directly the issue of PTSD in Police officers, and the cultural stigmas precluding Officers from seeking out the help. </w:t>
      </w:r>
      <w:r w:rsidR="00322AC9">
        <w:rPr>
          <w:rFonts w:cs="Arial"/>
          <w:sz w:val="22"/>
          <w:szCs w:val="22"/>
        </w:rPr>
        <w:t xml:space="preserve">Furthermore, </w:t>
      </w:r>
      <w:r>
        <w:rPr>
          <w:rFonts w:cs="Arial"/>
          <w:sz w:val="22"/>
          <w:szCs w:val="22"/>
        </w:rPr>
        <w:t xml:space="preserve">It is proclaimed by Bell and Eski (2015), that a key cause of the stigma is the reluctance to be painted as “Weak” by colleagues, or to hamper potential career prospects. </w:t>
      </w:r>
    </w:p>
    <w:p w14:paraId="2D1B9626" w14:textId="78453829" w:rsidR="00D96C32" w:rsidRDefault="00D96C32" w:rsidP="00EB18E3">
      <w:pPr>
        <w:rPr>
          <w:rFonts w:cs="Arial"/>
          <w:sz w:val="22"/>
          <w:szCs w:val="22"/>
        </w:rPr>
      </w:pPr>
    </w:p>
    <w:p w14:paraId="128866EC" w14:textId="77777777" w:rsidR="00D96C32" w:rsidRDefault="00D96C32" w:rsidP="00EB18E3">
      <w:pPr>
        <w:rPr>
          <w:rFonts w:cs="Arial"/>
          <w:sz w:val="22"/>
          <w:szCs w:val="22"/>
        </w:rPr>
      </w:pPr>
    </w:p>
    <w:p w14:paraId="5FF41E43" w14:textId="65D72740" w:rsidR="00D96C32" w:rsidRDefault="00D96C32" w:rsidP="00EB18E3">
      <w:pPr>
        <w:rPr>
          <w:rFonts w:cs="Arial"/>
          <w:sz w:val="22"/>
          <w:szCs w:val="22"/>
        </w:rPr>
      </w:pPr>
      <w:r>
        <w:rPr>
          <w:rFonts w:cs="Arial"/>
          <w:sz w:val="22"/>
          <w:szCs w:val="22"/>
        </w:rPr>
        <w:t>Additionally, Soomro and Yanos (2018)</w:t>
      </w:r>
      <w:r>
        <w:rPr>
          <w:rStyle w:val="EndnoteReference"/>
          <w:rFonts w:cs="Arial"/>
          <w:sz w:val="22"/>
          <w:szCs w:val="22"/>
        </w:rPr>
        <w:endnoteReference w:id="4"/>
      </w:r>
      <w:r>
        <w:rPr>
          <w:rFonts w:cs="Arial"/>
          <w:sz w:val="22"/>
          <w:szCs w:val="22"/>
        </w:rPr>
        <w:t xml:space="preserve"> state how seeking help outside of the organisation of the Police force is regarded with distrust and suspicion amongst colleagues. Subsequently, an officer who seeks help for mental health illnesses, including PTSD, is regarded as a “weaker officer”. In regard to seeking help from within the organisation, Bell and Eski (2015) </w:t>
      </w:r>
      <w:r w:rsidR="003A49CB">
        <w:rPr>
          <w:rFonts w:cs="Arial"/>
          <w:sz w:val="22"/>
          <w:szCs w:val="22"/>
        </w:rPr>
        <w:t xml:space="preserve">put </w:t>
      </w:r>
      <w:r>
        <w:rPr>
          <w:rFonts w:cs="Arial"/>
          <w:sz w:val="22"/>
          <w:szCs w:val="22"/>
        </w:rPr>
        <w:t xml:space="preserve">forth the question of “Whom will Police officers rely on to share and debrief their experiences when the very colleagues they rely upon are not available?”. This collegial interaction is sometimes referred to as the “Canteen-culture”, which due to austerity is now a lost art in the self-therapy of Police personnel. </w:t>
      </w:r>
    </w:p>
    <w:p w14:paraId="6AAD9FCC" w14:textId="15E12BA7" w:rsidR="00D96C32" w:rsidRDefault="00D96C32" w:rsidP="00EB18E3">
      <w:pPr>
        <w:rPr>
          <w:rFonts w:cs="Arial"/>
          <w:sz w:val="22"/>
          <w:szCs w:val="22"/>
        </w:rPr>
      </w:pPr>
    </w:p>
    <w:p w14:paraId="7A5456D1" w14:textId="10939620" w:rsidR="00D96C32" w:rsidRDefault="00D96C32" w:rsidP="00EB18E3">
      <w:pPr>
        <w:rPr>
          <w:rFonts w:cs="Arial"/>
          <w:sz w:val="22"/>
          <w:szCs w:val="22"/>
        </w:rPr>
      </w:pPr>
    </w:p>
    <w:p w14:paraId="08F30965" w14:textId="0BC831A9" w:rsidR="00D96C32" w:rsidRDefault="00D96C32" w:rsidP="00EB18E3">
      <w:pPr>
        <w:rPr>
          <w:rFonts w:cs="Arial"/>
          <w:sz w:val="22"/>
          <w:szCs w:val="22"/>
        </w:rPr>
      </w:pPr>
      <w:r>
        <w:rPr>
          <w:rFonts w:cs="Arial"/>
          <w:sz w:val="22"/>
          <w:szCs w:val="22"/>
        </w:rPr>
        <w:t xml:space="preserve">An interesting theory into the development of PTSD and other mental health illness in officers is the “Cost of Caring”. As stated by </w:t>
      </w:r>
      <w:r w:rsidRPr="00D96C32">
        <w:rPr>
          <w:rFonts w:cs="Arial"/>
          <w:sz w:val="22"/>
          <w:szCs w:val="22"/>
        </w:rPr>
        <w:t>Foley</w:t>
      </w:r>
      <w:r>
        <w:rPr>
          <w:rFonts w:cs="Arial"/>
          <w:sz w:val="22"/>
          <w:szCs w:val="22"/>
        </w:rPr>
        <w:t xml:space="preserve"> </w:t>
      </w:r>
      <w:r w:rsidRPr="00D96C32">
        <w:rPr>
          <w:rFonts w:cs="Arial"/>
          <w:sz w:val="22"/>
          <w:szCs w:val="22"/>
        </w:rPr>
        <w:t>and Massey (2020)</w:t>
      </w:r>
      <w:r>
        <w:rPr>
          <w:rStyle w:val="EndnoteReference"/>
          <w:rFonts w:cs="Arial"/>
          <w:sz w:val="22"/>
          <w:szCs w:val="22"/>
        </w:rPr>
        <w:endnoteReference w:id="5"/>
      </w:r>
      <w:r>
        <w:rPr>
          <w:rFonts w:cs="Arial"/>
          <w:sz w:val="22"/>
          <w:szCs w:val="22"/>
        </w:rPr>
        <w:t xml:space="preserve">, the “Cost of Caring” is defined as secondary trauma, experienced by an individual who is in the constant presence of a primary trauma sufferer. </w:t>
      </w:r>
      <w:r>
        <w:rPr>
          <w:rFonts w:cs="Arial"/>
          <w:sz w:val="22"/>
          <w:szCs w:val="22"/>
        </w:rPr>
        <w:lastRenderedPageBreak/>
        <w:t xml:space="preserve">The trauma can be passed onto the secondary individual (the carer), as he/she forms an emotional connection with the traumatised individual. The “cost of caring” theory needs to be explored further, and whether this exposure to victims of mental health and illness is altering </w:t>
      </w:r>
      <w:r w:rsidR="003A49CB">
        <w:rPr>
          <w:rFonts w:cs="Arial"/>
          <w:sz w:val="22"/>
          <w:szCs w:val="22"/>
        </w:rPr>
        <w:t>officers’</w:t>
      </w:r>
      <w:r>
        <w:rPr>
          <w:rFonts w:cs="Arial"/>
          <w:sz w:val="22"/>
          <w:szCs w:val="22"/>
        </w:rPr>
        <w:t xml:space="preserve"> attitudes towards mental health as a whole; Bell and Eski (2015) re-affirm this point, stating how the knowledge of mental health in British Policing and </w:t>
      </w:r>
      <w:r w:rsidR="00957C81">
        <w:rPr>
          <w:rFonts w:cs="Arial"/>
          <w:sz w:val="22"/>
          <w:szCs w:val="22"/>
        </w:rPr>
        <w:t>officers’</w:t>
      </w:r>
      <w:r>
        <w:rPr>
          <w:rFonts w:cs="Arial"/>
          <w:sz w:val="22"/>
          <w:szCs w:val="22"/>
        </w:rPr>
        <w:t xml:space="preserve"> attitudes towards victims of mental health is “scant”, with even less research about Police officers attitudes towards colleagues experiencing PTSD and mental health issues. </w:t>
      </w:r>
    </w:p>
    <w:p w14:paraId="11CA13E6" w14:textId="5A16EC9B" w:rsidR="00D96C32" w:rsidRDefault="00D96C32" w:rsidP="00EB18E3">
      <w:pPr>
        <w:rPr>
          <w:rFonts w:cs="Arial"/>
          <w:sz w:val="22"/>
          <w:szCs w:val="22"/>
        </w:rPr>
      </w:pPr>
    </w:p>
    <w:p w14:paraId="3C7FD219" w14:textId="0EABD01E" w:rsidR="00D96C32" w:rsidRDefault="00D96C32" w:rsidP="00EB18E3">
      <w:pPr>
        <w:rPr>
          <w:rFonts w:cs="Arial"/>
          <w:sz w:val="22"/>
          <w:szCs w:val="22"/>
        </w:rPr>
      </w:pPr>
    </w:p>
    <w:p w14:paraId="705BC9DD" w14:textId="46DEF575" w:rsidR="00D96C32" w:rsidRDefault="00D96C32" w:rsidP="00EB18E3">
      <w:pPr>
        <w:rPr>
          <w:rFonts w:cs="Arial"/>
          <w:sz w:val="22"/>
          <w:szCs w:val="22"/>
        </w:rPr>
      </w:pPr>
      <w:r>
        <w:rPr>
          <w:rFonts w:cs="Arial"/>
          <w:sz w:val="22"/>
          <w:szCs w:val="22"/>
        </w:rPr>
        <w:t>The purpose of this research is to attempt to answer the following question’s;</w:t>
      </w:r>
    </w:p>
    <w:p w14:paraId="727B6942" w14:textId="03820E6E" w:rsidR="00D96C32" w:rsidRDefault="00D96C32" w:rsidP="00EB18E3">
      <w:pPr>
        <w:rPr>
          <w:rFonts w:cs="Arial"/>
          <w:sz w:val="22"/>
          <w:szCs w:val="22"/>
        </w:rPr>
      </w:pPr>
    </w:p>
    <w:p w14:paraId="2F703268" w14:textId="77777777" w:rsidR="00D96C32" w:rsidRDefault="00D96C32" w:rsidP="00EB18E3">
      <w:pPr>
        <w:rPr>
          <w:rFonts w:cs="Arial"/>
          <w:sz w:val="22"/>
          <w:szCs w:val="22"/>
        </w:rPr>
      </w:pPr>
    </w:p>
    <w:p w14:paraId="54D610EB" w14:textId="510572F5" w:rsidR="00D96C32" w:rsidRDefault="00D96C32" w:rsidP="00D96C32">
      <w:pPr>
        <w:pStyle w:val="ListParagraph"/>
        <w:numPr>
          <w:ilvl w:val="0"/>
          <w:numId w:val="1"/>
        </w:numPr>
        <w:rPr>
          <w:sz w:val="22"/>
          <w:szCs w:val="22"/>
        </w:rPr>
      </w:pPr>
      <w:r w:rsidRPr="00D96C32">
        <w:rPr>
          <w:sz w:val="22"/>
          <w:szCs w:val="22"/>
        </w:rPr>
        <w:t>How prolific and understood is PTSD amongst other mental health disorders amongst Police officers, serving and retired?</w:t>
      </w:r>
    </w:p>
    <w:p w14:paraId="295EC2E2" w14:textId="77777777" w:rsidR="00D96C32" w:rsidRPr="00D96C32" w:rsidRDefault="00D96C32" w:rsidP="00D96C32">
      <w:pPr>
        <w:pStyle w:val="ListParagraph"/>
        <w:numPr>
          <w:ilvl w:val="0"/>
          <w:numId w:val="1"/>
        </w:numPr>
        <w:rPr>
          <w:sz w:val="22"/>
          <w:szCs w:val="22"/>
        </w:rPr>
      </w:pPr>
      <w:r w:rsidRPr="00D96C32">
        <w:rPr>
          <w:sz w:val="22"/>
          <w:szCs w:val="22"/>
        </w:rPr>
        <w:t xml:space="preserve">What is the general attitude of Police officers towards people and colleagues suffering with mental health, including the stigmatisation of seeking help? </w:t>
      </w:r>
    </w:p>
    <w:p w14:paraId="02F3C90C" w14:textId="57B70435" w:rsidR="00D96C32" w:rsidRDefault="00D96C32" w:rsidP="00D96C32">
      <w:pPr>
        <w:pStyle w:val="ListParagraph"/>
        <w:numPr>
          <w:ilvl w:val="0"/>
          <w:numId w:val="1"/>
        </w:numPr>
        <w:rPr>
          <w:sz w:val="22"/>
          <w:szCs w:val="22"/>
        </w:rPr>
      </w:pPr>
      <w:r w:rsidRPr="00D96C32">
        <w:rPr>
          <w:sz w:val="22"/>
          <w:szCs w:val="22"/>
        </w:rPr>
        <w:t xml:space="preserve">Is the problem of PTSD fully understood by UK Forces, and is the help/support available to officers, </w:t>
      </w:r>
      <w:r w:rsidRPr="00D96C32">
        <w:rPr>
          <w:i/>
          <w:iCs/>
          <w:sz w:val="22"/>
          <w:szCs w:val="22"/>
        </w:rPr>
        <w:t>serving and retired</w:t>
      </w:r>
      <w:r w:rsidRPr="00D96C32">
        <w:rPr>
          <w:sz w:val="22"/>
          <w:szCs w:val="22"/>
        </w:rPr>
        <w:t xml:space="preserve">, a proportionate response to remedy the issue? </w:t>
      </w:r>
    </w:p>
    <w:p w14:paraId="232956C6" w14:textId="7335C244" w:rsidR="00D96C32" w:rsidRDefault="00D96C32" w:rsidP="00D96C32">
      <w:pPr>
        <w:rPr>
          <w:sz w:val="22"/>
          <w:szCs w:val="22"/>
        </w:rPr>
      </w:pPr>
    </w:p>
    <w:p w14:paraId="706A9FF7" w14:textId="4587AAE9" w:rsidR="00D96C32" w:rsidRDefault="00D96C32" w:rsidP="00D96C32">
      <w:pPr>
        <w:rPr>
          <w:sz w:val="22"/>
          <w:szCs w:val="22"/>
        </w:rPr>
      </w:pPr>
    </w:p>
    <w:p w14:paraId="2ABFF881" w14:textId="215F018F" w:rsidR="00D96C32" w:rsidRDefault="00D96C32" w:rsidP="00D96C32">
      <w:pPr>
        <w:rPr>
          <w:sz w:val="22"/>
          <w:szCs w:val="22"/>
        </w:rPr>
      </w:pPr>
      <w:r>
        <w:rPr>
          <w:sz w:val="22"/>
          <w:szCs w:val="22"/>
        </w:rPr>
        <w:t xml:space="preserve">I believe this research to be key and vitally important for the field of PTSD amongst Police officers. The most up to date study conducted by the University of Cambridge in 2018, does not account for the significant uplift of </w:t>
      </w:r>
      <w:r w:rsidR="00322AC9">
        <w:rPr>
          <w:sz w:val="22"/>
          <w:szCs w:val="22"/>
        </w:rPr>
        <w:t xml:space="preserve">approximately 10,000 </w:t>
      </w:r>
      <w:r>
        <w:rPr>
          <w:sz w:val="22"/>
          <w:szCs w:val="22"/>
        </w:rPr>
        <w:t>‘new’ officers since 2019 (GOV.UK 2021)</w:t>
      </w:r>
      <w:r>
        <w:rPr>
          <w:rStyle w:val="EndnoteReference"/>
          <w:sz w:val="22"/>
          <w:szCs w:val="22"/>
        </w:rPr>
        <w:endnoteReference w:id="6"/>
      </w:r>
      <w:r w:rsidR="00894712">
        <w:rPr>
          <w:sz w:val="22"/>
          <w:szCs w:val="22"/>
        </w:rPr>
        <w:t>; this represents a gap in knowledge which needs to be explored further</w:t>
      </w:r>
      <w:r w:rsidR="00C31D0A">
        <w:rPr>
          <w:sz w:val="22"/>
          <w:szCs w:val="22"/>
        </w:rPr>
        <w:t xml:space="preserve"> and has not yet been researched</w:t>
      </w:r>
      <w:r w:rsidR="00894712">
        <w:rPr>
          <w:sz w:val="22"/>
          <w:szCs w:val="22"/>
        </w:rPr>
        <w:t>.</w:t>
      </w:r>
      <w:r>
        <w:rPr>
          <w:sz w:val="22"/>
          <w:szCs w:val="22"/>
        </w:rPr>
        <w:t xml:space="preserve"> </w:t>
      </w:r>
      <w:r w:rsidR="00894712">
        <w:rPr>
          <w:sz w:val="22"/>
          <w:szCs w:val="22"/>
        </w:rPr>
        <w:t>Moreover</w:t>
      </w:r>
      <w:r>
        <w:rPr>
          <w:sz w:val="22"/>
          <w:szCs w:val="22"/>
        </w:rPr>
        <w:t xml:space="preserve">, this survey does not include officers who are now retired. To fully understand the extent of the issue, these focus groups need to be included. </w:t>
      </w:r>
    </w:p>
    <w:p w14:paraId="0DBAED5F" w14:textId="5731035E" w:rsidR="00D96C32" w:rsidRDefault="00D96C32" w:rsidP="00D96C32">
      <w:pPr>
        <w:rPr>
          <w:sz w:val="22"/>
          <w:szCs w:val="22"/>
        </w:rPr>
      </w:pPr>
    </w:p>
    <w:p w14:paraId="079A2C31" w14:textId="77777777" w:rsidR="003A49CB" w:rsidRDefault="003A49CB" w:rsidP="00D96C32">
      <w:pPr>
        <w:rPr>
          <w:b/>
          <w:bCs/>
          <w:sz w:val="22"/>
          <w:szCs w:val="22"/>
          <w:u w:val="single"/>
        </w:rPr>
      </w:pPr>
    </w:p>
    <w:p w14:paraId="2A9512C8" w14:textId="409E0781" w:rsidR="00D96C32" w:rsidRDefault="00D96C32" w:rsidP="00D96C32">
      <w:pPr>
        <w:rPr>
          <w:b/>
          <w:bCs/>
          <w:sz w:val="22"/>
          <w:szCs w:val="22"/>
          <w:u w:val="single"/>
        </w:rPr>
      </w:pPr>
      <w:r w:rsidRPr="00D96C32">
        <w:rPr>
          <w:b/>
          <w:bCs/>
          <w:sz w:val="22"/>
          <w:szCs w:val="22"/>
          <w:u w:val="single"/>
        </w:rPr>
        <w:t>Research Methodology</w:t>
      </w:r>
    </w:p>
    <w:p w14:paraId="0992AB95" w14:textId="5ACD287A" w:rsidR="003A49CB" w:rsidRDefault="003A49CB" w:rsidP="00D96C32">
      <w:pPr>
        <w:rPr>
          <w:b/>
          <w:bCs/>
          <w:sz w:val="22"/>
          <w:szCs w:val="22"/>
          <w:u w:val="single"/>
        </w:rPr>
      </w:pPr>
    </w:p>
    <w:p w14:paraId="0B96B6C0" w14:textId="77777777" w:rsidR="003A49CB" w:rsidRDefault="003A49CB" w:rsidP="00D96C32">
      <w:pPr>
        <w:rPr>
          <w:b/>
          <w:bCs/>
          <w:sz w:val="22"/>
          <w:szCs w:val="22"/>
          <w:u w:val="single"/>
        </w:rPr>
      </w:pPr>
    </w:p>
    <w:p w14:paraId="54594BBD" w14:textId="73EF0C51" w:rsidR="00322AC9" w:rsidRDefault="00322AC9" w:rsidP="00D96C32">
      <w:pPr>
        <w:rPr>
          <w:sz w:val="22"/>
          <w:szCs w:val="22"/>
        </w:rPr>
      </w:pPr>
      <w:r>
        <w:rPr>
          <w:sz w:val="22"/>
          <w:szCs w:val="22"/>
        </w:rPr>
        <w:t xml:space="preserve">As stated by </w:t>
      </w:r>
      <w:r w:rsidRPr="00322AC9">
        <w:rPr>
          <w:sz w:val="22"/>
          <w:szCs w:val="22"/>
        </w:rPr>
        <w:t xml:space="preserve">Wilcox, Adam B et al., </w:t>
      </w:r>
      <w:r>
        <w:rPr>
          <w:sz w:val="22"/>
          <w:szCs w:val="22"/>
        </w:rPr>
        <w:t>(</w:t>
      </w:r>
      <w:r w:rsidRPr="00322AC9">
        <w:rPr>
          <w:sz w:val="22"/>
          <w:szCs w:val="22"/>
        </w:rPr>
        <w:t>2012</w:t>
      </w:r>
      <w:r>
        <w:rPr>
          <w:sz w:val="22"/>
          <w:szCs w:val="22"/>
        </w:rPr>
        <w:t>)</w:t>
      </w:r>
      <w:r w:rsidR="003A49CB">
        <w:rPr>
          <w:rStyle w:val="EndnoteReference"/>
          <w:sz w:val="22"/>
          <w:szCs w:val="22"/>
        </w:rPr>
        <w:endnoteReference w:id="7"/>
      </w:r>
      <w:r>
        <w:rPr>
          <w:sz w:val="22"/>
          <w:szCs w:val="22"/>
        </w:rPr>
        <w:t xml:space="preserve">, data collection is critical to clinical research, and often, is a prominent factor in determining the cost and success of a research project. It is further stated by </w:t>
      </w:r>
      <w:r w:rsidRPr="00322AC9">
        <w:rPr>
          <w:sz w:val="22"/>
          <w:szCs w:val="22"/>
        </w:rPr>
        <w:t>Williams, C. (2007)</w:t>
      </w:r>
      <w:r w:rsidR="003A49CB">
        <w:rPr>
          <w:rStyle w:val="EndnoteReference"/>
          <w:sz w:val="22"/>
          <w:szCs w:val="22"/>
        </w:rPr>
        <w:endnoteReference w:id="8"/>
      </w:r>
      <w:r>
        <w:rPr>
          <w:sz w:val="22"/>
          <w:szCs w:val="22"/>
        </w:rPr>
        <w:t xml:space="preserve"> that there are three forms of collating data, through quantitative, qualitative and mixed methods. When describing quantitative research, Williams, C. (2007) suggests that </w:t>
      </w:r>
      <w:r w:rsidR="003A49CB">
        <w:rPr>
          <w:sz w:val="22"/>
          <w:szCs w:val="22"/>
        </w:rPr>
        <w:t xml:space="preserve">in </w:t>
      </w:r>
      <w:r>
        <w:rPr>
          <w:sz w:val="22"/>
          <w:szCs w:val="22"/>
        </w:rPr>
        <w:t xml:space="preserve">the </w:t>
      </w:r>
      <w:r w:rsidR="003A49CB" w:rsidRPr="003A49CB">
        <w:rPr>
          <w:sz w:val="22"/>
          <w:szCs w:val="22"/>
        </w:rPr>
        <w:t xml:space="preserve">observational </w:t>
      </w:r>
      <w:r w:rsidR="003A49CB" w:rsidRPr="003A49CB">
        <w:rPr>
          <w:sz w:val="22"/>
          <w:szCs w:val="22"/>
        </w:rPr>
        <w:t>study method, the researcher observes a particular</w:t>
      </w:r>
      <w:r w:rsidR="003A49CB" w:rsidRPr="003A49CB">
        <w:rPr>
          <w:sz w:val="22"/>
          <w:szCs w:val="22"/>
        </w:rPr>
        <w:t xml:space="preserve"> aspect of human </w:t>
      </w:r>
      <w:r w:rsidR="003A49CB" w:rsidRPr="003A49CB">
        <w:rPr>
          <w:sz w:val="22"/>
          <w:szCs w:val="22"/>
        </w:rPr>
        <w:t>behaviour</w:t>
      </w:r>
      <w:r w:rsidR="003A49CB" w:rsidRPr="003A49CB">
        <w:rPr>
          <w:sz w:val="22"/>
          <w:szCs w:val="22"/>
        </w:rPr>
        <w:t xml:space="preserve"> with as much objectivity as possible and records the data.</w:t>
      </w:r>
    </w:p>
    <w:p w14:paraId="422F7490" w14:textId="319781D2" w:rsidR="003A49CB" w:rsidRDefault="003A49CB" w:rsidP="00D96C32">
      <w:pPr>
        <w:rPr>
          <w:sz w:val="22"/>
          <w:szCs w:val="22"/>
        </w:rPr>
      </w:pPr>
    </w:p>
    <w:p w14:paraId="1C5C1009" w14:textId="12DFEC55" w:rsidR="003A49CB" w:rsidRDefault="003A49CB" w:rsidP="00D96C32">
      <w:pPr>
        <w:rPr>
          <w:sz w:val="22"/>
          <w:szCs w:val="22"/>
        </w:rPr>
      </w:pPr>
    </w:p>
    <w:p w14:paraId="337A4229" w14:textId="4390B8F9" w:rsidR="003A49CB" w:rsidRDefault="003A49CB" w:rsidP="00D96C32">
      <w:pPr>
        <w:rPr>
          <w:sz w:val="22"/>
          <w:szCs w:val="22"/>
        </w:rPr>
      </w:pPr>
      <w:r>
        <w:rPr>
          <w:sz w:val="22"/>
          <w:szCs w:val="22"/>
        </w:rPr>
        <w:t>Primary data will be obtained through internal surveys submitted to serving and retired Police officers, police staff, federation members and staff involved in welfare. In utilising this quantitative approach, I intend to capture the social phenomena in the moment and consider this approach to be key in obtaining the data which is vital in answering the questions of my research.</w:t>
      </w:r>
    </w:p>
    <w:p w14:paraId="71221826" w14:textId="4405601E" w:rsidR="003A49CB" w:rsidRDefault="003A49CB" w:rsidP="00D96C32">
      <w:pPr>
        <w:rPr>
          <w:sz w:val="22"/>
          <w:szCs w:val="22"/>
        </w:rPr>
      </w:pPr>
    </w:p>
    <w:p w14:paraId="1D45318C" w14:textId="028A88C0" w:rsidR="003A49CB" w:rsidRDefault="003A49CB" w:rsidP="00D96C32">
      <w:pPr>
        <w:rPr>
          <w:sz w:val="22"/>
          <w:szCs w:val="22"/>
        </w:rPr>
      </w:pPr>
    </w:p>
    <w:p w14:paraId="17ACECC4" w14:textId="65CB4339" w:rsidR="003A49CB" w:rsidRDefault="003A49CB" w:rsidP="00D96C32">
      <w:pPr>
        <w:rPr>
          <w:sz w:val="22"/>
          <w:szCs w:val="22"/>
        </w:rPr>
      </w:pPr>
      <w:r>
        <w:rPr>
          <w:sz w:val="22"/>
          <w:szCs w:val="22"/>
        </w:rPr>
        <w:t>Despite quantitative data being a large section of my research, I intend to utilise quantitative analysis in order to obtain secondary data through key pieces of literature and research undertaken by credible organisations. Additionally, I intend to undertake interviews within the Policing organisation in order to obtain the data. Overall, in doing so I will be undertaken a mixed approach to research methodology, this will involve the triangulation method, as depicted in figure 3, which according to Salkind, N (2010)</w:t>
      </w:r>
      <w:r>
        <w:rPr>
          <w:rStyle w:val="EndnoteReference"/>
          <w:sz w:val="22"/>
          <w:szCs w:val="22"/>
        </w:rPr>
        <w:endnoteReference w:id="9"/>
      </w:r>
      <w:r>
        <w:rPr>
          <w:sz w:val="22"/>
          <w:szCs w:val="22"/>
        </w:rPr>
        <w:t xml:space="preserve"> aligns multiple perspectives and leads to a more comprehensive view </w:t>
      </w:r>
      <w:r>
        <w:rPr>
          <w:sz w:val="22"/>
          <w:szCs w:val="22"/>
        </w:rPr>
        <w:lastRenderedPageBreak/>
        <w:t>of the phenomenon of interest. This enhances the credibility of the research study. In order to analyse the data collated, I intend to make constant reference to the objectives set out in this research project.</w:t>
      </w:r>
    </w:p>
    <w:p w14:paraId="6B18F45B" w14:textId="12EC1A7F" w:rsidR="003A49CB" w:rsidRDefault="003A49CB" w:rsidP="00D96C32">
      <w:pPr>
        <w:rPr>
          <w:sz w:val="22"/>
          <w:szCs w:val="22"/>
        </w:rPr>
      </w:pPr>
    </w:p>
    <w:p w14:paraId="06C12A52" w14:textId="3B813766" w:rsidR="003A49CB" w:rsidRDefault="003A49CB" w:rsidP="00D96C32">
      <w:pPr>
        <w:rPr>
          <w:sz w:val="22"/>
          <w:szCs w:val="22"/>
        </w:rPr>
      </w:pPr>
    </w:p>
    <w:p w14:paraId="673712F4" w14:textId="77777777" w:rsidR="003A49CB" w:rsidRDefault="003A49CB" w:rsidP="00D96C32">
      <w:pPr>
        <w:rPr>
          <w:sz w:val="22"/>
          <w:szCs w:val="22"/>
        </w:rPr>
      </w:pPr>
    </w:p>
    <w:p w14:paraId="2C5581FD" w14:textId="3E6D9935" w:rsidR="00D96C32" w:rsidRPr="00D96C32" w:rsidRDefault="003A49CB" w:rsidP="003A49CB">
      <w:pPr>
        <w:jc w:val="center"/>
        <w:rPr>
          <w:b/>
          <w:bCs/>
          <w:sz w:val="22"/>
          <w:szCs w:val="22"/>
          <w:u w:val="single"/>
        </w:rPr>
      </w:pPr>
      <w:r>
        <w:rPr>
          <w:noProof/>
          <w:sz w:val="22"/>
          <w:szCs w:val="22"/>
        </w:rPr>
        <w:drawing>
          <wp:inline distT="0" distB="0" distL="0" distR="0" wp14:anchorId="0D9B6618" wp14:editId="1DA8570D">
            <wp:extent cx="4978400" cy="193040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78400" cy="1930400"/>
                    </a:xfrm>
                    <a:prstGeom prst="rect">
                      <a:avLst/>
                    </a:prstGeom>
                  </pic:spPr>
                </pic:pic>
              </a:graphicData>
            </a:graphic>
          </wp:inline>
        </w:drawing>
      </w:r>
    </w:p>
    <w:p w14:paraId="441F5AE1" w14:textId="77777777" w:rsidR="003A49CB" w:rsidRDefault="003A49CB" w:rsidP="00D96C32">
      <w:pPr>
        <w:rPr>
          <w:sz w:val="18"/>
          <w:szCs w:val="18"/>
        </w:rPr>
      </w:pPr>
      <w:r>
        <w:rPr>
          <w:sz w:val="22"/>
          <w:szCs w:val="22"/>
        </w:rPr>
        <w:t xml:space="preserve">                            </w:t>
      </w:r>
      <w:r w:rsidRPr="003A49CB">
        <w:rPr>
          <w:sz w:val="18"/>
          <w:szCs w:val="18"/>
        </w:rPr>
        <w:t xml:space="preserve">       </w:t>
      </w:r>
    </w:p>
    <w:p w14:paraId="17A40D93" w14:textId="01EE3186" w:rsidR="00D96C32" w:rsidRDefault="003A49CB" w:rsidP="003A49CB">
      <w:pPr>
        <w:jc w:val="center"/>
        <w:rPr>
          <w:sz w:val="18"/>
          <w:szCs w:val="18"/>
        </w:rPr>
      </w:pPr>
      <w:r w:rsidRPr="003A49CB">
        <w:rPr>
          <w:sz w:val="18"/>
          <w:szCs w:val="18"/>
        </w:rPr>
        <w:t>Figure 2: A Visual Diagram of the Mixed-Methods Concurrent Triangulation Strategy</w:t>
      </w:r>
    </w:p>
    <w:p w14:paraId="52A25FFA" w14:textId="435D9D52" w:rsidR="00D96C32" w:rsidRDefault="003A49CB" w:rsidP="003A49CB">
      <w:pPr>
        <w:jc w:val="center"/>
        <w:rPr>
          <w:sz w:val="18"/>
          <w:szCs w:val="18"/>
        </w:rPr>
      </w:pPr>
      <w:r>
        <w:rPr>
          <w:sz w:val="18"/>
          <w:szCs w:val="18"/>
        </w:rPr>
        <w:t>Source; Atif, A et al (2013)</w:t>
      </w:r>
      <w:r>
        <w:rPr>
          <w:rStyle w:val="EndnoteReference"/>
          <w:sz w:val="18"/>
          <w:szCs w:val="18"/>
        </w:rPr>
        <w:endnoteReference w:id="10"/>
      </w:r>
    </w:p>
    <w:p w14:paraId="79691B3E" w14:textId="50470C2A" w:rsidR="003A49CB" w:rsidRDefault="003A49CB" w:rsidP="003A49CB">
      <w:pPr>
        <w:jc w:val="center"/>
        <w:rPr>
          <w:sz w:val="18"/>
          <w:szCs w:val="18"/>
        </w:rPr>
      </w:pPr>
    </w:p>
    <w:p w14:paraId="67902B50" w14:textId="2661BDA2" w:rsidR="003A49CB" w:rsidRDefault="003A49CB" w:rsidP="003A49CB">
      <w:pPr>
        <w:rPr>
          <w:sz w:val="18"/>
          <w:szCs w:val="18"/>
        </w:rPr>
      </w:pPr>
    </w:p>
    <w:p w14:paraId="0EB4C0A1" w14:textId="77777777" w:rsidR="003A49CB" w:rsidRDefault="003A49CB" w:rsidP="003A49CB">
      <w:pPr>
        <w:rPr>
          <w:sz w:val="18"/>
          <w:szCs w:val="18"/>
        </w:rPr>
      </w:pPr>
    </w:p>
    <w:p w14:paraId="7864D111" w14:textId="4EB5806C" w:rsidR="003A49CB" w:rsidRDefault="003A49CB" w:rsidP="00EB18E3">
      <w:pPr>
        <w:rPr>
          <w:rFonts w:cs="Arial"/>
          <w:sz w:val="22"/>
          <w:szCs w:val="22"/>
        </w:rPr>
      </w:pPr>
    </w:p>
    <w:p w14:paraId="2FF80DB6" w14:textId="0EE7FF61" w:rsidR="007138DF" w:rsidRPr="003A49CB" w:rsidRDefault="003A49CB" w:rsidP="00EB18E3">
      <w:pPr>
        <w:rPr>
          <w:rFonts w:ascii="Arial" w:hAnsi="Arial" w:cs="Arial"/>
          <w:b/>
          <w:bCs/>
          <w:sz w:val="22"/>
          <w:szCs w:val="22"/>
          <w:u w:val="single"/>
        </w:rPr>
      </w:pPr>
      <w:r w:rsidRPr="003A49CB">
        <w:rPr>
          <w:rFonts w:ascii="Arial" w:hAnsi="Arial" w:cs="Arial"/>
          <w:b/>
          <w:bCs/>
          <w:sz w:val="22"/>
          <w:szCs w:val="22"/>
          <w:u w:val="single"/>
        </w:rPr>
        <w:t>Validity and Timeframe</w:t>
      </w:r>
    </w:p>
    <w:p w14:paraId="69C0176F" w14:textId="3A9BAD66" w:rsidR="007138DF" w:rsidRDefault="007138DF" w:rsidP="00EB18E3">
      <w:pPr>
        <w:rPr>
          <w:rFonts w:ascii="Arial" w:hAnsi="Arial" w:cs="Arial"/>
          <w:sz w:val="22"/>
          <w:szCs w:val="22"/>
        </w:rPr>
      </w:pPr>
    </w:p>
    <w:p w14:paraId="0157F514" w14:textId="77777777" w:rsidR="003A49CB" w:rsidRDefault="003A49CB" w:rsidP="00EB18E3">
      <w:pPr>
        <w:rPr>
          <w:rFonts w:ascii="Arial" w:hAnsi="Arial" w:cs="Arial"/>
          <w:sz w:val="22"/>
          <w:szCs w:val="22"/>
        </w:rPr>
      </w:pPr>
    </w:p>
    <w:p w14:paraId="5C22BCB2" w14:textId="37220DD7" w:rsidR="007138DF" w:rsidRDefault="003A49CB" w:rsidP="00EB18E3">
      <w:pPr>
        <w:rPr>
          <w:rFonts w:ascii="Arial" w:hAnsi="Arial" w:cs="Arial"/>
          <w:sz w:val="22"/>
          <w:szCs w:val="22"/>
        </w:rPr>
      </w:pPr>
      <w:r>
        <w:rPr>
          <w:rFonts w:ascii="Arial" w:hAnsi="Arial" w:cs="Arial"/>
          <w:sz w:val="22"/>
          <w:szCs w:val="22"/>
        </w:rPr>
        <w:t>First and foremost, due to the sensitive nature of the topic, all participants in the research will be informed of the upmost confidentiality of which the primary data obtained will be treated. Subsequently, this will ensure the validity of the research, with the research subjects providing more honest answers in response to the level of confidentiality.</w:t>
      </w:r>
    </w:p>
    <w:p w14:paraId="3079B4FE" w14:textId="48213D7A" w:rsidR="003A49CB" w:rsidRDefault="003A49CB" w:rsidP="00EB18E3">
      <w:pPr>
        <w:rPr>
          <w:rFonts w:ascii="Arial" w:hAnsi="Arial" w:cs="Arial"/>
          <w:sz w:val="22"/>
          <w:szCs w:val="22"/>
        </w:rPr>
      </w:pPr>
    </w:p>
    <w:p w14:paraId="3E405CEB" w14:textId="463976EB" w:rsidR="003A49CB" w:rsidRDefault="003A49CB" w:rsidP="00EB18E3">
      <w:pPr>
        <w:rPr>
          <w:rFonts w:ascii="Arial" w:hAnsi="Arial" w:cs="Arial"/>
          <w:sz w:val="22"/>
          <w:szCs w:val="22"/>
        </w:rPr>
      </w:pPr>
    </w:p>
    <w:p w14:paraId="2593DD28" w14:textId="10D26EBD" w:rsidR="003A49CB" w:rsidRDefault="003A49CB" w:rsidP="00EB18E3">
      <w:pPr>
        <w:rPr>
          <w:rFonts w:ascii="Arial" w:hAnsi="Arial" w:cs="Arial"/>
          <w:sz w:val="22"/>
          <w:szCs w:val="22"/>
        </w:rPr>
      </w:pPr>
      <w:r>
        <w:rPr>
          <w:rFonts w:ascii="Arial" w:hAnsi="Arial" w:cs="Arial"/>
          <w:sz w:val="22"/>
          <w:szCs w:val="22"/>
        </w:rPr>
        <w:t xml:space="preserve">Each question will be open and aim to receive an open and honest reply. This will prevent the use of ‘leading questions’, which in turn will diminish the validity of the research. The method and the style of the questions will be inspected prior to the submission of the survey, in order to ensure all questions are open and are in line with the research objectives. </w:t>
      </w:r>
    </w:p>
    <w:p w14:paraId="48A28CBD" w14:textId="1EFE0714" w:rsidR="003A49CB" w:rsidRDefault="003A49CB" w:rsidP="00EB18E3">
      <w:pPr>
        <w:rPr>
          <w:rFonts w:ascii="Arial" w:hAnsi="Arial" w:cs="Arial"/>
          <w:sz w:val="22"/>
          <w:szCs w:val="22"/>
        </w:rPr>
      </w:pPr>
    </w:p>
    <w:p w14:paraId="12624AA2" w14:textId="5FD5DD73" w:rsidR="003A49CB" w:rsidRDefault="003A49CB" w:rsidP="00EB18E3">
      <w:pPr>
        <w:rPr>
          <w:rFonts w:ascii="Arial" w:hAnsi="Arial" w:cs="Arial"/>
          <w:sz w:val="22"/>
          <w:szCs w:val="22"/>
        </w:rPr>
      </w:pPr>
    </w:p>
    <w:p w14:paraId="2A9D7240" w14:textId="46F4DBA9" w:rsidR="003A49CB" w:rsidRDefault="003A49CB" w:rsidP="00EB18E3">
      <w:pPr>
        <w:rPr>
          <w:rFonts w:ascii="Arial" w:hAnsi="Arial" w:cs="Arial"/>
          <w:sz w:val="22"/>
          <w:szCs w:val="22"/>
        </w:rPr>
      </w:pPr>
      <w:r>
        <w:rPr>
          <w:rFonts w:ascii="Arial" w:hAnsi="Arial" w:cs="Arial"/>
          <w:sz w:val="22"/>
          <w:szCs w:val="22"/>
        </w:rPr>
        <w:t>Due to working a full-time role in the Police, and having family commitments, ensuring a suitable timeframe is key in obtaining the most complete research. The following timeframe will provide the framework to my research:</w:t>
      </w:r>
    </w:p>
    <w:p w14:paraId="03D08804" w14:textId="71FEA664" w:rsidR="003A49CB" w:rsidRDefault="003A49CB" w:rsidP="00EB18E3">
      <w:pPr>
        <w:rPr>
          <w:rFonts w:ascii="Arial" w:hAnsi="Arial" w:cs="Arial"/>
          <w:sz w:val="22"/>
          <w:szCs w:val="22"/>
        </w:rPr>
      </w:pPr>
    </w:p>
    <w:p w14:paraId="51423939" w14:textId="749A12F3" w:rsidR="003A49CB" w:rsidRDefault="003A49CB" w:rsidP="00EB18E3">
      <w:pPr>
        <w:rPr>
          <w:rFonts w:ascii="Arial" w:hAnsi="Arial" w:cs="Arial"/>
          <w:sz w:val="22"/>
          <w:szCs w:val="22"/>
        </w:rPr>
      </w:pPr>
    </w:p>
    <w:p w14:paraId="332D6774" w14:textId="2DF5D9C6" w:rsidR="003A49CB" w:rsidRPr="003A49CB" w:rsidRDefault="003A49CB" w:rsidP="00EB18E3">
      <w:pPr>
        <w:pStyle w:val="ListParagraph"/>
        <w:numPr>
          <w:ilvl w:val="0"/>
          <w:numId w:val="2"/>
        </w:numPr>
        <w:rPr>
          <w:rFonts w:ascii="Arial" w:hAnsi="Arial" w:cs="Arial"/>
          <w:sz w:val="22"/>
          <w:szCs w:val="22"/>
        </w:rPr>
      </w:pPr>
      <w:r w:rsidRPr="003A49CB">
        <w:rPr>
          <w:rFonts w:ascii="Arial" w:hAnsi="Arial" w:cs="Arial"/>
          <w:sz w:val="22"/>
          <w:szCs w:val="22"/>
        </w:rPr>
        <w:t>JUNE – JULY 2021 – Literature Review</w:t>
      </w:r>
    </w:p>
    <w:p w14:paraId="7B762152" w14:textId="7DE951C7" w:rsidR="003A49CB" w:rsidRDefault="003A49CB" w:rsidP="00EB18E3">
      <w:pPr>
        <w:rPr>
          <w:rFonts w:ascii="Arial" w:hAnsi="Arial" w:cs="Arial"/>
          <w:sz w:val="22"/>
          <w:szCs w:val="22"/>
        </w:rPr>
      </w:pPr>
    </w:p>
    <w:p w14:paraId="1DF33DA2" w14:textId="18004F05" w:rsidR="003A49CB" w:rsidRPr="003A49CB" w:rsidRDefault="003A49CB" w:rsidP="00EB18E3">
      <w:pPr>
        <w:pStyle w:val="ListParagraph"/>
        <w:numPr>
          <w:ilvl w:val="0"/>
          <w:numId w:val="2"/>
        </w:numPr>
        <w:rPr>
          <w:rFonts w:ascii="Arial" w:hAnsi="Arial" w:cs="Arial"/>
          <w:sz w:val="22"/>
          <w:szCs w:val="22"/>
        </w:rPr>
      </w:pPr>
      <w:r w:rsidRPr="003A49CB">
        <w:rPr>
          <w:rFonts w:ascii="Arial" w:hAnsi="Arial" w:cs="Arial"/>
          <w:sz w:val="22"/>
          <w:szCs w:val="22"/>
        </w:rPr>
        <w:t>JULY – AUGUST 2021 – Research methodology and planning</w:t>
      </w:r>
    </w:p>
    <w:p w14:paraId="0FBF1E28" w14:textId="31F49CF4" w:rsidR="003A49CB" w:rsidRDefault="003A49CB" w:rsidP="00EB18E3">
      <w:pPr>
        <w:rPr>
          <w:rFonts w:ascii="Arial" w:hAnsi="Arial" w:cs="Arial"/>
          <w:sz w:val="22"/>
          <w:szCs w:val="22"/>
        </w:rPr>
      </w:pPr>
    </w:p>
    <w:p w14:paraId="10360DDE" w14:textId="0DB92645" w:rsidR="003A49CB" w:rsidRPr="003A49CB" w:rsidRDefault="003A49CB" w:rsidP="003A49CB">
      <w:pPr>
        <w:pStyle w:val="ListParagraph"/>
        <w:numPr>
          <w:ilvl w:val="0"/>
          <w:numId w:val="2"/>
        </w:numPr>
        <w:rPr>
          <w:rFonts w:ascii="Arial" w:hAnsi="Arial" w:cs="Arial"/>
          <w:sz w:val="22"/>
          <w:szCs w:val="22"/>
        </w:rPr>
      </w:pPr>
      <w:r w:rsidRPr="003A49CB">
        <w:rPr>
          <w:rFonts w:ascii="Arial" w:hAnsi="Arial" w:cs="Arial"/>
          <w:sz w:val="22"/>
          <w:szCs w:val="22"/>
        </w:rPr>
        <w:t>AUGUST – OCTOBER 2021 – Analysis of results</w:t>
      </w:r>
    </w:p>
    <w:p w14:paraId="740E85E1" w14:textId="6C32FBC0" w:rsidR="003A49CB" w:rsidRDefault="003A49CB" w:rsidP="00EB18E3">
      <w:pPr>
        <w:rPr>
          <w:rFonts w:ascii="Arial" w:hAnsi="Arial" w:cs="Arial"/>
          <w:sz w:val="22"/>
          <w:szCs w:val="22"/>
        </w:rPr>
      </w:pPr>
    </w:p>
    <w:p w14:paraId="594415D2" w14:textId="1F4927FB" w:rsidR="003A49CB" w:rsidRPr="003A49CB" w:rsidRDefault="003A49CB" w:rsidP="00EB18E3">
      <w:pPr>
        <w:pStyle w:val="ListParagraph"/>
        <w:numPr>
          <w:ilvl w:val="0"/>
          <w:numId w:val="2"/>
        </w:numPr>
        <w:rPr>
          <w:rFonts w:ascii="Arial" w:hAnsi="Arial" w:cs="Arial"/>
          <w:sz w:val="22"/>
          <w:szCs w:val="22"/>
        </w:rPr>
      </w:pPr>
      <w:r w:rsidRPr="003A49CB">
        <w:rPr>
          <w:rFonts w:ascii="Arial" w:hAnsi="Arial" w:cs="Arial"/>
          <w:sz w:val="22"/>
          <w:szCs w:val="22"/>
        </w:rPr>
        <w:t>OCTOBER – NOVEMBER 2021 – Findings and conclusion</w:t>
      </w:r>
    </w:p>
    <w:p w14:paraId="13024E07" w14:textId="5A780DA0" w:rsidR="003A49CB" w:rsidRDefault="003A49CB" w:rsidP="00EB18E3">
      <w:pPr>
        <w:rPr>
          <w:rFonts w:ascii="Arial" w:hAnsi="Arial" w:cs="Arial"/>
          <w:sz w:val="22"/>
          <w:szCs w:val="22"/>
        </w:rPr>
      </w:pPr>
    </w:p>
    <w:p w14:paraId="4AAF9DF9" w14:textId="236E53EF" w:rsidR="003A49CB" w:rsidRPr="003A49CB" w:rsidRDefault="003A49CB" w:rsidP="003A49CB">
      <w:pPr>
        <w:pStyle w:val="ListParagraph"/>
        <w:numPr>
          <w:ilvl w:val="0"/>
          <w:numId w:val="2"/>
        </w:numPr>
        <w:rPr>
          <w:rFonts w:ascii="Arial" w:hAnsi="Arial" w:cs="Arial"/>
          <w:sz w:val="22"/>
          <w:szCs w:val="22"/>
        </w:rPr>
      </w:pPr>
      <w:r w:rsidRPr="003A49CB">
        <w:rPr>
          <w:rFonts w:ascii="Arial" w:hAnsi="Arial" w:cs="Arial"/>
          <w:sz w:val="22"/>
          <w:szCs w:val="22"/>
        </w:rPr>
        <w:t>End of NOVEMEBR – Submission of final project.</w:t>
      </w:r>
    </w:p>
    <w:p w14:paraId="1742BDCD" w14:textId="76782ECC" w:rsidR="003A49CB" w:rsidRDefault="003A49CB" w:rsidP="00EB18E3">
      <w:pPr>
        <w:rPr>
          <w:rFonts w:ascii="Arial" w:hAnsi="Arial" w:cs="Arial"/>
          <w:sz w:val="22"/>
          <w:szCs w:val="22"/>
        </w:rPr>
      </w:pPr>
    </w:p>
    <w:p w14:paraId="7BA83354" w14:textId="77777777" w:rsidR="003A49CB" w:rsidRDefault="003A49CB" w:rsidP="00EB18E3">
      <w:pPr>
        <w:rPr>
          <w:rFonts w:ascii="Arial" w:hAnsi="Arial" w:cs="Arial"/>
          <w:sz w:val="22"/>
          <w:szCs w:val="22"/>
        </w:rPr>
      </w:pPr>
    </w:p>
    <w:p w14:paraId="1AFABC4A" w14:textId="20162CFD" w:rsidR="007138DF" w:rsidRDefault="007138DF" w:rsidP="00EB18E3">
      <w:pPr>
        <w:rPr>
          <w:rFonts w:ascii="Arial" w:hAnsi="Arial" w:cs="Arial"/>
          <w:sz w:val="22"/>
          <w:szCs w:val="22"/>
        </w:rPr>
      </w:pPr>
    </w:p>
    <w:p w14:paraId="0DC8B20A" w14:textId="6762F216" w:rsidR="007138DF" w:rsidRDefault="007138DF" w:rsidP="00EB18E3">
      <w:pPr>
        <w:rPr>
          <w:rFonts w:ascii="Arial" w:hAnsi="Arial" w:cs="Arial"/>
          <w:sz w:val="22"/>
          <w:szCs w:val="22"/>
        </w:rPr>
      </w:pPr>
    </w:p>
    <w:p w14:paraId="59EE28A2" w14:textId="2099A53F" w:rsidR="007138DF" w:rsidRDefault="007138DF" w:rsidP="00EB18E3">
      <w:pPr>
        <w:rPr>
          <w:rFonts w:ascii="Arial" w:hAnsi="Arial" w:cs="Arial"/>
          <w:sz w:val="22"/>
          <w:szCs w:val="22"/>
        </w:rPr>
      </w:pPr>
    </w:p>
    <w:p w14:paraId="416525EC" w14:textId="09CEE5AE" w:rsidR="007138DF" w:rsidRDefault="007138DF" w:rsidP="00EB18E3">
      <w:pPr>
        <w:rPr>
          <w:rFonts w:ascii="Arial" w:hAnsi="Arial" w:cs="Arial"/>
          <w:sz w:val="22"/>
          <w:szCs w:val="22"/>
        </w:rPr>
      </w:pPr>
    </w:p>
    <w:p w14:paraId="432465BB" w14:textId="665F8B3A" w:rsidR="007138DF" w:rsidRDefault="007138DF" w:rsidP="00EB18E3">
      <w:pPr>
        <w:rPr>
          <w:rFonts w:ascii="Arial" w:hAnsi="Arial" w:cs="Arial"/>
          <w:sz w:val="22"/>
          <w:szCs w:val="22"/>
        </w:rPr>
      </w:pPr>
    </w:p>
    <w:p w14:paraId="7A6D172B" w14:textId="77777777" w:rsidR="007138DF" w:rsidRDefault="007138DF" w:rsidP="00EB18E3">
      <w:pPr>
        <w:rPr>
          <w:rFonts w:ascii="Arial" w:hAnsi="Arial" w:cs="Arial"/>
          <w:sz w:val="22"/>
          <w:szCs w:val="22"/>
        </w:rPr>
      </w:pPr>
    </w:p>
    <w:p w14:paraId="4B0EC69D" w14:textId="607A3BA8" w:rsidR="001426E8" w:rsidRDefault="00B74CED" w:rsidP="00EB18E3">
      <w:pPr>
        <w:rPr>
          <w:rFonts w:ascii="Arial" w:hAnsi="Arial" w:cs="Arial"/>
          <w:sz w:val="22"/>
          <w:szCs w:val="22"/>
        </w:rPr>
      </w:pPr>
      <w:r>
        <w:rPr>
          <w:rFonts w:ascii="Arial" w:hAnsi="Arial" w:cs="Arial"/>
          <w:sz w:val="22"/>
          <w:szCs w:val="22"/>
        </w:rPr>
        <w:t xml:space="preserve">                                                                                        </w:t>
      </w:r>
    </w:p>
    <w:p w14:paraId="6C0BC494" w14:textId="61C2D784" w:rsidR="00AC659E" w:rsidRDefault="00AC659E" w:rsidP="00EB18E3">
      <w:pPr>
        <w:rPr>
          <w:rFonts w:ascii="Arial" w:hAnsi="Arial" w:cs="Arial"/>
          <w:sz w:val="22"/>
          <w:szCs w:val="22"/>
        </w:rPr>
      </w:pPr>
    </w:p>
    <w:p w14:paraId="0AD2C03E" w14:textId="5225C378" w:rsidR="00B74CED" w:rsidRDefault="00B74CED" w:rsidP="00EB18E3">
      <w:pPr>
        <w:rPr>
          <w:rFonts w:ascii="Arial" w:hAnsi="Arial" w:cs="Arial"/>
          <w:sz w:val="22"/>
          <w:szCs w:val="22"/>
        </w:rPr>
      </w:pPr>
    </w:p>
    <w:p w14:paraId="749C4831" w14:textId="68B7B964" w:rsidR="00B74CED" w:rsidRPr="00B74CED" w:rsidRDefault="00B74CED" w:rsidP="00B74CED">
      <w:pPr>
        <w:rPr>
          <w:rFonts w:ascii="Times New Roman" w:eastAsia="Times New Roman" w:hAnsi="Times New Roman" w:cs="Times New Roman"/>
          <w:lang w:eastAsia="en-GB"/>
        </w:rPr>
      </w:pPr>
    </w:p>
    <w:p w14:paraId="0DC8AE3C" w14:textId="77777777" w:rsidR="00B74CED" w:rsidRPr="00B74CED" w:rsidRDefault="00B74CED" w:rsidP="00EB18E3">
      <w:pPr>
        <w:rPr>
          <w:rFonts w:ascii="Arial" w:hAnsi="Arial" w:cs="Arial"/>
          <w:sz w:val="22"/>
          <w:szCs w:val="22"/>
        </w:rPr>
      </w:pPr>
    </w:p>
    <w:sectPr w:rsidR="00B74CED" w:rsidRPr="00B74CED" w:rsidSect="0076552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0071B0" w14:textId="77777777" w:rsidR="00D264D1" w:rsidRDefault="00D264D1" w:rsidP="000842B2">
      <w:r>
        <w:separator/>
      </w:r>
    </w:p>
  </w:endnote>
  <w:endnote w:type="continuationSeparator" w:id="0">
    <w:p w14:paraId="776C1205" w14:textId="77777777" w:rsidR="00D264D1" w:rsidRDefault="00D264D1" w:rsidP="000842B2">
      <w:r>
        <w:continuationSeparator/>
      </w:r>
    </w:p>
  </w:endnote>
  <w:endnote w:id="1">
    <w:p w14:paraId="193058B2" w14:textId="13AAB0D4" w:rsidR="007138DF" w:rsidRDefault="007138DF">
      <w:pPr>
        <w:pStyle w:val="EndnoteText"/>
        <w:rPr>
          <w:rFonts w:eastAsia="Times New Roman" w:cstheme="minorHAnsi"/>
          <w:color w:val="000000" w:themeColor="text1"/>
          <w:lang w:eastAsia="en-GB"/>
        </w:rPr>
      </w:pPr>
      <w:r>
        <w:rPr>
          <w:rStyle w:val="EndnoteReference"/>
        </w:rPr>
        <w:endnoteRef/>
      </w:r>
      <w:r>
        <w:t xml:space="preserve"> </w:t>
      </w:r>
      <w:r w:rsidRPr="002B661C">
        <w:rPr>
          <w:rFonts w:eastAsia="Times New Roman" w:cstheme="minorHAnsi"/>
          <w:color w:val="000000" w:themeColor="text1"/>
          <w:shd w:val="clear" w:color="auto" w:fill="FFFFFF"/>
          <w:lang w:eastAsia="en-GB"/>
        </w:rPr>
        <w:t xml:space="preserve">Sean Bell, </w:t>
      </w:r>
      <w:proofErr w:type="spellStart"/>
      <w:r w:rsidRPr="002B661C">
        <w:rPr>
          <w:rFonts w:eastAsia="Times New Roman" w:cstheme="minorHAnsi"/>
          <w:color w:val="000000" w:themeColor="text1"/>
          <w:shd w:val="clear" w:color="auto" w:fill="FFFFFF"/>
          <w:lang w:eastAsia="en-GB"/>
        </w:rPr>
        <w:t>Yarin</w:t>
      </w:r>
      <w:proofErr w:type="spellEnd"/>
      <w:r w:rsidRPr="002B661C">
        <w:rPr>
          <w:rFonts w:eastAsia="Times New Roman" w:cstheme="minorHAnsi"/>
          <w:color w:val="000000" w:themeColor="text1"/>
          <w:shd w:val="clear" w:color="auto" w:fill="FFFFFF"/>
          <w:lang w:eastAsia="en-GB"/>
        </w:rPr>
        <w:t xml:space="preserve"> Eski (2015) ‘Break a Leg—It’s all in the mind’: Police Officers’ Attitudes towards Colleagues with Mental Health Issues, </w:t>
      </w:r>
      <w:r w:rsidRPr="002B661C">
        <w:rPr>
          <w:rFonts w:eastAsia="Times New Roman" w:cstheme="minorHAnsi"/>
          <w:i/>
          <w:iCs/>
          <w:color w:val="000000" w:themeColor="text1"/>
          <w:bdr w:val="none" w:sz="0" w:space="0" w:color="auto" w:frame="1"/>
          <w:lang w:eastAsia="en-GB"/>
        </w:rPr>
        <w:t>Policing: A Journal of Policy and Practice</w:t>
      </w:r>
      <w:r w:rsidRPr="002B661C">
        <w:rPr>
          <w:rFonts w:eastAsia="Times New Roman" w:cstheme="minorHAnsi"/>
          <w:color w:val="000000" w:themeColor="text1"/>
          <w:shd w:val="clear" w:color="auto" w:fill="FFFFFF"/>
          <w:lang w:eastAsia="en-GB"/>
        </w:rPr>
        <w:t>, Volume 10, Issue 2, June 2016, Pages 95–101, </w:t>
      </w:r>
      <w:hyperlink r:id="rId1" w:history="1">
        <w:r w:rsidRPr="002B661C">
          <w:rPr>
            <w:rFonts w:eastAsia="Times New Roman" w:cstheme="minorHAnsi"/>
            <w:color w:val="000000" w:themeColor="text1"/>
            <w:u w:val="single"/>
            <w:bdr w:val="none" w:sz="0" w:space="0" w:color="auto" w:frame="1"/>
            <w:lang w:eastAsia="en-GB"/>
          </w:rPr>
          <w:t>https://doi-org.ezproxy.uwtsd.ac.uk/10.1093/police/pav041</w:t>
        </w:r>
      </w:hyperlink>
    </w:p>
    <w:p w14:paraId="164E6DE4" w14:textId="77777777" w:rsidR="00B07340" w:rsidRDefault="00B07340">
      <w:pPr>
        <w:pStyle w:val="EndnoteText"/>
      </w:pPr>
    </w:p>
  </w:endnote>
  <w:endnote w:id="2">
    <w:p w14:paraId="42F60F10" w14:textId="264CB54D" w:rsidR="00B07340" w:rsidRDefault="00B07340">
      <w:pPr>
        <w:pStyle w:val="EndnoteText"/>
      </w:pPr>
      <w:r>
        <w:rPr>
          <w:rStyle w:val="EndnoteReference"/>
        </w:rPr>
        <w:endnoteRef/>
      </w:r>
      <w:r>
        <w:t xml:space="preserve"> </w:t>
      </w:r>
      <w:r w:rsidRPr="002B661C">
        <w:t xml:space="preserve">Shalev, Arieh Y et al., </w:t>
      </w:r>
      <w:r>
        <w:t>(</w:t>
      </w:r>
      <w:r w:rsidRPr="002B661C">
        <w:t>2019</w:t>
      </w:r>
      <w:r>
        <w:t>)</w:t>
      </w:r>
      <w:r w:rsidRPr="002B661C">
        <w:t>. Estimating the risk of PTSD in recent trauma survivors: results of the International Consortium to Predict PTSD (ICPP). World psychiatry, 18(1), pp.77–87.</w:t>
      </w:r>
    </w:p>
    <w:p w14:paraId="67D40377" w14:textId="77777777" w:rsidR="00B07340" w:rsidRDefault="00B07340">
      <w:pPr>
        <w:pStyle w:val="EndnoteText"/>
      </w:pPr>
    </w:p>
  </w:endnote>
  <w:endnote w:id="3">
    <w:p w14:paraId="3EF375D1" w14:textId="3521C42C" w:rsidR="00F30147" w:rsidRDefault="00F30147">
      <w:pPr>
        <w:pStyle w:val="EndnoteText"/>
      </w:pPr>
      <w:r>
        <w:rPr>
          <w:rStyle w:val="EndnoteReference"/>
        </w:rPr>
        <w:endnoteRef/>
      </w:r>
      <w:r>
        <w:t xml:space="preserve"> </w:t>
      </w:r>
      <w:r w:rsidRPr="00F30147">
        <w:t xml:space="preserve">Police Care, UK (2019) Policing: The Job &amp; The Life. Available at: </w:t>
      </w:r>
      <w:hyperlink r:id="rId2" w:history="1">
        <w:r w:rsidR="00D96C32" w:rsidRPr="00086112">
          <w:rPr>
            <w:rStyle w:val="Hyperlink"/>
          </w:rPr>
          <w:t>https://www.cam.ac.uk/sites/www.cam.ac.uk/files/inner-images/thejobthelife_findings.pdf</w:t>
        </w:r>
      </w:hyperlink>
    </w:p>
    <w:p w14:paraId="6F262BCB" w14:textId="77777777" w:rsidR="00D96C32" w:rsidRDefault="00D96C32">
      <w:pPr>
        <w:pStyle w:val="EndnoteText"/>
      </w:pPr>
    </w:p>
  </w:endnote>
  <w:endnote w:id="4">
    <w:p w14:paraId="3D5747C1" w14:textId="0924DF11" w:rsidR="00D96C32" w:rsidRDefault="00D96C32">
      <w:pPr>
        <w:pStyle w:val="EndnoteText"/>
      </w:pPr>
      <w:r>
        <w:rPr>
          <w:rStyle w:val="EndnoteReference"/>
        </w:rPr>
        <w:endnoteRef/>
      </w:r>
      <w:r>
        <w:t xml:space="preserve"> </w:t>
      </w:r>
      <w:r w:rsidRPr="00D96C32">
        <w:t xml:space="preserve">Soomro, S., Yanos, P.T. </w:t>
      </w:r>
      <w:r>
        <w:t xml:space="preserve">(2018) </w:t>
      </w:r>
      <w:r w:rsidRPr="00D96C32">
        <w:t xml:space="preserve">Predictors of Mental Health Stigma among Police Officers: the Role of Trauma and PTSD. J Police Crim Psych 34, 175–183 (2019). </w:t>
      </w:r>
      <w:hyperlink r:id="rId3" w:history="1">
        <w:r w:rsidRPr="00086112">
          <w:rPr>
            <w:rStyle w:val="Hyperlink"/>
          </w:rPr>
          <w:t>https://doi.org/10.1007/s11896-018-9285-x</w:t>
        </w:r>
      </w:hyperlink>
    </w:p>
    <w:p w14:paraId="5C35089C" w14:textId="77777777" w:rsidR="00D96C32" w:rsidRDefault="00D96C32">
      <w:pPr>
        <w:pStyle w:val="EndnoteText"/>
      </w:pPr>
    </w:p>
  </w:endnote>
  <w:endnote w:id="5">
    <w:p w14:paraId="58B1D521" w14:textId="1BB68240" w:rsidR="00D96C32" w:rsidRDefault="00D96C32">
      <w:pPr>
        <w:pStyle w:val="EndnoteText"/>
      </w:pPr>
      <w:r>
        <w:rPr>
          <w:rStyle w:val="EndnoteReference"/>
        </w:rPr>
        <w:endnoteRef/>
      </w:r>
      <w:r>
        <w:t xml:space="preserve"> </w:t>
      </w:r>
      <w:r w:rsidRPr="00D96C32">
        <w:t xml:space="preserve">Foley, J. and Massey, K. L. D. (2020) ‘The ‘cost’ of caring in policing: From burnout to PTSD in police officers in England and Wales’, The Police Journal. </w:t>
      </w:r>
      <w:proofErr w:type="spellStart"/>
      <w:r w:rsidRPr="00D96C32">
        <w:t>doi</w:t>
      </w:r>
      <w:proofErr w:type="spellEnd"/>
      <w:r w:rsidRPr="00D96C32">
        <w:t>: 10.1177/0032258X20917442.</w:t>
      </w:r>
    </w:p>
    <w:p w14:paraId="43AF8759" w14:textId="77777777" w:rsidR="00D96C32" w:rsidRDefault="00D96C32">
      <w:pPr>
        <w:pStyle w:val="EndnoteText"/>
      </w:pPr>
    </w:p>
  </w:endnote>
  <w:endnote w:id="6">
    <w:p w14:paraId="11EFC8FA" w14:textId="7B701AF8" w:rsidR="00D96C32" w:rsidRDefault="00D96C32" w:rsidP="00D96C32">
      <w:pPr>
        <w:pStyle w:val="EndnoteText"/>
      </w:pPr>
      <w:r>
        <w:rPr>
          <w:rStyle w:val="EndnoteReference"/>
        </w:rPr>
        <w:endnoteRef/>
      </w:r>
      <w:r>
        <w:t xml:space="preserve"> GOV.UK (2021) </w:t>
      </w:r>
      <w:r>
        <w:t>Official Statistics</w:t>
      </w:r>
      <w:r>
        <w:t xml:space="preserve"> - </w:t>
      </w:r>
      <w:r>
        <w:t>Police officer uplift, England and Wales, quarterly update to 31 March 2021</w:t>
      </w:r>
      <w:r>
        <w:t xml:space="preserve"> &lt;</w:t>
      </w:r>
      <w:r w:rsidRPr="00D96C32">
        <w:t>https://www.gov.uk/government/statistics/police-officer-uplift-quarterly-update-to-march-2021/police-officer-uplift-england-and-wales-quarterly-update-to-31-march-2021</w:t>
      </w:r>
      <w:r>
        <w:t>&gt;</w:t>
      </w:r>
    </w:p>
  </w:endnote>
  <w:endnote w:id="7">
    <w:p w14:paraId="59E60ACC" w14:textId="71B5256B" w:rsidR="003A49CB" w:rsidRDefault="003A49CB">
      <w:pPr>
        <w:pStyle w:val="EndnoteText"/>
      </w:pPr>
      <w:r>
        <w:rPr>
          <w:rStyle w:val="EndnoteReference"/>
        </w:rPr>
        <w:endnoteRef/>
      </w:r>
      <w:r>
        <w:t xml:space="preserve"> </w:t>
      </w:r>
      <w:r w:rsidRPr="003A49CB">
        <w:t>Wilcox, Adam B et al., 2012. Research Data Collection Methods: From Paper to Tablet Computers. Medical care, 50(7), pp.S68–S73.</w:t>
      </w:r>
    </w:p>
    <w:p w14:paraId="4D6968B1" w14:textId="5FE21AA7" w:rsidR="003A49CB" w:rsidRDefault="003A49CB">
      <w:pPr>
        <w:pStyle w:val="EndnoteText"/>
      </w:pPr>
    </w:p>
    <w:p w14:paraId="00255608" w14:textId="77777777" w:rsidR="003A49CB" w:rsidRDefault="003A49CB">
      <w:pPr>
        <w:pStyle w:val="EndnoteText"/>
      </w:pPr>
    </w:p>
  </w:endnote>
  <w:endnote w:id="8">
    <w:p w14:paraId="58F7BFCE" w14:textId="6AD5E52D" w:rsidR="003A49CB" w:rsidRDefault="003A49CB">
      <w:pPr>
        <w:pStyle w:val="EndnoteText"/>
      </w:pPr>
      <w:r>
        <w:rPr>
          <w:rStyle w:val="EndnoteReference"/>
        </w:rPr>
        <w:endnoteRef/>
      </w:r>
      <w:r>
        <w:t xml:space="preserve"> </w:t>
      </w:r>
      <w:r w:rsidRPr="003A49CB">
        <w:t xml:space="preserve">Williams, C. (2007) “Research Methods”, Journal of Business &amp; Economics Research (JBER), 5(3). </w:t>
      </w:r>
      <w:proofErr w:type="spellStart"/>
      <w:r w:rsidRPr="003A49CB">
        <w:t>doi</w:t>
      </w:r>
      <w:proofErr w:type="spellEnd"/>
      <w:r w:rsidRPr="003A49CB">
        <w:t>: 10.19030/jber.v5i3.2532.</w:t>
      </w:r>
    </w:p>
    <w:p w14:paraId="2AC5E270" w14:textId="77777777" w:rsidR="003A49CB" w:rsidRDefault="003A49CB">
      <w:pPr>
        <w:pStyle w:val="EndnoteText"/>
      </w:pPr>
    </w:p>
  </w:endnote>
  <w:endnote w:id="9">
    <w:p w14:paraId="68C13697" w14:textId="4559796E" w:rsidR="003A49CB" w:rsidRDefault="003A49CB">
      <w:pPr>
        <w:pStyle w:val="EndnoteText"/>
      </w:pPr>
      <w:r>
        <w:rPr>
          <w:rStyle w:val="EndnoteReference"/>
        </w:rPr>
        <w:endnoteRef/>
      </w:r>
      <w:r>
        <w:t xml:space="preserve"> </w:t>
      </w:r>
      <w:r w:rsidRPr="003A49CB">
        <w:t xml:space="preserve">Salkind, N. J. (2010). </w:t>
      </w:r>
      <w:proofErr w:type="spellStart"/>
      <w:r w:rsidRPr="003A49CB">
        <w:t>Encyclopedia</w:t>
      </w:r>
      <w:proofErr w:type="spellEnd"/>
      <w:r w:rsidRPr="003A49CB">
        <w:t xml:space="preserve"> of research design (Vols. 1-0). Thousand Oaks, CA: SAGE Publications, Inc. </w:t>
      </w:r>
      <w:proofErr w:type="spellStart"/>
      <w:r w:rsidRPr="003A49CB">
        <w:t>doi</w:t>
      </w:r>
      <w:proofErr w:type="spellEnd"/>
      <w:r w:rsidRPr="003A49CB">
        <w:t>: 10.4135/9781412961288</w:t>
      </w:r>
    </w:p>
    <w:p w14:paraId="14945152" w14:textId="77777777" w:rsidR="003A49CB" w:rsidRDefault="003A49CB">
      <w:pPr>
        <w:pStyle w:val="EndnoteText"/>
      </w:pPr>
    </w:p>
  </w:endnote>
  <w:endnote w:id="10">
    <w:p w14:paraId="5090C703" w14:textId="23A1D521" w:rsidR="003A49CB" w:rsidRDefault="003A49CB" w:rsidP="003A49CB">
      <w:pPr>
        <w:pStyle w:val="EndnoteText"/>
      </w:pPr>
      <w:r>
        <w:rPr>
          <w:rStyle w:val="EndnoteReference"/>
        </w:rPr>
        <w:endnoteRef/>
      </w:r>
      <w:r>
        <w:t xml:space="preserve"> </w:t>
      </w:r>
      <w:r w:rsidRPr="003A49CB">
        <w:t xml:space="preserve">Atif, Amara &amp; Richards, Deborah &amp; </w:t>
      </w:r>
      <w:proofErr w:type="spellStart"/>
      <w:r w:rsidRPr="003A49CB">
        <w:t>Bilgin</w:t>
      </w:r>
      <w:proofErr w:type="spellEnd"/>
      <w:r w:rsidRPr="003A49CB">
        <w:t xml:space="preserve">, </w:t>
      </w:r>
      <w:proofErr w:type="spellStart"/>
      <w:r w:rsidRPr="003A49CB">
        <w:t>Ayse</w:t>
      </w:r>
      <w:proofErr w:type="spellEnd"/>
      <w:r w:rsidRPr="003A49CB">
        <w:t>. (2013). A Student Retention Model: Empirical, Theoretical and Pragmatic Considerations. Proceedings of the 24th Australasian Conference on Information Systems.</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D68BEE" w14:textId="77777777" w:rsidR="00D264D1" w:rsidRDefault="00D264D1" w:rsidP="000842B2">
      <w:r>
        <w:separator/>
      </w:r>
    </w:p>
  </w:footnote>
  <w:footnote w:type="continuationSeparator" w:id="0">
    <w:p w14:paraId="762309FA" w14:textId="77777777" w:rsidR="00D264D1" w:rsidRDefault="00D264D1" w:rsidP="000842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A966554"/>
    <w:multiLevelType w:val="hybridMultilevel"/>
    <w:tmpl w:val="31FAA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FB30B3"/>
    <w:multiLevelType w:val="hybridMultilevel"/>
    <w:tmpl w:val="DDDE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8E3"/>
    <w:rsid w:val="000842B2"/>
    <w:rsid w:val="001426E8"/>
    <w:rsid w:val="002B661C"/>
    <w:rsid w:val="00322AC9"/>
    <w:rsid w:val="003A49CB"/>
    <w:rsid w:val="00403895"/>
    <w:rsid w:val="00446884"/>
    <w:rsid w:val="004D14B4"/>
    <w:rsid w:val="007138DF"/>
    <w:rsid w:val="00765527"/>
    <w:rsid w:val="00894712"/>
    <w:rsid w:val="008A4719"/>
    <w:rsid w:val="00957C81"/>
    <w:rsid w:val="00A017A3"/>
    <w:rsid w:val="00AC659E"/>
    <w:rsid w:val="00B07340"/>
    <w:rsid w:val="00B74CED"/>
    <w:rsid w:val="00C31D0A"/>
    <w:rsid w:val="00D23411"/>
    <w:rsid w:val="00D264D1"/>
    <w:rsid w:val="00D96C32"/>
    <w:rsid w:val="00EB18E3"/>
    <w:rsid w:val="00EC15A0"/>
    <w:rsid w:val="00EF0FBB"/>
    <w:rsid w:val="00F30147"/>
    <w:rsid w:val="00F31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42D36"/>
  <w15:chartTrackingRefBased/>
  <w15:docId w15:val="{866DC41A-D39F-E84A-8E17-7A8AE8A08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B18E3"/>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18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18E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B18E3"/>
    <w:rPr>
      <w:rFonts w:eastAsiaTheme="minorEastAsia"/>
      <w:color w:val="5A5A5A" w:themeColor="text1" w:themeTint="A5"/>
      <w:spacing w:val="15"/>
      <w:sz w:val="22"/>
      <w:szCs w:val="22"/>
    </w:rPr>
  </w:style>
  <w:style w:type="character" w:styleId="Strong">
    <w:name w:val="Strong"/>
    <w:basedOn w:val="DefaultParagraphFont"/>
    <w:uiPriority w:val="22"/>
    <w:qFormat/>
    <w:rsid w:val="00EB18E3"/>
    <w:rPr>
      <w:b/>
      <w:bCs/>
    </w:rPr>
  </w:style>
  <w:style w:type="paragraph" w:styleId="FootnoteText">
    <w:name w:val="footnote text"/>
    <w:basedOn w:val="Normal"/>
    <w:link w:val="FootnoteTextChar"/>
    <w:uiPriority w:val="99"/>
    <w:semiHidden/>
    <w:unhideWhenUsed/>
    <w:rsid w:val="000842B2"/>
    <w:rPr>
      <w:sz w:val="20"/>
      <w:szCs w:val="20"/>
    </w:rPr>
  </w:style>
  <w:style w:type="character" w:customStyle="1" w:styleId="FootnoteTextChar">
    <w:name w:val="Footnote Text Char"/>
    <w:basedOn w:val="DefaultParagraphFont"/>
    <w:link w:val="FootnoteText"/>
    <w:uiPriority w:val="99"/>
    <w:semiHidden/>
    <w:rsid w:val="000842B2"/>
    <w:rPr>
      <w:sz w:val="20"/>
      <w:szCs w:val="20"/>
    </w:rPr>
  </w:style>
  <w:style w:type="character" w:styleId="FootnoteReference">
    <w:name w:val="footnote reference"/>
    <w:basedOn w:val="DefaultParagraphFont"/>
    <w:uiPriority w:val="99"/>
    <w:semiHidden/>
    <w:unhideWhenUsed/>
    <w:rsid w:val="000842B2"/>
    <w:rPr>
      <w:vertAlign w:val="superscript"/>
    </w:rPr>
  </w:style>
  <w:style w:type="character" w:customStyle="1" w:styleId="apple-converted-space">
    <w:name w:val="apple-converted-space"/>
    <w:basedOn w:val="DefaultParagraphFont"/>
    <w:rsid w:val="000842B2"/>
  </w:style>
  <w:style w:type="character" w:styleId="Emphasis">
    <w:name w:val="Emphasis"/>
    <w:basedOn w:val="DefaultParagraphFont"/>
    <w:uiPriority w:val="20"/>
    <w:qFormat/>
    <w:rsid w:val="000842B2"/>
    <w:rPr>
      <w:i/>
      <w:iCs/>
    </w:rPr>
  </w:style>
  <w:style w:type="character" w:styleId="Hyperlink">
    <w:name w:val="Hyperlink"/>
    <w:basedOn w:val="DefaultParagraphFont"/>
    <w:uiPriority w:val="99"/>
    <w:unhideWhenUsed/>
    <w:rsid w:val="000842B2"/>
    <w:rPr>
      <w:color w:val="0000FF"/>
      <w:u w:val="single"/>
    </w:rPr>
  </w:style>
  <w:style w:type="paragraph" w:styleId="EndnoteText">
    <w:name w:val="endnote text"/>
    <w:basedOn w:val="Normal"/>
    <w:link w:val="EndnoteTextChar"/>
    <w:uiPriority w:val="99"/>
    <w:semiHidden/>
    <w:unhideWhenUsed/>
    <w:rsid w:val="007138DF"/>
    <w:rPr>
      <w:sz w:val="20"/>
      <w:szCs w:val="20"/>
    </w:rPr>
  </w:style>
  <w:style w:type="character" w:customStyle="1" w:styleId="EndnoteTextChar">
    <w:name w:val="Endnote Text Char"/>
    <w:basedOn w:val="DefaultParagraphFont"/>
    <w:link w:val="EndnoteText"/>
    <w:uiPriority w:val="99"/>
    <w:semiHidden/>
    <w:rsid w:val="007138DF"/>
    <w:rPr>
      <w:sz w:val="20"/>
      <w:szCs w:val="20"/>
    </w:rPr>
  </w:style>
  <w:style w:type="character" w:styleId="EndnoteReference">
    <w:name w:val="endnote reference"/>
    <w:basedOn w:val="DefaultParagraphFont"/>
    <w:uiPriority w:val="99"/>
    <w:semiHidden/>
    <w:unhideWhenUsed/>
    <w:rsid w:val="007138DF"/>
    <w:rPr>
      <w:vertAlign w:val="superscript"/>
    </w:rPr>
  </w:style>
  <w:style w:type="character" w:styleId="UnresolvedMention">
    <w:name w:val="Unresolved Mention"/>
    <w:basedOn w:val="DefaultParagraphFont"/>
    <w:uiPriority w:val="99"/>
    <w:semiHidden/>
    <w:unhideWhenUsed/>
    <w:rsid w:val="00D96C32"/>
    <w:rPr>
      <w:color w:val="605E5C"/>
      <w:shd w:val="clear" w:color="auto" w:fill="E1DFDD"/>
    </w:rPr>
  </w:style>
  <w:style w:type="paragraph" w:styleId="ListParagraph">
    <w:name w:val="List Paragraph"/>
    <w:basedOn w:val="Normal"/>
    <w:uiPriority w:val="34"/>
    <w:qFormat/>
    <w:rsid w:val="00D96C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875953">
      <w:bodyDiv w:val="1"/>
      <w:marLeft w:val="0"/>
      <w:marRight w:val="0"/>
      <w:marTop w:val="0"/>
      <w:marBottom w:val="0"/>
      <w:divBdr>
        <w:top w:val="none" w:sz="0" w:space="0" w:color="auto"/>
        <w:left w:val="none" w:sz="0" w:space="0" w:color="auto"/>
        <w:bottom w:val="none" w:sz="0" w:space="0" w:color="auto"/>
        <w:right w:val="none" w:sz="0" w:space="0" w:color="auto"/>
      </w:divBdr>
      <w:divsChild>
        <w:div w:id="207882511">
          <w:marLeft w:val="0"/>
          <w:marRight w:val="0"/>
          <w:marTop w:val="0"/>
          <w:marBottom w:val="0"/>
          <w:divBdr>
            <w:top w:val="none" w:sz="0" w:space="0" w:color="auto"/>
            <w:left w:val="none" w:sz="0" w:space="0" w:color="auto"/>
            <w:bottom w:val="none" w:sz="0" w:space="0" w:color="auto"/>
            <w:right w:val="none" w:sz="0" w:space="0" w:color="auto"/>
          </w:divBdr>
          <w:divsChild>
            <w:div w:id="1183275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91957">
      <w:bodyDiv w:val="1"/>
      <w:marLeft w:val="0"/>
      <w:marRight w:val="0"/>
      <w:marTop w:val="0"/>
      <w:marBottom w:val="0"/>
      <w:divBdr>
        <w:top w:val="none" w:sz="0" w:space="0" w:color="auto"/>
        <w:left w:val="none" w:sz="0" w:space="0" w:color="auto"/>
        <w:bottom w:val="none" w:sz="0" w:space="0" w:color="auto"/>
        <w:right w:val="none" w:sz="0" w:space="0" w:color="auto"/>
      </w:divBdr>
    </w:div>
    <w:div w:id="242373332">
      <w:bodyDiv w:val="1"/>
      <w:marLeft w:val="0"/>
      <w:marRight w:val="0"/>
      <w:marTop w:val="0"/>
      <w:marBottom w:val="0"/>
      <w:divBdr>
        <w:top w:val="none" w:sz="0" w:space="0" w:color="auto"/>
        <w:left w:val="none" w:sz="0" w:space="0" w:color="auto"/>
        <w:bottom w:val="none" w:sz="0" w:space="0" w:color="auto"/>
        <w:right w:val="none" w:sz="0" w:space="0" w:color="auto"/>
      </w:divBdr>
    </w:div>
    <w:div w:id="296451711">
      <w:bodyDiv w:val="1"/>
      <w:marLeft w:val="0"/>
      <w:marRight w:val="0"/>
      <w:marTop w:val="0"/>
      <w:marBottom w:val="0"/>
      <w:divBdr>
        <w:top w:val="none" w:sz="0" w:space="0" w:color="auto"/>
        <w:left w:val="none" w:sz="0" w:space="0" w:color="auto"/>
        <w:bottom w:val="none" w:sz="0" w:space="0" w:color="auto"/>
        <w:right w:val="none" w:sz="0" w:space="0" w:color="auto"/>
      </w:divBdr>
    </w:div>
    <w:div w:id="383868831">
      <w:bodyDiv w:val="1"/>
      <w:marLeft w:val="0"/>
      <w:marRight w:val="0"/>
      <w:marTop w:val="0"/>
      <w:marBottom w:val="0"/>
      <w:divBdr>
        <w:top w:val="none" w:sz="0" w:space="0" w:color="auto"/>
        <w:left w:val="none" w:sz="0" w:space="0" w:color="auto"/>
        <w:bottom w:val="none" w:sz="0" w:space="0" w:color="auto"/>
        <w:right w:val="none" w:sz="0" w:space="0" w:color="auto"/>
      </w:divBdr>
    </w:div>
    <w:div w:id="397704053">
      <w:bodyDiv w:val="1"/>
      <w:marLeft w:val="0"/>
      <w:marRight w:val="0"/>
      <w:marTop w:val="0"/>
      <w:marBottom w:val="0"/>
      <w:divBdr>
        <w:top w:val="none" w:sz="0" w:space="0" w:color="auto"/>
        <w:left w:val="none" w:sz="0" w:space="0" w:color="auto"/>
        <w:bottom w:val="none" w:sz="0" w:space="0" w:color="auto"/>
        <w:right w:val="none" w:sz="0" w:space="0" w:color="auto"/>
      </w:divBdr>
      <w:divsChild>
        <w:div w:id="1721175368">
          <w:marLeft w:val="0"/>
          <w:marRight w:val="0"/>
          <w:marTop w:val="0"/>
          <w:marBottom w:val="0"/>
          <w:divBdr>
            <w:top w:val="none" w:sz="0" w:space="0" w:color="auto"/>
            <w:left w:val="none" w:sz="0" w:space="0" w:color="auto"/>
            <w:bottom w:val="none" w:sz="0" w:space="0" w:color="auto"/>
            <w:right w:val="none" w:sz="0" w:space="0" w:color="auto"/>
          </w:divBdr>
          <w:divsChild>
            <w:div w:id="559556803">
              <w:marLeft w:val="0"/>
              <w:marRight w:val="0"/>
              <w:marTop w:val="0"/>
              <w:marBottom w:val="0"/>
              <w:divBdr>
                <w:top w:val="none" w:sz="0" w:space="0" w:color="auto"/>
                <w:left w:val="none" w:sz="0" w:space="0" w:color="auto"/>
                <w:bottom w:val="none" w:sz="0" w:space="0" w:color="auto"/>
                <w:right w:val="none" w:sz="0" w:space="0" w:color="auto"/>
              </w:divBdr>
              <w:divsChild>
                <w:div w:id="1427657227">
                  <w:marLeft w:val="0"/>
                  <w:marRight w:val="0"/>
                  <w:marTop w:val="0"/>
                  <w:marBottom w:val="0"/>
                  <w:divBdr>
                    <w:top w:val="none" w:sz="0" w:space="0" w:color="auto"/>
                    <w:left w:val="none" w:sz="0" w:space="0" w:color="auto"/>
                    <w:bottom w:val="none" w:sz="0" w:space="0" w:color="auto"/>
                    <w:right w:val="none" w:sz="0" w:space="0" w:color="auto"/>
                  </w:divBdr>
                  <w:divsChild>
                    <w:div w:id="152720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563202">
      <w:bodyDiv w:val="1"/>
      <w:marLeft w:val="0"/>
      <w:marRight w:val="0"/>
      <w:marTop w:val="0"/>
      <w:marBottom w:val="0"/>
      <w:divBdr>
        <w:top w:val="none" w:sz="0" w:space="0" w:color="auto"/>
        <w:left w:val="none" w:sz="0" w:space="0" w:color="auto"/>
        <w:bottom w:val="none" w:sz="0" w:space="0" w:color="auto"/>
        <w:right w:val="none" w:sz="0" w:space="0" w:color="auto"/>
      </w:divBdr>
      <w:divsChild>
        <w:div w:id="590117060">
          <w:marLeft w:val="0"/>
          <w:marRight w:val="0"/>
          <w:marTop w:val="0"/>
          <w:marBottom w:val="0"/>
          <w:divBdr>
            <w:top w:val="none" w:sz="0" w:space="0" w:color="auto"/>
            <w:left w:val="none" w:sz="0" w:space="0" w:color="auto"/>
            <w:bottom w:val="none" w:sz="0" w:space="0" w:color="auto"/>
            <w:right w:val="none" w:sz="0" w:space="0" w:color="auto"/>
          </w:divBdr>
        </w:div>
      </w:divsChild>
    </w:div>
    <w:div w:id="507795012">
      <w:bodyDiv w:val="1"/>
      <w:marLeft w:val="0"/>
      <w:marRight w:val="0"/>
      <w:marTop w:val="0"/>
      <w:marBottom w:val="0"/>
      <w:divBdr>
        <w:top w:val="none" w:sz="0" w:space="0" w:color="auto"/>
        <w:left w:val="none" w:sz="0" w:space="0" w:color="auto"/>
        <w:bottom w:val="none" w:sz="0" w:space="0" w:color="auto"/>
        <w:right w:val="none" w:sz="0" w:space="0" w:color="auto"/>
      </w:divBdr>
    </w:div>
    <w:div w:id="551505719">
      <w:bodyDiv w:val="1"/>
      <w:marLeft w:val="0"/>
      <w:marRight w:val="0"/>
      <w:marTop w:val="0"/>
      <w:marBottom w:val="0"/>
      <w:divBdr>
        <w:top w:val="none" w:sz="0" w:space="0" w:color="auto"/>
        <w:left w:val="none" w:sz="0" w:space="0" w:color="auto"/>
        <w:bottom w:val="none" w:sz="0" w:space="0" w:color="auto"/>
        <w:right w:val="none" w:sz="0" w:space="0" w:color="auto"/>
      </w:divBdr>
    </w:div>
    <w:div w:id="718087203">
      <w:bodyDiv w:val="1"/>
      <w:marLeft w:val="0"/>
      <w:marRight w:val="0"/>
      <w:marTop w:val="0"/>
      <w:marBottom w:val="0"/>
      <w:divBdr>
        <w:top w:val="none" w:sz="0" w:space="0" w:color="auto"/>
        <w:left w:val="none" w:sz="0" w:space="0" w:color="auto"/>
        <w:bottom w:val="none" w:sz="0" w:space="0" w:color="auto"/>
        <w:right w:val="none" w:sz="0" w:space="0" w:color="auto"/>
      </w:divBdr>
      <w:divsChild>
        <w:div w:id="74672894">
          <w:marLeft w:val="0"/>
          <w:marRight w:val="0"/>
          <w:marTop w:val="0"/>
          <w:marBottom w:val="0"/>
          <w:divBdr>
            <w:top w:val="none" w:sz="0" w:space="0" w:color="auto"/>
            <w:left w:val="none" w:sz="0" w:space="0" w:color="auto"/>
            <w:bottom w:val="none" w:sz="0" w:space="0" w:color="auto"/>
            <w:right w:val="none" w:sz="0" w:space="0" w:color="auto"/>
          </w:divBdr>
        </w:div>
      </w:divsChild>
    </w:div>
    <w:div w:id="788548337">
      <w:bodyDiv w:val="1"/>
      <w:marLeft w:val="0"/>
      <w:marRight w:val="0"/>
      <w:marTop w:val="0"/>
      <w:marBottom w:val="0"/>
      <w:divBdr>
        <w:top w:val="none" w:sz="0" w:space="0" w:color="auto"/>
        <w:left w:val="none" w:sz="0" w:space="0" w:color="auto"/>
        <w:bottom w:val="none" w:sz="0" w:space="0" w:color="auto"/>
        <w:right w:val="none" w:sz="0" w:space="0" w:color="auto"/>
      </w:divBdr>
    </w:div>
    <w:div w:id="830218152">
      <w:bodyDiv w:val="1"/>
      <w:marLeft w:val="0"/>
      <w:marRight w:val="0"/>
      <w:marTop w:val="0"/>
      <w:marBottom w:val="0"/>
      <w:divBdr>
        <w:top w:val="none" w:sz="0" w:space="0" w:color="auto"/>
        <w:left w:val="none" w:sz="0" w:space="0" w:color="auto"/>
        <w:bottom w:val="none" w:sz="0" w:space="0" w:color="auto"/>
        <w:right w:val="none" w:sz="0" w:space="0" w:color="auto"/>
      </w:divBdr>
      <w:divsChild>
        <w:div w:id="1394158763">
          <w:marLeft w:val="0"/>
          <w:marRight w:val="0"/>
          <w:marTop w:val="0"/>
          <w:marBottom w:val="0"/>
          <w:divBdr>
            <w:top w:val="none" w:sz="0" w:space="0" w:color="auto"/>
            <w:left w:val="none" w:sz="0" w:space="0" w:color="auto"/>
            <w:bottom w:val="none" w:sz="0" w:space="0" w:color="auto"/>
            <w:right w:val="none" w:sz="0" w:space="0" w:color="auto"/>
          </w:divBdr>
        </w:div>
      </w:divsChild>
    </w:div>
    <w:div w:id="851842578">
      <w:bodyDiv w:val="1"/>
      <w:marLeft w:val="0"/>
      <w:marRight w:val="0"/>
      <w:marTop w:val="0"/>
      <w:marBottom w:val="0"/>
      <w:divBdr>
        <w:top w:val="none" w:sz="0" w:space="0" w:color="auto"/>
        <w:left w:val="none" w:sz="0" w:space="0" w:color="auto"/>
        <w:bottom w:val="none" w:sz="0" w:space="0" w:color="auto"/>
        <w:right w:val="none" w:sz="0" w:space="0" w:color="auto"/>
      </w:divBdr>
    </w:div>
    <w:div w:id="888616468">
      <w:bodyDiv w:val="1"/>
      <w:marLeft w:val="0"/>
      <w:marRight w:val="0"/>
      <w:marTop w:val="0"/>
      <w:marBottom w:val="0"/>
      <w:divBdr>
        <w:top w:val="none" w:sz="0" w:space="0" w:color="auto"/>
        <w:left w:val="none" w:sz="0" w:space="0" w:color="auto"/>
        <w:bottom w:val="none" w:sz="0" w:space="0" w:color="auto"/>
        <w:right w:val="none" w:sz="0" w:space="0" w:color="auto"/>
      </w:divBdr>
    </w:div>
    <w:div w:id="966352108">
      <w:bodyDiv w:val="1"/>
      <w:marLeft w:val="0"/>
      <w:marRight w:val="0"/>
      <w:marTop w:val="0"/>
      <w:marBottom w:val="0"/>
      <w:divBdr>
        <w:top w:val="none" w:sz="0" w:space="0" w:color="auto"/>
        <w:left w:val="none" w:sz="0" w:space="0" w:color="auto"/>
        <w:bottom w:val="none" w:sz="0" w:space="0" w:color="auto"/>
        <w:right w:val="none" w:sz="0" w:space="0" w:color="auto"/>
      </w:divBdr>
      <w:divsChild>
        <w:div w:id="1476293151">
          <w:marLeft w:val="0"/>
          <w:marRight w:val="0"/>
          <w:marTop w:val="0"/>
          <w:marBottom w:val="0"/>
          <w:divBdr>
            <w:top w:val="none" w:sz="0" w:space="0" w:color="auto"/>
            <w:left w:val="none" w:sz="0" w:space="0" w:color="auto"/>
            <w:bottom w:val="none" w:sz="0" w:space="0" w:color="auto"/>
            <w:right w:val="none" w:sz="0" w:space="0" w:color="auto"/>
          </w:divBdr>
        </w:div>
      </w:divsChild>
    </w:div>
    <w:div w:id="1016274758">
      <w:bodyDiv w:val="1"/>
      <w:marLeft w:val="0"/>
      <w:marRight w:val="0"/>
      <w:marTop w:val="0"/>
      <w:marBottom w:val="0"/>
      <w:divBdr>
        <w:top w:val="none" w:sz="0" w:space="0" w:color="auto"/>
        <w:left w:val="none" w:sz="0" w:space="0" w:color="auto"/>
        <w:bottom w:val="none" w:sz="0" w:space="0" w:color="auto"/>
        <w:right w:val="none" w:sz="0" w:space="0" w:color="auto"/>
      </w:divBdr>
      <w:divsChild>
        <w:div w:id="2130970256">
          <w:marLeft w:val="0"/>
          <w:marRight w:val="0"/>
          <w:marTop w:val="0"/>
          <w:marBottom w:val="0"/>
          <w:divBdr>
            <w:top w:val="none" w:sz="0" w:space="0" w:color="auto"/>
            <w:left w:val="none" w:sz="0" w:space="0" w:color="auto"/>
            <w:bottom w:val="none" w:sz="0" w:space="0" w:color="auto"/>
            <w:right w:val="none" w:sz="0" w:space="0" w:color="auto"/>
          </w:divBdr>
          <w:divsChild>
            <w:div w:id="18475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2892731">
      <w:bodyDiv w:val="1"/>
      <w:marLeft w:val="0"/>
      <w:marRight w:val="0"/>
      <w:marTop w:val="0"/>
      <w:marBottom w:val="0"/>
      <w:divBdr>
        <w:top w:val="none" w:sz="0" w:space="0" w:color="auto"/>
        <w:left w:val="none" w:sz="0" w:space="0" w:color="auto"/>
        <w:bottom w:val="none" w:sz="0" w:space="0" w:color="auto"/>
        <w:right w:val="none" w:sz="0" w:space="0" w:color="auto"/>
      </w:divBdr>
    </w:div>
    <w:div w:id="1602491864">
      <w:bodyDiv w:val="1"/>
      <w:marLeft w:val="0"/>
      <w:marRight w:val="0"/>
      <w:marTop w:val="0"/>
      <w:marBottom w:val="0"/>
      <w:divBdr>
        <w:top w:val="none" w:sz="0" w:space="0" w:color="auto"/>
        <w:left w:val="none" w:sz="0" w:space="0" w:color="auto"/>
        <w:bottom w:val="none" w:sz="0" w:space="0" w:color="auto"/>
        <w:right w:val="none" w:sz="0" w:space="0" w:color="auto"/>
      </w:divBdr>
    </w:div>
    <w:div w:id="1743796366">
      <w:bodyDiv w:val="1"/>
      <w:marLeft w:val="0"/>
      <w:marRight w:val="0"/>
      <w:marTop w:val="0"/>
      <w:marBottom w:val="0"/>
      <w:divBdr>
        <w:top w:val="none" w:sz="0" w:space="0" w:color="auto"/>
        <w:left w:val="none" w:sz="0" w:space="0" w:color="auto"/>
        <w:bottom w:val="none" w:sz="0" w:space="0" w:color="auto"/>
        <w:right w:val="none" w:sz="0" w:space="0" w:color="auto"/>
      </w:divBdr>
    </w:div>
    <w:div w:id="1820001464">
      <w:bodyDiv w:val="1"/>
      <w:marLeft w:val="0"/>
      <w:marRight w:val="0"/>
      <w:marTop w:val="0"/>
      <w:marBottom w:val="0"/>
      <w:divBdr>
        <w:top w:val="none" w:sz="0" w:space="0" w:color="auto"/>
        <w:left w:val="none" w:sz="0" w:space="0" w:color="auto"/>
        <w:bottom w:val="none" w:sz="0" w:space="0" w:color="auto"/>
        <w:right w:val="none" w:sz="0" w:space="0" w:color="auto"/>
      </w:divBdr>
    </w:div>
    <w:div w:id="1900283786">
      <w:bodyDiv w:val="1"/>
      <w:marLeft w:val="0"/>
      <w:marRight w:val="0"/>
      <w:marTop w:val="0"/>
      <w:marBottom w:val="0"/>
      <w:divBdr>
        <w:top w:val="none" w:sz="0" w:space="0" w:color="auto"/>
        <w:left w:val="none" w:sz="0" w:space="0" w:color="auto"/>
        <w:bottom w:val="none" w:sz="0" w:space="0" w:color="auto"/>
        <w:right w:val="none" w:sz="0" w:space="0" w:color="auto"/>
      </w:divBdr>
    </w:div>
    <w:div w:id="1905532201">
      <w:bodyDiv w:val="1"/>
      <w:marLeft w:val="0"/>
      <w:marRight w:val="0"/>
      <w:marTop w:val="0"/>
      <w:marBottom w:val="0"/>
      <w:divBdr>
        <w:top w:val="none" w:sz="0" w:space="0" w:color="auto"/>
        <w:left w:val="none" w:sz="0" w:space="0" w:color="auto"/>
        <w:bottom w:val="none" w:sz="0" w:space="0" w:color="auto"/>
        <w:right w:val="none" w:sz="0" w:space="0" w:color="auto"/>
      </w:divBdr>
      <w:divsChild>
        <w:div w:id="1457524636">
          <w:marLeft w:val="0"/>
          <w:marRight w:val="0"/>
          <w:marTop w:val="0"/>
          <w:marBottom w:val="0"/>
          <w:divBdr>
            <w:top w:val="none" w:sz="0" w:space="0" w:color="auto"/>
            <w:left w:val="none" w:sz="0" w:space="0" w:color="auto"/>
            <w:bottom w:val="none" w:sz="0" w:space="0" w:color="auto"/>
            <w:right w:val="none" w:sz="0" w:space="0" w:color="auto"/>
          </w:divBdr>
          <w:divsChild>
            <w:div w:id="2024546926">
              <w:marLeft w:val="0"/>
              <w:marRight w:val="0"/>
              <w:marTop w:val="0"/>
              <w:marBottom w:val="0"/>
              <w:divBdr>
                <w:top w:val="none" w:sz="0" w:space="0" w:color="auto"/>
                <w:left w:val="none" w:sz="0" w:space="0" w:color="auto"/>
                <w:bottom w:val="none" w:sz="0" w:space="0" w:color="auto"/>
                <w:right w:val="none" w:sz="0" w:space="0" w:color="auto"/>
              </w:divBdr>
              <w:divsChild>
                <w:div w:id="982662808">
                  <w:marLeft w:val="0"/>
                  <w:marRight w:val="0"/>
                  <w:marTop w:val="0"/>
                  <w:marBottom w:val="0"/>
                  <w:divBdr>
                    <w:top w:val="none" w:sz="0" w:space="0" w:color="auto"/>
                    <w:left w:val="none" w:sz="0" w:space="0" w:color="auto"/>
                    <w:bottom w:val="none" w:sz="0" w:space="0" w:color="auto"/>
                    <w:right w:val="none" w:sz="0" w:space="0" w:color="auto"/>
                  </w:divBdr>
                  <w:divsChild>
                    <w:div w:id="35083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7521897">
      <w:bodyDiv w:val="1"/>
      <w:marLeft w:val="0"/>
      <w:marRight w:val="0"/>
      <w:marTop w:val="0"/>
      <w:marBottom w:val="0"/>
      <w:divBdr>
        <w:top w:val="none" w:sz="0" w:space="0" w:color="auto"/>
        <w:left w:val="none" w:sz="0" w:space="0" w:color="auto"/>
        <w:bottom w:val="none" w:sz="0" w:space="0" w:color="auto"/>
        <w:right w:val="none" w:sz="0" w:space="0" w:color="auto"/>
      </w:divBdr>
      <w:divsChild>
        <w:div w:id="668679215">
          <w:marLeft w:val="0"/>
          <w:marRight w:val="0"/>
          <w:marTop w:val="0"/>
          <w:marBottom w:val="0"/>
          <w:divBdr>
            <w:top w:val="none" w:sz="0" w:space="0" w:color="auto"/>
            <w:left w:val="none" w:sz="0" w:space="0" w:color="auto"/>
            <w:bottom w:val="none" w:sz="0" w:space="0" w:color="auto"/>
            <w:right w:val="none" w:sz="0" w:space="0" w:color="auto"/>
          </w:divBdr>
        </w:div>
        <w:div w:id="51775204">
          <w:marLeft w:val="0"/>
          <w:marRight w:val="0"/>
          <w:marTop w:val="0"/>
          <w:marBottom w:val="0"/>
          <w:divBdr>
            <w:top w:val="none" w:sz="0" w:space="0" w:color="auto"/>
            <w:left w:val="none" w:sz="0" w:space="0" w:color="auto"/>
            <w:bottom w:val="none" w:sz="0" w:space="0" w:color="auto"/>
            <w:right w:val="none" w:sz="0" w:space="0" w:color="auto"/>
          </w:divBdr>
        </w:div>
      </w:divsChild>
    </w:div>
    <w:div w:id="1976445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_rels/endnotes.xml.rels><?xml version="1.0" encoding="UTF-8" standalone="yes"?>
<Relationships xmlns="http://schemas.openxmlformats.org/package/2006/relationships"><Relationship Id="rId3" Type="http://schemas.openxmlformats.org/officeDocument/2006/relationships/hyperlink" Target="https://doi.org/10.1007/s11896-018-9285-x" TargetMode="External"/><Relationship Id="rId2" Type="http://schemas.openxmlformats.org/officeDocument/2006/relationships/hyperlink" Target="https://www.cam.ac.uk/sites/www.cam.ac.uk/files/inner-images/thejobthelife_findings.pdf" TargetMode="External"/><Relationship Id="rId1" Type="http://schemas.openxmlformats.org/officeDocument/2006/relationships/hyperlink" Target="https://doi-org.ezproxy.uwtsd.ac.uk/10.1093/police/pav0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FAAC3-ED13-1B40-87CF-866784921E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234</TotalTime>
  <Pages>5</Pages>
  <Words>1353</Words>
  <Characters>7715</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Anthony Churchill (1816532)</dc:creator>
  <cp:keywords/>
  <dc:description/>
  <cp:lastModifiedBy>Joseph Anthony Churchill (1816532)</cp:lastModifiedBy>
  <cp:revision>11</cp:revision>
  <dcterms:created xsi:type="dcterms:W3CDTF">2021-05-13T13:05:00Z</dcterms:created>
  <dcterms:modified xsi:type="dcterms:W3CDTF">2021-05-17T13:14:00Z</dcterms:modified>
</cp:coreProperties>
</file>