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A12B225" wp14:paraId="353A1767" wp14:textId="1A3E69E5">
      <w:pPr>
        <w:rPr>
          <w:b w:val="1"/>
          <w:bCs w:val="1"/>
        </w:rPr>
      </w:pPr>
      <w:r w:rsidRPr="0A12B225" w:rsidR="2EC17C09">
        <w:rPr>
          <w:b w:val="1"/>
          <w:bCs w:val="1"/>
        </w:rPr>
        <w:t xml:space="preserve">                                                    </w:t>
      </w:r>
      <w:r w:rsidRPr="0A12B225" w:rsidR="7481E14F">
        <w:rPr>
          <w:b w:val="1"/>
          <w:bCs w:val="1"/>
        </w:rPr>
        <w:t>Introduction to Business - Victor Mah</w:t>
      </w:r>
    </w:p>
    <w:p xmlns:wp14="http://schemas.microsoft.com/office/word/2010/wordml" wp14:paraId="29A99EE7" wp14:textId="4053ECE0">
      <w:r w:rsidRPr="0A12B225" w:rsidR="7481E14F">
        <w:rPr>
          <w:b w:val="1"/>
          <w:bCs w:val="1"/>
        </w:rPr>
        <w:t xml:space="preserve"> Business Ethics and Corporate Social Responsibility in the Automotive Industry</w:t>
      </w:r>
      <w:r w:rsidRPr="0A12B225" w:rsidR="187055E9">
        <w:rPr>
          <w:b w:val="1"/>
          <w:bCs w:val="1"/>
        </w:rPr>
        <w:t xml:space="preserve"> Essay</w:t>
      </w:r>
    </w:p>
    <w:p xmlns:wp14="http://schemas.microsoft.com/office/word/2010/wordml" wp14:paraId="47B0FBCC" wp14:textId="1F2EE661">
      <w:r w:rsidRPr="0A12B225" w:rsidR="7481E14F">
        <w:rPr>
          <w:b w:val="1"/>
          <w:bCs w:val="1"/>
        </w:rPr>
        <w:t xml:space="preserve"> Ancuta Mirela Amariuca – 2332548</w:t>
      </w:r>
    </w:p>
    <w:p xmlns:wp14="http://schemas.microsoft.com/office/word/2010/wordml" w:rsidP="0A12B225" wp14:paraId="195C67C9" wp14:textId="5F3AA4A8">
      <w:pPr>
        <w:rPr>
          <w:b w:val="1"/>
          <w:bCs w:val="1"/>
        </w:rPr>
      </w:pPr>
    </w:p>
    <w:p xmlns:wp14="http://schemas.microsoft.com/office/word/2010/wordml" w:rsidP="0A12B225" wp14:paraId="644CE679" wp14:textId="24CCFFA9">
      <w:pPr>
        <w:rPr>
          <w:b w:val="1"/>
          <w:bCs w:val="1"/>
        </w:rPr>
      </w:pPr>
    </w:p>
    <w:p xmlns:wp14="http://schemas.microsoft.com/office/word/2010/wordml" w:rsidP="0A12B225" wp14:paraId="6B1A3678" wp14:textId="6EB8B5F2">
      <w:pPr>
        <w:rPr>
          <w:b w:val="1"/>
          <w:bCs w:val="1"/>
        </w:rPr>
      </w:pPr>
    </w:p>
    <w:p xmlns:wp14="http://schemas.microsoft.com/office/word/2010/wordml" w:rsidP="0A12B225" wp14:paraId="3A16180E" wp14:textId="65C7DEBD">
      <w:pPr>
        <w:rPr>
          <w:b w:val="1"/>
          <w:bCs w:val="1"/>
        </w:rPr>
      </w:pPr>
    </w:p>
    <w:p xmlns:wp14="http://schemas.microsoft.com/office/word/2010/wordml" w:rsidP="0A12B225" wp14:paraId="1AD90C08" wp14:textId="6002A24A">
      <w:pPr>
        <w:rPr>
          <w:b w:val="1"/>
          <w:bCs w:val="1"/>
        </w:rPr>
      </w:pPr>
    </w:p>
    <w:p xmlns:wp14="http://schemas.microsoft.com/office/word/2010/wordml" w:rsidP="0A12B225" wp14:paraId="18ABC006" wp14:textId="062DAB02">
      <w:pPr>
        <w:rPr>
          <w:b w:val="1"/>
          <w:bCs w:val="1"/>
        </w:rPr>
      </w:pPr>
    </w:p>
    <w:p xmlns:wp14="http://schemas.microsoft.com/office/word/2010/wordml" w:rsidP="0A12B225" wp14:paraId="66D7D9A6" wp14:textId="3F82054C">
      <w:pPr>
        <w:rPr>
          <w:b w:val="1"/>
          <w:bCs w:val="1"/>
        </w:rPr>
      </w:pPr>
    </w:p>
    <w:p xmlns:wp14="http://schemas.microsoft.com/office/word/2010/wordml" w:rsidP="0A12B225" wp14:paraId="78254437" wp14:textId="60961EF1">
      <w:pPr>
        <w:rPr>
          <w:b w:val="1"/>
          <w:bCs w:val="1"/>
        </w:rPr>
      </w:pPr>
    </w:p>
    <w:p xmlns:wp14="http://schemas.microsoft.com/office/word/2010/wordml" w:rsidP="0A12B225" wp14:paraId="11E20E6D" wp14:textId="5218E616">
      <w:pPr>
        <w:rPr>
          <w:b w:val="1"/>
          <w:bCs w:val="1"/>
        </w:rPr>
      </w:pPr>
    </w:p>
    <w:p xmlns:wp14="http://schemas.microsoft.com/office/word/2010/wordml" w:rsidP="0A12B225" wp14:paraId="579826A9" wp14:textId="54F396FD">
      <w:pPr>
        <w:rPr>
          <w:b w:val="1"/>
          <w:bCs w:val="1"/>
        </w:rPr>
      </w:pPr>
    </w:p>
    <w:p xmlns:wp14="http://schemas.microsoft.com/office/word/2010/wordml" w:rsidP="0A12B225" wp14:paraId="1F35E135" wp14:textId="17DBA30A">
      <w:pPr>
        <w:rPr>
          <w:b w:val="1"/>
          <w:bCs w:val="1"/>
        </w:rPr>
      </w:pPr>
    </w:p>
    <w:p xmlns:wp14="http://schemas.microsoft.com/office/word/2010/wordml" w:rsidP="0A12B225" wp14:paraId="793AC286" wp14:textId="1BD53022">
      <w:pPr>
        <w:rPr>
          <w:b w:val="1"/>
          <w:bCs w:val="1"/>
        </w:rPr>
      </w:pPr>
    </w:p>
    <w:p xmlns:wp14="http://schemas.microsoft.com/office/word/2010/wordml" w:rsidP="0A12B225" wp14:paraId="596F88AD" wp14:textId="4E820127">
      <w:pPr>
        <w:rPr>
          <w:b w:val="1"/>
          <w:bCs w:val="1"/>
        </w:rPr>
      </w:pPr>
    </w:p>
    <w:p xmlns:wp14="http://schemas.microsoft.com/office/word/2010/wordml" w:rsidP="0A12B225" wp14:paraId="51FB205F" wp14:textId="0768AD6A">
      <w:pPr>
        <w:rPr>
          <w:b w:val="1"/>
          <w:bCs w:val="1"/>
        </w:rPr>
      </w:pPr>
    </w:p>
    <w:p xmlns:wp14="http://schemas.microsoft.com/office/word/2010/wordml" w:rsidP="0A12B225" wp14:paraId="75EAD5E5" wp14:textId="1D041699">
      <w:pPr>
        <w:rPr>
          <w:b w:val="1"/>
          <w:bCs w:val="1"/>
        </w:rPr>
      </w:pPr>
    </w:p>
    <w:p xmlns:wp14="http://schemas.microsoft.com/office/word/2010/wordml" w:rsidP="0A12B225" wp14:paraId="1385A1D9" wp14:textId="62F7E337">
      <w:pPr>
        <w:rPr>
          <w:b w:val="1"/>
          <w:bCs w:val="1"/>
        </w:rPr>
      </w:pPr>
    </w:p>
    <w:p xmlns:wp14="http://schemas.microsoft.com/office/word/2010/wordml" w:rsidP="0A12B225" wp14:paraId="1878BC87" wp14:textId="040FA44B">
      <w:pPr>
        <w:rPr>
          <w:b w:val="1"/>
          <w:bCs w:val="1"/>
        </w:rPr>
      </w:pPr>
    </w:p>
    <w:p xmlns:wp14="http://schemas.microsoft.com/office/word/2010/wordml" w:rsidP="0A12B225" wp14:paraId="32095D4A" wp14:textId="1F87D2C2">
      <w:pPr>
        <w:rPr>
          <w:b w:val="1"/>
          <w:bCs w:val="1"/>
        </w:rPr>
      </w:pPr>
    </w:p>
    <w:p xmlns:wp14="http://schemas.microsoft.com/office/word/2010/wordml" w:rsidP="0A12B225" wp14:paraId="14EDEF8C" wp14:textId="469D3957">
      <w:pPr>
        <w:spacing w:line="360" w:lineRule="auto"/>
        <w:rPr>
          <w:rFonts w:ascii="Arial" w:hAnsi="Arial" w:eastAsia="Arial" w:cs="Arial"/>
        </w:rPr>
      </w:pPr>
      <w:r w:rsidRPr="0A12B225" w:rsidR="7481E14F">
        <w:rPr>
          <w:rFonts w:ascii="Arial" w:hAnsi="Arial" w:eastAsia="Arial" w:cs="Arial"/>
          <w:b w:val="1"/>
          <w:bCs w:val="1"/>
        </w:rPr>
        <w:t xml:space="preserve"> </w:t>
      </w:r>
      <w:r w:rsidRPr="0A12B225" w:rsidR="7481E14F">
        <w:rPr>
          <w:rFonts w:ascii="Arial" w:hAnsi="Arial" w:eastAsia="Arial" w:cs="Arial"/>
        </w:rPr>
        <w:t>Introduction The automotive industry is in the midst of a major shift toward sustainability and ethical responsibility. In an era marked by environmental challenges, regulatory shifts, and evolving stakeholder expectations, the industry’s carmakers are being called upo n to not only run profitable businesses but also to do so with integrity and a sense of social responsibility. This blog post sets out to discuss the concepts of business ethics and corporate social responsibility (CSR) and to look at how these concepts ma y be applied to inform strategic choices and stakeholder engagement. Carroll’s CSR Pyramid and the Triple Bottom Line are just a couple of theoretical frameworks that will be addressed in this section. Tesla, Toyota, and Volkswagen are three major carmaker s whose approaches to ethical and social challenges, as well as their responses to sustainability issues such as EV transition, carbon neutrality, and supply chain transparency, as well as ethical concerns such as recalls and regulatory compliance, will be analysed and compared. In sum, this post will explore how ethical behaviour and social responsibility are not only the right thing to do, but also critical for building long - term trust, innovation, and competitiveness in the new automotive economy. Main Body 1. Defining Business Ethics and CSR Business ethics is concerned with the standards, values, and principles that govern behaviour in the world of business (Crane &amp; Matten, 2021). It entails making decisions that are not only profitable but also morally sound, considering the viewpoints of st akeholders and society as a whole. Business ethics covers a wide range of issues including honesty, fairness, transparency, and compliance with laws and regulations. In the context of the automotive industry, this could pertain to product safety, emissions standards, advertising practices, and more. Corporate social responsibility (CSR), on the other hand, is the notion that businesses have responsibilities to society that go beyond profit maximisation. As Carroll (1991, p. 34) says, CSR “represents the continuing commitment by business to behave ethi cally and contribute to economic development while improving the quality of life of the workforce and their families as well as the local community and society at large”. This definition ties CSR closely to the idea of sustainable business practices and highlights four categories of responsibility: economic, legal, ethical, and philanthropic. The structure of th is four - part division is most well - known in Carroll’s CSR Pyramid, a framework which we will discuss further. 2. Carroll’s CSR Pyramid Carroll’s CSR Pyramid (1991) is a framework that describes four levels of social responsibility that businesses should ideally seek to balance. The pyramid consists of: Economic responsibilities – be profitable. Legal responsibilities – obey the law. Ethical responsibilities – be ethical (doing what is right, just and fair). Philanthropic responsibilities – be a good corporate citizen. The model can be used to assess how well a company is performing in terms of its social resp onsibilities, beyond just making a profit. Tesla, as a company, can be seen to do well on economic and legal responsibilities, with their leading position in the electric vehicle market and compliance with zero - emission vehicle regulations. However, Tesla has faced criticism on ethical grounds over working conditions, safety concerns, autopilot incidents, and some marketing practices (BBC, 2024). Philanthropic engagement is also limited for the carmaker, which leads to a CSR imbalance. Toyota presents a mo re balanced CSR profile, demonstrating success in each of the four quadrants. Toyota is a very profitable company, and has a long track record of legal compliance and strong ethical practices related to quality and safety. The company made strides in ethic al governance after its large recall incident related to sudden unintended acceleration in 2009 – 2010. Toyota has also been involved in various philanthropic efforts such as education, environmental conservation, and STEM initiatives. Volkswagen (VW) is a case study in ethical and legal failure in terms of Carroll’s CSR. The 2015 Dieselgate scandal, in which VW installed devices to cheat emissions tests, was a breach of trust on both the legal and ethical levels of Carroll’s CSR Pyramid. Since then, VW has made efforts to recover its CSR standing, with heavy investment in EVs (the ID. series) and a pledge to become carbon neutral by 2050. However, this is a prime example of how failure to meet ethical expectations can damage a corporation’s standing and take years of CSR effort to rebuild. 3. The Triple Bottom Line (TBL) Framework The Triple Bottom Line (Elkington, 1997) is a framework that expands the traditional financial bottom line to include two other aspects: social and environmental. The TBL concept thus measures a company’s success not only by how much money it makes, but also by its</w:t>
      </w:r>
    </w:p>
    <w:p xmlns:wp14="http://schemas.microsoft.com/office/word/2010/wordml" w:rsidP="0A12B225" wp14:paraId="638D3F0F" wp14:textId="69072D9F">
      <w:pPr>
        <w:pStyle w:val="Normal"/>
        <w:spacing w:line="360" w:lineRule="auto"/>
        <w:rPr>
          <w:rFonts w:ascii="Arial" w:hAnsi="Arial" w:eastAsia="Arial" w:cs="Arial"/>
        </w:rPr>
      </w:pPr>
      <w:r w:rsidRPr="0A12B225" w:rsidR="7481E14F">
        <w:rPr>
          <w:rFonts w:ascii="Arial" w:hAnsi="Arial" w:eastAsia="Arial" w:cs="Arial"/>
        </w:rPr>
        <w:t xml:space="preserve"> </w:t>
      </w:r>
    </w:p>
    <w:p xmlns:wp14="http://schemas.microsoft.com/office/word/2010/wordml" w:rsidP="0A12B225" wp14:paraId="7B2DC58B" wp14:textId="7C215CDA">
      <w:pPr>
        <w:pStyle w:val="Normal"/>
        <w:spacing w:line="360" w:lineRule="auto"/>
        <w:rPr>
          <w:rFonts w:ascii="Arial" w:hAnsi="Arial" w:eastAsia="Arial" w:cs="Arial"/>
        </w:rPr>
      </w:pPr>
      <w:r w:rsidRPr="0A12B225" w:rsidR="7481E14F">
        <w:rPr>
          <w:rFonts w:ascii="Arial" w:hAnsi="Arial" w:eastAsia="Arial" w:cs="Arial"/>
        </w:rPr>
        <w:t>impact on people (social) and the planet (environmental). The three dimensions are often referred to as “people, planet, and profit”. Tesla’s mission and sustainability strategy are in many ways aligned with the TBL approach, especially in terms of the environmental bottom line. Tesla aims to “accelerate the world’s transition to sustainable energy” with its EVs, batteries, and solar pro ducts. However, there are some ethical issues related to Tesla’s supply chain transparency for battery materials, as sour cing of cobalt and lithium has been associated with human rights and labour concerns in some countries. The company has begun taking steps to improve traceability and recycling of these materials (Tesla’s “Closed Loop Battery Recycling Program”) but has so me work to do here. Toyota’s approach to the TBL is integrated into its Environmental Challenge 2050, which seeks carbon neutrality in both production and use of vehicles. The company also supports employee wellbeing and community development through init iatives such as the Toyota Mobility Foundation, which funds projects related to sustainable mobility and transport solutions across the globe. In economic terms, Toyota has remained resilient by continuing to innovate and diversify, such as its recent push into hydrogen fuel cell technology in addition to hybrid and EVs. Volkswagen has adopted the TBL as a framework for its recovery from Dieselgate. Environmentally, it has committed €180 billion in funding for EV development and carbon reduction measures. S ocially, VW has worked on rebuilding trust with its employees and improving governance transparency. Economically, it has invested in new EV models and has been aggressive in expanding its EV lineup to remain competitive. Public perception remains a challe nge for the company, however, showing that CSR recovery is a long process. 4. Ethical and CSR Integration in Strategic Practice The integration of ethics and CSR into the fabric of corporate strategy is a strategic imperative. Ethical leadership and stakeholder engagement play a key role in shaping corporate culture and decision - making. Consider the following illustrations: Tesla is known for a culture of innovation and disruption, but has at times been criticised for sacrificing workplace safety and communication transparency in pursuit of speed. Toyota’s “Kaizen” philosophy o f continuous improvement fosters an environment of ethical reflection and proactive problem solving among employees. Volkswagen’s scandal is a cautionary tale of what can happen when profit and performance are prioritised over ethics. In the context of the automotive industry’s ongoing transformation – the electrification of vehicles, increasing automation, and the general shift to sustainable mobility – these discussions are especially salient. The environmental impact of manufacturing , the ethics of res ource extraction for batteries, and the need for consumer transparency are all areas where the automotive industry faces intense ethical scrutiny. Alignment with CSR and business ethics principles is therefore critical to long - term legitimacy, competitiven ess, and</w:t>
      </w:r>
    </w:p>
    <w:p xmlns:wp14="http://schemas.microsoft.com/office/word/2010/wordml" w:rsidP="0A12B225" wp14:paraId="5A350E5B" wp14:textId="30A3C087">
      <w:pPr>
        <w:pStyle w:val="Normal"/>
        <w:spacing w:line="360" w:lineRule="auto"/>
        <w:rPr>
          <w:rFonts w:ascii="Arial" w:hAnsi="Arial" w:eastAsia="Arial" w:cs="Arial"/>
        </w:rPr>
      </w:pPr>
      <w:r w:rsidRPr="0A12B225" w:rsidR="7481E14F">
        <w:rPr>
          <w:rFonts w:ascii="Arial" w:hAnsi="Arial" w:eastAsia="Arial" w:cs="Arial"/>
        </w:rPr>
        <w:t xml:space="preserve"> </w:t>
      </w:r>
    </w:p>
    <w:p xmlns:wp14="http://schemas.microsoft.com/office/word/2010/wordml" w:rsidP="0A12B225" wp14:paraId="03D9A3ED" wp14:textId="34A346D2">
      <w:pPr>
        <w:pStyle w:val="Normal"/>
        <w:spacing w:line="360" w:lineRule="auto"/>
        <w:rPr>
          <w:rFonts w:ascii="Arial" w:hAnsi="Arial" w:eastAsia="Arial" w:cs="Arial"/>
        </w:rPr>
      </w:pPr>
      <w:r w:rsidRPr="0A12B225" w:rsidR="7481E14F">
        <w:rPr>
          <w:rFonts w:ascii="Arial" w:hAnsi="Arial" w:eastAsia="Arial" w:cs="Arial"/>
        </w:rPr>
        <w:t xml:space="preserve">stakeholder trust. Conclusion To sum up, business ethics and corporate social responsibility are essential considerations for the automotive industry. Using frameworks such as Carroll’s CSR Pyramid and the Triple Bottom Line, it is possible to see how making a profit must be accompanie d by legal compliance, ethical behaviour, and social – environmental stewardship. The case studies of Tesla, Toyota, and Volkswagen show a spectrum of CSR maturity and application, from disruptive innovation to sustainability and scandal recover y. With the global increase in stakeholder demands for transparency, accountability, and sustainability, it is clear that businesses that make ethics and CSR core to their strategies will not only earn public trust but also ensure long - term resilience. In an industry defined by technological disruption and environmental urgency, integrity and responsible corporate citizenship are not just a moral duty but a key to competitive advantage. Reference Books and academic articles: • Carroll, A.B. (1991) The pyramid of corporate social responsibility: Toward the moral management of organizational stakeholders. Business Horizons, 34(4), pp.39 – 48. • Crane, A. and Matten, D. (2021) Business Ethics: Managing Corporate Citizenship and Sustainability in the Age of Globalization. 6th ed. Oxford: Oxford University Press. • Elkington, J. (1997) Cannibals with Forks: The Triple Bottom Line of 21st Century Business. Oxford: Capstone Publishing. • Porter, M.E. and Kramer, M.R. (2024) Creating Shared Value Revisited: The Future of Corporate Social Responsibility. Harvard Business Review, 102(1), pp.45 – 58. • Werther, W.B. and Chandler, D. (2020) Strategic Corporate Social Responsibility: Sustainable Value Creation. 5th ed. Thousand Oaks: SAGE Publications. Organizational sources and reports: • Tesla, Inc. (2024) Impact Report 2024. Available at: </w:t>
      </w:r>
      <w:r w:rsidRPr="0A12B225" w:rsidR="7481E14F">
        <w:rPr>
          <w:rFonts w:ascii="Arial" w:hAnsi="Arial" w:eastAsia="Arial" w:cs="Arial"/>
        </w:rPr>
        <w:t>https://www.tesla.com/ns_videos/2024</w:t>
      </w:r>
      <w:r w:rsidRPr="0A12B225" w:rsidR="7481E14F">
        <w:rPr>
          <w:rFonts w:ascii="Arial" w:hAnsi="Arial" w:eastAsia="Arial" w:cs="Arial"/>
        </w:rPr>
        <w:t xml:space="preserve"> - tesla - impact - report.pdf (Accessed: 5 October 2025).</w:t>
      </w:r>
    </w:p>
    <w:p xmlns:wp14="http://schemas.microsoft.com/office/word/2010/wordml" w:rsidP="0A12B225" wp14:paraId="43EE6F86" wp14:textId="5FCF6F3B">
      <w:pPr>
        <w:pStyle w:val="Normal"/>
        <w:spacing w:line="360" w:lineRule="auto"/>
        <w:rPr>
          <w:rFonts w:ascii="Arial" w:hAnsi="Arial" w:eastAsia="Arial" w:cs="Arial"/>
        </w:rPr>
      </w:pPr>
      <w:r w:rsidRPr="0A12B225" w:rsidR="7481E14F">
        <w:rPr>
          <w:rFonts w:ascii="Arial" w:hAnsi="Arial" w:eastAsia="Arial" w:cs="Arial"/>
        </w:rPr>
        <w:t xml:space="preserve"> </w:t>
      </w:r>
    </w:p>
    <w:p xmlns:wp14="http://schemas.microsoft.com/office/word/2010/wordml" w:rsidP="0A12B225" wp14:paraId="5E5787A5" wp14:textId="243ABD33">
      <w:pPr>
        <w:pStyle w:val="Normal"/>
        <w:spacing w:line="360" w:lineRule="auto"/>
      </w:pPr>
      <w:r w:rsidRPr="0A12B225" w:rsidR="7481E14F">
        <w:rPr>
          <w:rFonts w:ascii="Arial" w:hAnsi="Arial" w:eastAsia="Arial" w:cs="Arial"/>
        </w:rPr>
        <w:t>• Toyota Motor Corporation (2023) Sustainability Data Book 2023. Available at: https://global.toyota/en/sustainability/report/ (Accessed: 5 October 2025). • Volkswagen AG (2024) Sustainability Report 2024. Available at: https://www.volkswagenag.com/en/sustainability.html (Accessed: 5 October 2025). Reliable articles and media sources: • BBC News (2024) ‘Tesla faces scrutiny over autopilot safety and marketing claims.’ BBC News, 12 February. Available at: https://www.bbc.com/news (Accessed: 6 October 2025). • Reuters (2023) ‘Volkswagen commits €180 billion to EV and software development.’ Reuters, 14 March. Available at: https://www.reuters.com/ (Accessed: 6 October 2025). • Financial Times (2024) ‘Toyota leads hybrid market amid global EV comp</w:t>
      </w:r>
      <w:r w:rsidR="7481E14F">
        <w:rPr/>
        <w:t>etition.’ Financial Times, 22 July.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0BD748"/>
    <w:rsid w:val="023F2495"/>
    <w:rsid w:val="0890650D"/>
    <w:rsid w:val="0A12B225"/>
    <w:rsid w:val="187055E9"/>
    <w:rsid w:val="2EC17C09"/>
    <w:rsid w:val="310BD748"/>
    <w:rsid w:val="5C81A8D0"/>
    <w:rsid w:val="6A1FCAB7"/>
    <w:rsid w:val="7481E14F"/>
    <w:rsid w:val="7A147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BD748"/>
  <w15:chartTrackingRefBased/>
  <w15:docId w15:val="{53DA474F-0940-4451-8CC2-347EDEBC73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Ancuta-Mirela Amariuca (2332548)</dc:creator>
  <keywords/>
  <dc:description/>
  <lastModifiedBy>Ancuta-Mirela Amariuca (2332548)</lastModifiedBy>
  <revision>2</revision>
  <dcterms:created xsi:type="dcterms:W3CDTF">2025-11-14T11:35:32.8766976Z</dcterms:created>
  <dcterms:modified xsi:type="dcterms:W3CDTF">2025-11-14T11:39:33.2209417Z</dcterms:modified>
</coreProperties>
</file>