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0E850" w14:textId="77777777" w:rsidR="00B45188" w:rsidRPr="00B45188" w:rsidRDefault="00B45188" w:rsidP="00B45188">
      <w:pPr>
        <w:pStyle w:val="Title"/>
        <w:rPr>
          <w:rFonts w:ascii="Aptos" w:hAnsi="Aptos" w:cstheme="majorHAnsi"/>
          <w:b/>
          <w:bCs/>
          <w:color w:val="000000" w:themeColor="text1"/>
          <w:sz w:val="24"/>
          <w:szCs w:val="24"/>
          <w:lang w:val="en-GB"/>
        </w:rPr>
      </w:pPr>
      <w:r w:rsidRPr="00B45188">
        <w:rPr>
          <w:rFonts w:ascii="Aptos" w:hAnsi="Aptos" w:cstheme="majorHAnsi"/>
          <w:b/>
          <w:bCs/>
          <w:color w:val="000000" w:themeColor="text1"/>
          <w:sz w:val="24"/>
          <w:szCs w:val="24"/>
          <w:lang w:val="en-GB"/>
        </w:rPr>
        <w:t>AI Use Acknowledgement</w:t>
      </w:r>
    </w:p>
    <w:p w14:paraId="0E5CF026" w14:textId="77777777" w:rsidR="00B45188" w:rsidRPr="00B45188" w:rsidRDefault="00B45188" w:rsidP="00B45188">
      <w:pPr>
        <w:pStyle w:val="Title"/>
        <w:rPr>
          <w:rFonts w:ascii="Aptos" w:hAnsi="Aptos" w:cstheme="majorHAnsi"/>
          <w:color w:val="000000" w:themeColor="text1"/>
          <w:sz w:val="24"/>
          <w:szCs w:val="24"/>
          <w:lang w:val="en-GB"/>
        </w:rPr>
      </w:pPr>
      <w:r w:rsidRPr="00B45188">
        <w:rPr>
          <w:rFonts w:ascii="Aptos" w:hAnsi="Aptos" w:cstheme="majorHAnsi"/>
          <w:color w:val="000000" w:themeColor="text1"/>
          <w:sz w:val="24"/>
          <w:szCs w:val="24"/>
          <w:lang w:val="en-GB"/>
        </w:rPr>
        <w:t>Generative AI tools were used in a limited capacity during the preparation of this assignment in accordance with the assessment guidelines. Specifically, AI was used to support background research by assisting with the identification of relevant academic literature, to help organise the overall structure of the assignment, and to review the text for grammatical clarity and sentence structure.</w:t>
      </w:r>
    </w:p>
    <w:p w14:paraId="1E75A64B" w14:textId="77777777" w:rsidR="00B45188" w:rsidRPr="00B45188" w:rsidRDefault="00B45188" w:rsidP="00B45188">
      <w:pPr>
        <w:pStyle w:val="Title"/>
        <w:rPr>
          <w:rFonts w:ascii="Aptos" w:hAnsi="Aptos" w:cstheme="majorHAnsi"/>
          <w:color w:val="000000" w:themeColor="text1"/>
          <w:sz w:val="24"/>
          <w:szCs w:val="24"/>
          <w:lang w:val="en-GB"/>
        </w:rPr>
      </w:pPr>
      <w:r w:rsidRPr="00B45188">
        <w:rPr>
          <w:rFonts w:ascii="Aptos" w:hAnsi="Aptos" w:cstheme="majorHAnsi"/>
          <w:color w:val="000000" w:themeColor="text1"/>
          <w:sz w:val="24"/>
          <w:szCs w:val="24"/>
          <w:lang w:val="en-GB"/>
        </w:rPr>
        <w:t>AI tools were not used to generate written content for submission. All written sections, data analysis, interpretation of results, and academic arguments were developed independently by the author. The statistical analyses and figures were produced using SPSS, and all sources cited in the assignment were independently located and verified by the author.</w:t>
      </w:r>
    </w:p>
    <w:p w14:paraId="22793F79" w14:textId="77777777" w:rsidR="00B45188" w:rsidRPr="00B45188" w:rsidRDefault="00B45188" w:rsidP="00B45188">
      <w:pPr>
        <w:pStyle w:val="Title"/>
        <w:rPr>
          <w:rFonts w:ascii="Aptos" w:hAnsi="Aptos" w:cstheme="majorHAnsi"/>
          <w:color w:val="000000" w:themeColor="text1"/>
          <w:sz w:val="24"/>
          <w:szCs w:val="24"/>
          <w:lang w:val="en-GB"/>
        </w:rPr>
      </w:pPr>
      <w:r w:rsidRPr="00B45188">
        <w:rPr>
          <w:rFonts w:ascii="Aptos" w:hAnsi="Aptos" w:cstheme="majorHAnsi"/>
          <w:color w:val="000000" w:themeColor="text1"/>
          <w:sz w:val="24"/>
          <w:szCs w:val="24"/>
          <w:lang w:val="en-GB"/>
        </w:rPr>
        <w:t>The author takes full responsibility for the accuracy, integrity, and originality of the submitted work.</w:t>
      </w:r>
    </w:p>
    <w:p w14:paraId="0B56DBF3" w14:textId="77777777" w:rsidR="00B45188" w:rsidRPr="00B45188" w:rsidRDefault="00B45188" w:rsidP="00B45188">
      <w:pPr>
        <w:pStyle w:val="Title"/>
        <w:rPr>
          <w:rFonts w:ascii="Aptos" w:hAnsi="Aptos" w:cstheme="majorHAnsi"/>
          <w:color w:val="000000" w:themeColor="text1"/>
          <w:sz w:val="32"/>
          <w:szCs w:val="32"/>
        </w:rPr>
      </w:pPr>
    </w:p>
    <w:p w14:paraId="322D59EA" w14:textId="77777777" w:rsidR="00B45188" w:rsidRDefault="00B45188">
      <w:pPr>
        <w:pStyle w:val="Title"/>
        <w:jc w:val="center"/>
        <w:rPr>
          <w:rFonts w:ascii="Aptos" w:hAnsi="Aptos" w:cstheme="majorHAnsi"/>
          <w:b/>
          <w:bCs/>
          <w:color w:val="000000" w:themeColor="text1"/>
          <w:sz w:val="32"/>
          <w:szCs w:val="32"/>
        </w:rPr>
      </w:pPr>
    </w:p>
    <w:p w14:paraId="602E132A" w14:textId="77777777" w:rsidR="00B45188" w:rsidRDefault="00B45188">
      <w:pPr>
        <w:pStyle w:val="Title"/>
        <w:jc w:val="center"/>
        <w:rPr>
          <w:rFonts w:ascii="Aptos" w:hAnsi="Aptos" w:cstheme="majorHAnsi"/>
          <w:b/>
          <w:bCs/>
          <w:color w:val="000000" w:themeColor="text1"/>
          <w:sz w:val="32"/>
          <w:szCs w:val="32"/>
        </w:rPr>
      </w:pPr>
    </w:p>
    <w:p w14:paraId="01E15CC7" w14:textId="77777777" w:rsidR="00B45188" w:rsidRDefault="00B45188">
      <w:pPr>
        <w:pStyle w:val="Title"/>
        <w:jc w:val="center"/>
        <w:rPr>
          <w:rFonts w:ascii="Aptos" w:hAnsi="Aptos" w:cstheme="majorHAnsi"/>
          <w:b/>
          <w:bCs/>
          <w:color w:val="000000" w:themeColor="text1"/>
          <w:sz w:val="32"/>
          <w:szCs w:val="32"/>
        </w:rPr>
      </w:pPr>
    </w:p>
    <w:p w14:paraId="48FE3B51" w14:textId="77777777" w:rsidR="00B45188" w:rsidRDefault="00B45188">
      <w:pPr>
        <w:pStyle w:val="Title"/>
        <w:jc w:val="center"/>
        <w:rPr>
          <w:rFonts w:ascii="Aptos" w:hAnsi="Aptos" w:cstheme="majorHAnsi"/>
          <w:b/>
          <w:bCs/>
          <w:color w:val="000000" w:themeColor="text1"/>
          <w:sz w:val="32"/>
          <w:szCs w:val="32"/>
        </w:rPr>
      </w:pPr>
    </w:p>
    <w:p w14:paraId="2FE6F2BD" w14:textId="77777777" w:rsidR="00B45188" w:rsidRDefault="00B45188">
      <w:pPr>
        <w:pStyle w:val="Title"/>
        <w:jc w:val="center"/>
        <w:rPr>
          <w:rFonts w:ascii="Aptos" w:hAnsi="Aptos" w:cstheme="majorHAnsi"/>
          <w:b/>
          <w:bCs/>
          <w:color w:val="000000" w:themeColor="text1"/>
          <w:sz w:val="32"/>
          <w:szCs w:val="32"/>
        </w:rPr>
      </w:pPr>
    </w:p>
    <w:p w14:paraId="06007FF1" w14:textId="77777777" w:rsidR="00B45188" w:rsidRDefault="00B45188">
      <w:pPr>
        <w:pStyle w:val="Title"/>
        <w:jc w:val="center"/>
        <w:rPr>
          <w:rFonts w:ascii="Aptos" w:hAnsi="Aptos" w:cstheme="majorHAnsi"/>
          <w:b/>
          <w:bCs/>
          <w:color w:val="000000" w:themeColor="text1"/>
          <w:sz w:val="32"/>
          <w:szCs w:val="32"/>
        </w:rPr>
      </w:pPr>
    </w:p>
    <w:p w14:paraId="113873BC" w14:textId="77777777" w:rsidR="00B45188" w:rsidRDefault="00B45188">
      <w:pPr>
        <w:pStyle w:val="Title"/>
        <w:jc w:val="center"/>
        <w:rPr>
          <w:rFonts w:ascii="Aptos" w:hAnsi="Aptos" w:cstheme="majorHAnsi"/>
          <w:b/>
          <w:bCs/>
          <w:color w:val="000000" w:themeColor="text1"/>
          <w:sz w:val="32"/>
          <w:szCs w:val="32"/>
        </w:rPr>
      </w:pPr>
    </w:p>
    <w:p w14:paraId="09178E73" w14:textId="77777777" w:rsidR="00B45188" w:rsidRDefault="00B45188">
      <w:pPr>
        <w:pStyle w:val="Title"/>
        <w:jc w:val="center"/>
        <w:rPr>
          <w:rFonts w:ascii="Aptos" w:hAnsi="Aptos" w:cstheme="majorHAnsi"/>
          <w:b/>
          <w:bCs/>
          <w:color w:val="000000" w:themeColor="text1"/>
          <w:sz w:val="32"/>
          <w:szCs w:val="32"/>
        </w:rPr>
      </w:pPr>
    </w:p>
    <w:p w14:paraId="61CA4901" w14:textId="77777777" w:rsidR="00B45188" w:rsidRDefault="00B45188">
      <w:pPr>
        <w:pStyle w:val="Title"/>
        <w:jc w:val="center"/>
        <w:rPr>
          <w:rFonts w:ascii="Aptos" w:hAnsi="Aptos" w:cstheme="majorHAnsi"/>
          <w:b/>
          <w:bCs/>
          <w:color w:val="000000" w:themeColor="text1"/>
          <w:sz w:val="32"/>
          <w:szCs w:val="32"/>
        </w:rPr>
      </w:pPr>
    </w:p>
    <w:p w14:paraId="7746025D" w14:textId="77777777" w:rsidR="00B45188" w:rsidRDefault="00B45188">
      <w:pPr>
        <w:pStyle w:val="Title"/>
        <w:jc w:val="center"/>
        <w:rPr>
          <w:rFonts w:ascii="Aptos" w:hAnsi="Aptos" w:cstheme="majorHAnsi"/>
          <w:b/>
          <w:bCs/>
          <w:color w:val="000000" w:themeColor="text1"/>
          <w:sz w:val="32"/>
          <w:szCs w:val="32"/>
        </w:rPr>
      </w:pPr>
    </w:p>
    <w:p w14:paraId="4788196A" w14:textId="77777777" w:rsidR="00B45188" w:rsidRDefault="00B45188">
      <w:pPr>
        <w:pStyle w:val="Title"/>
        <w:jc w:val="center"/>
        <w:rPr>
          <w:rFonts w:ascii="Aptos" w:hAnsi="Aptos" w:cstheme="majorHAnsi"/>
          <w:b/>
          <w:bCs/>
          <w:color w:val="000000" w:themeColor="text1"/>
          <w:sz w:val="32"/>
          <w:szCs w:val="32"/>
        </w:rPr>
      </w:pPr>
    </w:p>
    <w:p w14:paraId="04A62ACB" w14:textId="77777777" w:rsidR="00B45188" w:rsidRDefault="00B45188">
      <w:pPr>
        <w:pStyle w:val="Title"/>
        <w:jc w:val="center"/>
        <w:rPr>
          <w:rFonts w:ascii="Aptos" w:hAnsi="Aptos" w:cstheme="majorHAnsi"/>
          <w:b/>
          <w:bCs/>
          <w:color w:val="000000" w:themeColor="text1"/>
          <w:sz w:val="32"/>
          <w:szCs w:val="32"/>
        </w:rPr>
      </w:pPr>
    </w:p>
    <w:p w14:paraId="06F59A5C" w14:textId="77777777" w:rsidR="00B45188" w:rsidRDefault="00B45188">
      <w:pPr>
        <w:pStyle w:val="Title"/>
        <w:jc w:val="center"/>
        <w:rPr>
          <w:rFonts w:ascii="Aptos" w:hAnsi="Aptos" w:cstheme="majorHAnsi"/>
          <w:b/>
          <w:bCs/>
          <w:color w:val="000000" w:themeColor="text1"/>
          <w:sz w:val="32"/>
          <w:szCs w:val="32"/>
        </w:rPr>
      </w:pPr>
    </w:p>
    <w:p w14:paraId="13F1A5E2" w14:textId="77777777" w:rsidR="00B45188" w:rsidRDefault="00B45188">
      <w:pPr>
        <w:pStyle w:val="Title"/>
        <w:jc w:val="center"/>
        <w:rPr>
          <w:rFonts w:ascii="Aptos" w:hAnsi="Aptos" w:cstheme="majorHAnsi"/>
          <w:b/>
          <w:bCs/>
          <w:color w:val="000000" w:themeColor="text1"/>
          <w:sz w:val="32"/>
          <w:szCs w:val="32"/>
        </w:rPr>
      </w:pPr>
    </w:p>
    <w:p w14:paraId="0EBD7DD6" w14:textId="77777777" w:rsidR="00B45188" w:rsidRDefault="00B45188">
      <w:pPr>
        <w:pStyle w:val="Title"/>
        <w:jc w:val="center"/>
        <w:rPr>
          <w:rFonts w:ascii="Aptos" w:hAnsi="Aptos" w:cstheme="majorHAnsi"/>
          <w:b/>
          <w:bCs/>
          <w:color w:val="000000" w:themeColor="text1"/>
          <w:sz w:val="32"/>
          <w:szCs w:val="32"/>
        </w:rPr>
      </w:pPr>
    </w:p>
    <w:p w14:paraId="5E55C198" w14:textId="77777777" w:rsidR="00B45188" w:rsidRDefault="00B45188">
      <w:pPr>
        <w:pStyle w:val="Title"/>
        <w:jc w:val="center"/>
        <w:rPr>
          <w:rFonts w:ascii="Aptos" w:hAnsi="Aptos" w:cstheme="majorHAnsi"/>
          <w:b/>
          <w:bCs/>
          <w:color w:val="000000" w:themeColor="text1"/>
          <w:sz w:val="32"/>
          <w:szCs w:val="32"/>
        </w:rPr>
      </w:pPr>
    </w:p>
    <w:p w14:paraId="250DA534" w14:textId="77777777" w:rsidR="00B45188" w:rsidRDefault="00B45188">
      <w:pPr>
        <w:pStyle w:val="Title"/>
        <w:jc w:val="center"/>
        <w:rPr>
          <w:rFonts w:ascii="Aptos" w:hAnsi="Aptos" w:cstheme="majorHAnsi"/>
          <w:b/>
          <w:bCs/>
          <w:color w:val="000000" w:themeColor="text1"/>
          <w:sz w:val="32"/>
          <w:szCs w:val="32"/>
        </w:rPr>
      </w:pPr>
    </w:p>
    <w:p w14:paraId="44CA9829" w14:textId="77777777" w:rsidR="00B45188" w:rsidRDefault="00B45188">
      <w:pPr>
        <w:pStyle w:val="Title"/>
        <w:jc w:val="center"/>
        <w:rPr>
          <w:rFonts w:ascii="Aptos" w:hAnsi="Aptos" w:cstheme="majorHAnsi"/>
          <w:b/>
          <w:bCs/>
          <w:color w:val="000000" w:themeColor="text1"/>
          <w:sz w:val="32"/>
          <w:szCs w:val="32"/>
        </w:rPr>
      </w:pPr>
    </w:p>
    <w:p w14:paraId="4131CEC7" w14:textId="77777777" w:rsidR="00B45188" w:rsidRDefault="00B45188">
      <w:pPr>
        <w:pStyle w:val="Title"/>
        <w:jc w:val="center"/>
        <w:rPr>
          <w:rFonts w:ascii="Aptos" w:hAnsi="Aptos" w:cstheme="majorHAnsi"/>
          <w:b/>
          <w:bCs/>
          <w:color w:val="000000" w:themeColor="text1"/>
          <w:sz w:val="32"/>
          <w:szCs w:val="32"/>
        </w:rPr>
      </w:pPr>
    </w:p>
    <w:p w14:paraId="767921F4" w14:textId="77777777" w:rsidR="00B45188" w:rsidRDefault="00B45188">
      <w:pPr>
        <w:pStyle w:val="Title"/>
        <w:jc w:val="center"/>
        <w:rPr>
          <w:rFonts w:ascii="Aptos" w:hAnsi="Aptos" w:cstheme="majorHAnsi"/>
          <w:b/>
          <w:bCs/>
          <w:color w:val="000000" w:themeColor="text1"/>
          <w:sz w:val="32"/>
          <w:szCs w:val="32"/>
        </w:rPr>
      </w:pPr>
    </w:p>
    <w:p w14:paraId="64D35995" w14:textId="77777777" w:rsidR="00B45188" w:rsidRDefault="00B45188">
      <w:pPr>
        <w:pStyle w:val="Title"/>
        <w:jc w:val="center"/>
        <w:rPr>
          <w:rFonts w:ascii="Aptos" w:hAnsi="Aptos" w:cstheme="majorHAnsi"/>
          <w:b/>
          <w:bCs/>
          <w:color w:val="000000" w:themeColor="text1"/>
          <w:sz w:val="32"/>
          <w:szCs w:val="32"/>
        </w:rPr>
      </w:pPr>
    </w:p>
    <w:p w14:paraId="3904605A" w14:textId="1B20903C" w:rsidR="005B7134" w:rsidRPr="008353A1" w:rsidRDefault="0022218A">
      <w:pPr>
        <w:pStyle w:val="Title"/>
        <w:jc w:val="center"/>
        <w:rPr>
          <w:rFonts w:ascii="Aptos" w:hAnsi="Aptos" w:cstheme="majorHAnsi"/>
          <w:b/>
          <w:bCs/>
          <w:color w:val="000000" w:themeColor="text1"/>
          <w:sz w:val="32"/>
          <w:szCs w:val="32"/>
        </w:rPr>
      </w:pPr>
      <w:r w:rsidRPr="008353A1">
        <w:rPr>
          <w:rFonts w:ascii="Aptos" w:hAnsi="Aptos" w:cstheme="majorHAnsi"/>
          <w:b/>
          <w:bCs/>
          <w:color w:val="000000" w:themeColor="text1"/>
          <w:sz w:val="32"/>
          <w:szCs w:val="32"/>
        </w:rPr>
        <w:lastRenderedPageBreak/>
        <w:t>Physiological Testing Portfolio</w:t>
      </w:r>
    </w:p>
    <w:p w14:paraId="3B8AE3F4" w14:textId="77777777" w:rsidR="00987AFD" w:rsidRPr="00987AFD" w:rsidRDefault="00987AFD" w:rsidP="00987AFD">
      <w:pPr>
        <w:rPr>
          <w:rFonts w:ascii="Aptos" w:eastAsiaTheme="majorEastAsia" w:hAnsi="Aptos" w:cstheme="majorHAnsi"/>
          <w:b/>
          <w:bCs/>
          <w:color w:val="000000" w:themeColor="text1"/>
          <w:sz w:val="24"/>
          <w:szCs w:val="24"/>
          <w:lang w:val="en-GB"/>
        </w:rPr>
      </w:pPr>
      <w:r w:rsidRPr="00987AFD">
        <w:rPr>
          <w:rFonts w:ascii="Aptos" w:eastAsiaTheme="majorEastAsia" w:hAnsi="Aptos" w:cstheme="majorHAnsi"/>
          <w:b/>
          <w:bCs/>
          <w:color w:val="000000" w:themeColor="text1"/>
          <w:sz w:val="24"/>
          <w:szCs w:val="24"/>
          <w:lang w:val="en-GB"/>
        </w:rPr>
        <w:t>Introduction</w:t>
      </w:r>
    </w:p>
    <w:p w14:paraId="5A57D783" w14:textId="13F5A689"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Physiological testing forms the foundation of evidence-informed practice within sport and exercise science. Objective assessment of aerobic capacity, anaerobic power, and neuromuscular performance allows practitioners to profile individual strengths and limitations, prescribe targeted training interventions, and monitor adaptation over time </w:t>
      </w:r>
      <w:r w:rsidR="00AA7A72" w:rsidRPr="00AA7A72">
        <w:rPr>
          <w:rFonts w:ascii="Aptos" w:eastAsiaTheme="majorEastAsia" w:hAnsi="Aptos" w:cstheme="majorHAnsi"/>
          <w:color w:val="000000" w:themeColor="text1"/>
          <w:sz w:val="24"/>
          <w:szCs w:val="24"/>
          <w:lang w:val="en-GB"/>
        </w:rPr>
        <w:t>(American College of Sports Medicine, 2021; Hopkins, 2000)</w:t>
      </w:r>
      <w:r w:rsidRPr="00987AFD">
        <w:rPr>
          <w:rFonts w:ascii="Aptos" w:eastAsiaTheme="majorEastAsia" w:hAnsi="Aptos" w:cstheme="majorHAnsi"/>
          <w:color w:val="000000" w:themeColor="text1"/>
          <w:sz w:val="24"/>
          <w:szCs w:val="24"/>
          <w:lang w:val="en-GB"/>
        </w:rPr>
        <w:t xml:space="preserve">. Beyond performance, cardiorespiratory fitness is strongly associated with morbidity and mortality risk, reinforcing the broader health relevance of rigorous physiological assessment </w:t>
      </w:r>
      <w:r w:rsidR="00D43B00" w:rsidRPr="00D43B00">
        <w:rPr>
          <w:rFonts w:ascii="Aptos" w:eastAsiaTheme="majorEastAsia" w:hAnsi="Aptos" w:cstheme="majorHAnsi"/>
          <w:color w:val="000000" w:themeColor="text1"/>
          <w:sz w:val="24"/>
          <w:szCs w:val="24"/>
          <w:lang w:val="en-GB"/>
        </w:rPr>
        <w:t>(Kodama et al., 2009; Lang et al., 2024)</w:t>
      </w:r>
      <w:r w:rsidRPr="00987AFD">
        <w:rPr>
          <w:rFonts w:ascii="Aptos" w:eastAsiaTheme="majorEastAsia" w:hAnsi="Aptos" w:cstheme="majorHAnsi"/>
          <w:color w:val="000000" w:themeColor="text1"/>
          <w:sz w:val="24"/>
          <w:szCs w:val="24"/>
          <w:lang w:val="en-GB"/>
        </w:rPr>
        <w:t>.</w:t>
      </w:r>
    </w:p>
    <w:p w14:paraId="76F3AE8E" w14:textId="6E75AE68"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However, physiological testing must be interpreted critically. Laboratory measures reflect both true physiological capacity and inherent biological and measurement variability </w:t>
      </w:r>
      <w:r w:rsidR="000E7FB7" w:rsidRPr="000E7FB7">
        <w:rPr>
          <w:rFonts w:ascii="Aptos" w:eastAsiaTheme="majorEastAsia" w:hAnsi="Aptos" w:cstheme="majorHAnsi"/>
          <w:color w:val="000000" w:themeColor="text1"/>
          <w:sz w:val="24"/>
          <w:szCs w:val="24"/>
          <w:lang w:val="en-GB"/>
        </w:rPr>
        <w:t>(Atkinson and Nevill, 1998; Hopkins, 2000)</w:t>
      </w:r>
      <w:r w:rsidRPr="00987AFD">
        <w:rPr>
          <w:rFonts w:ascii="Aptos" w:eastAsiaTheme="majorEastAsia" w:hAnsi="Aptos" w:cstheme="majorHAnsi"/>
          <w:color w:val="000000" w:themeColor="text1"/>
          <w:sz w:val="24"/>
          <w:szCs w:val="24"/>
          <w:lang w:val="en-GB"/>
        </w:rPr>
        <w:t>. Therefore, valid interpretation requires not only understanding of underlying physiology, but also awareness of reliability, ecological validity, and task specificity.</w:t>
      </w:r>
    </w:p>
    <w:p w14:paraId="7D7C61FD" w14:textId="1FA6C8DE"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This portfolio analyses three </w:t>
      </w:r>
      <w:r w:rsidR="00887806" w:rsidRPr="00987AFD">
        <w:rPr>
          <w:rFonts w:ascii="Aptos" w:eastAsiaTheme="majorEastAsia" w:hAnsi="Aptos" w:cstheme="majorHAnsi"/>
          <w:color w:val="000000" w:themeColor="text1"/>
          <w:sz w:val="24"/>
          <w:szCs w:val="24"/>
          <w:lang w:val="en-GB"/>
        </w:rPr>
        <w:t>mini experiments</w:t>
      </w:r>
      <w:r w:rsidRPr="00987AFD">
        <w:rPr>
          <w:rFonts w:ascii="Aptos" w:eastAsiaTheme="majorEastAsia" w:hAnsi="Aptos" w:cstheme="majorHAnsi"/>
          <w:color w:val="000000" w:themeColor="text1"/>
          <w:sz w:val="24"/>
          <w:szCs w:val="24"/>
          <w:lang w:val="en-GB"/>
        </w:rPr>
        <w:t xml:space="preserve"> conducted during the module: (1) anaerobic power and fatigue assessment using peak cycling power and the Wingate test; (2) maximal aerobic capacity determination via incremental </w:t>
      </w:r>
      <w:proofErr w:type="spellStart"/>
      <w:r w:rsidRPr="00987AFD">
        <w:rPr>
          <w:rFonts w:ascii="Aptos" w:eastAsiaTheme="majorEastAsia" w:hAnsi="Aptos" w:cstheme="majorHAnsi"/>
          <w:color w:val="000000" w:themeColor="text1"/>
          <w:sz w:val="24"/>
          <w:szCs w:val="24"/>
          <w:lang w:val="en-GB"/>
        </w:rPr>
        <w:t>VO₂max</w:t>
      </w:r>
      <w:proofErr w:type="spellEnd"/>
      <w:r w:rsidRPr="00987AFD">
        <w:rPr>
          <w:rFonts w:ascii="Aptos" w:eastAsiaTheme="majorEastAsia" w:hAnsi="Aptos" w:cstheme="majorHAnsi"/>
          <w:color w:val="000000" w:themeColor="text1"/>
          <w:sz w:val="24"/>
          <w:szCs w:val="24"/>
          <w:lang w:val="en-GB"/>
        </w:rPr>
        <w:t xml:space="preserve"> testing; and (3) neuromuscular performance assessment using sprint, jump, and strength measures. Together, these experiments provide insight into the integrated physiological determinants of performance.</w:t>
      </w:r>
    </w:p>
    <w:p w14:paraId="27C81009" w14:textId="77777777" w:rsidR="00987AFD" w:rsidRPr="00987AFD" w:rsidRDefault="00000000" w:rsidP="00987AFD">
      <w:pPr>
        <w:rPr>
          <w:rFonts w:ascii="Aptos" w:eastAsiaTheme="majorEastAsia" w:hAnsi="Aptos" w:cstheme="majorHAnsi"/>
          <w:b/>
          <w:bCs/>
          <w:color w:val="000000" w:themeColor="text1"/>
          <w:sz w:val="24"/>
          <w:szCs w:val="24"/>
          <w:lang w:val="en-GB"/>
        </w:rPr>
      </w:pPr>
      <w:r>
        <w:rPr>
          <w:rFonts w:ascii="Aptos" w:eastAsiaTheme="majorEastAsia" w:hAnsi="Aptos" w:cstheme="majorHAnsi"/>
          <w:b/>
          <w:bCs/>
          <w:color w:val="000000" w:themeColor="text1"/>
          <w:sz w:val="24"/>
          <w:szCs w:val="24"/>
          <w:lang w:val="en-GB"/>
        </w:rPr>
        <w:pict w14:anchorId="280BC09D">
          <v:rect id="_x0000_i1026" style="width:0;height:1.5pt" o:hralign="center" o:hrstd="t" o:hr="t" fillcolor="#a0a0a0" stroked="f"/>
        </w:pict>
      </w:r>
    </w:p>
    <w:p w14:paraId="411BFD1D" w14:textId="77777777" w:rsidR="00987AFD" w:rsidRPr="00987AFD" w:rsidRDefault="00987AFD" w:rsidP="00987AFD">
      <w:pPr>
        <w:rPr>
          <w:rFonts w:ascii="Aptos" w:eastAsiaTheme="majorEastAsia" w:hAnsi="Aptos" w:cstheme="majorHAnsi"/>
          <w:b/>
          <w:bCs/>
          <w:color w:val="000000" w:themeColor="text1"/>
          <w:sz w:val="24"/>
          <w:szCs w:val="24"/>
          <w:lang w:val="en-GB"/>
        </w:rPr>
      </w:pPr>
      <w:r w:rsidRPr="00987AFD">
        <w:rPr>
          <w:rFonts w:ascii="Aptos" w:eastAsiaTheme="majorEastAsia" w:hAnsi="Aptos" w:cstheme="majorHAnsi"/>
          <w:b/>
          <w:bCs/>
          <w:color w:val="000000" w:themeColor="text1"/>
          <w:sz w:val="24"/>
          <w:szCs w:val="24"/>
          <w:lang w:val="en-GB"/>
        </w:rPr>
        <w:t>Method Summary</w:t>
      </w:r>
    </w:p>
    <w:p w14:paraId="69CA2530" w14:textId="77777777"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Data were collected across three laboratory-based experiments assessing anaerobic, aerobic, and neuromuscular performance. Participants were recreationally active university students who completed all tests under standardised laboratory conditions. Warm-ups were controlled and equipment calibrated in accordance with manufacturer and ACSM guidelines to minimise systematic measurement error.</w:t>
      </w:r>
    </w:p>
    <w:p w14:paraId="0B01929C" w14:textId="77777777"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Anaerobic performance was assessed using maximal cycling efforts on </w:t>
      </w:r>
      <w:proofErr w:type="spellStart"/>
      <w:r w:rsidRPr="00987AFD">
        <w:rPr>
          <w:rFonts w:ascii="Aptos" w:eastAsiaTheme="majorEastAsia" w:hAnsi="Aptos" w:cstheme="majorHAnsi"/>
          <w:color w:val="000000" w:themeColor="text1"/>
          <w:sz w:val="24"/>
          <w:szCs w:val="24"/>
          <w:lang w:val="en-GB"/>
        </w:rPr>
        <w:t>Wattbike</w:t>
      </w:r>
      <w:proofErr w:type="spellEnd"/>
      <w:r w:rsidRPr="00987AFD">
        <w:rPr>
          <w:rFonts w:ascii="Aptos" w:eastAsiaTheme="majorEastAsia" w:hAnsi="Aptos" w:cstheme="majorHAnsi"/>
          <w:color w:val="000000" w:themeColor="text1"/>
          <w:sz w:val="24"/>
          <w:szCs w:val="24"/>
          <w:lang w:val="en-GB"/>
        </w:rPr>
        <w:t xml:space="preserve"> and Keiser ergometers, alongside a 30-second Wingate Anaerobic Test. Aerobic capacity was determined using an incremental graded exercise test with breath-by-</w:t>
      </w:r>
      <w:r w:rsidRPr="00987AFD">
        <w:rPr>
          <w:rFonts w:ascii="Aptos" w:eastAsiaTheme="majorEastAsia" w:hAnsi="Aptos" w:cstheme="majorHAnsi"/>
          <w:color w:val="000000" w:themeColor="text1"/>
          <w:sz w:val="24"/>
          <w:szCs w:val="24"/>
          <w:lang w:val="en-GB"/>
        </w:rPr>
        <w:lastRenderedPageBreak/>
        <w:t>breath gas analysis. Neuromuscular performance was assessed through 10 m sprint time, countermovement jump (CMJ), broad jump, and leg-back dynamometry. The best performance from repeated trials was retained where appropriate.</w:t>
      </w:r>
    </w:p>
    <w:p w14:paraId="56621AED" w14:textId="77777777"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Following data collection, datasets were screened for plausibility and missing values. Descriptive statistics are reported as mean ± SD. Relationships between variables were examined using Pearson’s correlation coefficient (r), with α = 0.05. While correlations identify linear associations, they do not establish causality, and findings should be interpreted within the constraints of sample size and cross-sectional design.</w:t>
      </w:r>
    </w:p>
    <w:p w14:paraId="0CAFCF0A" w14:textId="77777777" w:rsidR="00987AFD" w:rsidRPr="00987AFD" w:rsidRDefault="00000000" w:rsidP="00987AFD">
      <w:pPr>
        <w:rPr>
          <w:rFonts w:ascii="Aptos" w:eastAsiaTheme="majorEastAsia" w:hAnsi="Aptos" w:cstheme="majorHAnsi"/>
          <w:b/>
          <w:bCs/>
          <w:color w:val="000000" w:themeColor="text1"/>
          <w:sz w:val="24"/>
          <w:szCs w:val="24"/>
          <w:lang w:val="en-GB"/>
        </w:rPr>
      </w:pPr>
      <w:r>
        <w:rPr>
          <w:rFonts w:ascii="Aptos" w:eastAsiaTheme="majorEastAsia" w:hAnsi="Aptos" w:cstheme="majorHAnsi"/>
          <w:b/>
          <w:bCs/>
          <w:color w:val="000000" w:themeColor="text1"/>
          <w:sz w:val="24"/>
          <w:szCs w:val="24"/>
          <w:lang w:val="en-GB"/>
        </w:rPr>
        <w:pict w14:anchorId="65E92059">
          <v:rect id="_x0000_i1027" style="width:0;height:1.5pt" o:hralign="center" o:hrstd="t" o:hr="t" fillcolor="#a0a0a0" stroked="f"/>
        </w:pict>
      </w:r>
    </w:p>
    <w:p w14:paraId="4FA67D69" w14:textId="77777777" w:rsidR="00987AFD" w:rsidRPr="00987AFD" w:rsidRDefault="00987AFD" w:rsidP="00987AFD">
      <w:pPr>
        <w:rPr>
          <w:rFonts w:ascii="Aptos" w:eastAsiaTheme="majorEastAsia" w:hAnsi="Aptos" w:cstheme="majorHAnsi"/>
          <w:b/>
          <w:bCs/>
          <w:color w:val="000000" w:themeColor="text1"/>
          <w:sz w:val="24"/>
          <w:szCs w:val="24"/>
          <w:lang w:val="en-GB"/>
        </w:rPr>
      </w:pPr>
      <w:r w:rsidRPr="00987AFD">
        <w:rPr>
          <w:rFonts w:ascii="Aptos" w:eastAsiaTheme="majorEastAsia" w:hAnsi="Aptos" w:cstheme="majorHAnsi"/>
          <w:b/>
          <w:bCs/>
          <w:color w:val="000000" w:themeColor="text1"/>
          <w:sz w:val="24"/>
          <w:szCs w:val="24"/>
          <w:lang w:val="en-GB"/>
        </w:rPr>
        <w:t>Experiment 1: Anaerobic Power and Fatigue</w:t>
      </w:r>
    </w:p>
    <w:p w14:paraId="412609A0" w14:textId="77777777"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Method summary, aim and protocol</w:t>
      </w:r>
    </w:p>
    <w:p w14:paraId="6B4C08DA" w14:textId="669B4398"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The aim of this experiment was to quantify anaerobic performance using peak power output (PPO) measures and the 30 s Wingate Anaerobic Test. Peak power primarily reflects ATP–</w:t>
      </w:r>
      <w:proofErr w:type="spellStart"/>
      <w:r w:rsidRPr="00987AFD">
        <w:rPr>
          <w:rFonts w:ascii="Aptos" w:eastAsiaTheme="majorEastAsia" w:hAnsi="Aptos" w:cstheme="majorHAnsi"/>
          <w:color w:val="000000" w:themeColor="text1"/>
          <w:sz w:val="24"/>
          <w:szCs w:val="24"/>
          <w:lang w:val="en-GB"/>
        </w:rPr>
        <w:t>PCr</w:t>
      </w:r>
      <w:proofErr w:type="spellEnd"/>
      <w:r w:rsidRPr="00987AFD">
        <w:rPr>
          <w:rFonts w:ascii="Aptos" w:eastAsiaTheme="majorEastAsia" w:hAnsi="Aptos" w:cstheme="majorHAnsi"/>
          <w:color w:val="000000" w:themeColor="text1"/>
          <w:sz w:val="24"/>
          <w:szCs w:val="24"/>
          <w:lang w:val="en-GB"/>
        </w:rPr>
        <w:t xml:space="preserve"> system contribution and maximal motor unit recruitment, whereas mean power and fatigue index provide insight into glycolytic contribution and metabolic fatigue development </w:t>
      </w:r>
      <w:r w:rsidR="00F92FF8" w:rsidRPr="00F92FF8">
        <w:rPr>
          <w:rFonts w:ascii="Aptos" w:eastAsiaTheme="majorEastAsia" w:hAnsi="Aptos" w:cstheme="majorHAnsi"/>
          <w:color w:val="000000" w:themeColor="text1"/>
          <w:sz w:val="24"/>
          <w:szCs w:val="24"/>
          <w:lang w:val="en-GB"/>
        </w:rPr>
        <w:t>(Inbar, Bar-Or and Skinner, 1996; McArdle, Katch and Katch, 2015)</w:t>
      </w:r>
      <w:r w:rsidRPr="00987AFD">
        <w:rPr>
          <w:rFonts w:ascii="Aptos" w:eastAsiaTheme="majorEastAsia" w:hAnsi="Aptos" w:cstheme="majorHAnsi"/>
          <w:color w:val="000000" w:themeColor="text1"/>
          <w:sz w:val="24"/>
          <w:szCs w:val="24"/>
          <w:lang w:val="en-GB"/>
        </w:rPr>
        <w:t>. Resistance during the Wingate test was scaled relative to body mass to standardise load across participants.</w:t>
      </w:r>
    </w:p>
    <w:p w14:paraId="4722C35E" w14:textId="77777777" w:rsidR="00B90D80" w:rsidRDefault="00B90D80" w:rsidP="00987AFD">
      <w:pPr>
        <w:rPr>
          <w:rFonts w:ascii="Aptos" w:eastAsiaTheme="majorEastAsia" w:hAnsi="Aptos" w:cstheme="majorHAnsi"/>
          <w:color w:val="000000" w:themeColor="text1"/>
          <w:sz w:val="24"/>
          <w:szCs w:val="24"/>
          <w:lang w:val="en-GB"/>
        </w:rPr>
      </w:pPr>
    </w:p>
    <w:p w14:paraId="5EFC8935" w14:textId="668CEB10"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Personal role</w:t>
      </w:r>
    </w:p>
    <w:p w14:paraId="19289364" w14:textId="77777777"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I assisted with ergometer setup, ensured consistent seat positioning and resistance prescription, recorded outputs, and provided standardised verbal encouragement. This emphasised the importance of protocol consistency and maximal voluntary effort in obtaining valid high-intensity performance data.</w:t>
      </w:r>
    </w:p>
    <w:p w14:paraId="7384176B" w14:textId="77777777" w:rsidR="00B90D80" w:rsidRDefault="00B90D80" w:rsidP="00987AFD">
      <w:pPr>
        <w:rPr>
          <w:rFonts w:ascii="Aptos" w:eastAsiaTheme="majorEastAsia" w:hAnsi="Aptos" w:cstheme="majorHAnsi"/>
          <w:color w:val="000000" w:themeColor="text1"/>
          <w:sz w:val="24"/>
          <w:szCs w:val="24"/>
          <w:lang w:val="en-GB"/>
        </w:rPr>
      </w:pPr>
    </w:p>
    <w:p w14:paraId="44AB34B3" w14:textId="1BADBEF9"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Results</w:t>
      </w:r>
    </w:p>
    <w:p w14:paraId="6650ED08" w14:textId="77777777" w:rsidR="00B90D80"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Descriptive statistics are presented in Table 1, and correlations in Table 2. Very strong relationships were observed between Wingate PPO and both Keiser and </w:t>
      </w:r>
      <w:proofErr w:type="spellStart"/>
      <w:r w:rsidRPr="00987AFD">
        <w:rPr>
          <w:rFonts w:ascii="Aptos" w:eastAsiaTheme="majorEastAsia" w:hAnsi="Aptos" w:cstheme="majorHAnsi"/>
          <w:color w:val="000000" w:themeColor="text1"/>
          <w:sz w:val="24"/>
          <w:szCs w:val="24"/>
          <w:lang w:val="en-GB"/>
        </w:rPr>
        <w:t>Wattbike</w:t>
      </w:r>
      <w:proofErr w:type="spellEnd"/>
      <w:r w:rsidRPr="00987AFD">
        <w:rPr>
          <w:rFonts w:ascii="Aptos" w:eastAsiaTheme="majorEastAsia" w:hAnsi="Aptos" w:cstheme="majorHAnsi"/>
          <w:color w:val="000000" w:themeColor="text1"/>
          <w:sz w:val="24"/>
          <w:szCs w:val="24"/>
          <w:lang w:val="en-GB"/>
        </w:rPr>
        <w:t xml:space="preserve"> peak power outputs (r = 0.955 and 0.943 respectively), suggesting high </w:t>
      </w:r>
      <w:r w:rsidRPr="00987AFD">
        <w:rPr>
          <w:rFonts w:ascii="Aptos" w:eastAsiaTheme="majorEastAsia" w:hAnsi="Aptos" w:cstheme="majorHAnsi"/>
          <w:color w:val="000000" w:themeColor="text1"/>
          <w:sz w:val="24"/>
          <w:szCs w:val="24"/>
          <w:lang w:val="en-GB"/>
        </w:rPr>
        <w:lastRenderedPageBreak/>
        <w:t>construct similarity across devices. The mean power drop (~62%) reflected substantial fatigue across the 30 s effort.</w:t>
      </w:r>
    </w:p>
    <w:p w14:paraId="797094FD" w14:textId="7C550FED"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Interpretation</w:t>
      </w:r>
    </w:p>
    <w:p w14:paraId="6F109E86" w14:textId="0471ABD3"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The strong inter-device correlations indicate that maximal cycling power represents a stable neuromuscular quality despite mechanical differences between ergometers. Peak power is heavily dependent on phosphocreatine availability and rapid motor unit recruitment, particularly of type II fibres </w:t>
      </w:r>
      <w:r w:rsidR="005148F4" w:rsidRPr="005148F4">
        <w:rPr>
          <w:rFonts w:ascii="Aptos" w:eastAsiaTheme="majorEastAsia" w:hAnsi="Aptos" w:cstheme="majorHAnsi"/>
          <w:color w:val="000000" w:themeColor="text1"/>
          <w:sz w:val="24"/>
          <w:szCs w:val="24"/>
          <w:lang w:val="en-GB"/>
        </w:rPr>
        <w:t>(McArdle, Katch and Katch, 2015)</w:t>
      </w:r>
      <w:r w:rsidRPr="00987AFD">
        <w:rPr>
          <w:rFonts w:ascii="Aptos" w:eastAsiaTheme="majorEastAsia" w:hAnsi="Aptos" w:cstheme="majorHAnsi"/>
          <w:color w:val="000000" w:themeColor="text1"/>
          <w:sz w:val="24"/>
          <w:szCs w:val="24"/>
          <w:lang w:val="en-GB"/>
        </w:rPr>
        <w:t>.</w:t>
      </w:r>
    </w:p>
    <w:p w14:paraId="6B9E7B2E" w14:textId="0D89B75C"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The pronounced fatigue index reflects rapid phosphocreatine depletion, accumulation of inorganic phosphate and hydrogen ions, and reduced excitation–contraction efficiency </w:t>
      </w:r>
      <w:r w:rsidR="002C700F" w:rsidRPr="002C700F">
        <w:rPr>
          <w:rFonts w:ascii="Aptos" w:eastAsiaTheme="majorEastAsia" w:hAnsi="Aptos" w:cstheme="majorHAnsi"/>
          <w:color w:val="000000" w:themeColor="text1"/>
          <w:sz w:val="24"/>
          <w:szCs w:val="24"/>
          <w:lang w:val="en-GB"/>
        </w:rPr>
        <w:t>(</w:t>
      </w:r>
      <w:proofErr w:type="spellStart"/>
      <w:r w:rsidR="002C700F" w:rsidRPr="002C700F">
        <w:rPr>
          <w:rFonts w:ascii="Aptos" w:eastAsiaTheme="majorEastAsia" w:hAnsi="Aptos" w:cstheme="majorHAnsi"/>
          <w:color w:val="000000" w:themeColor="text1"/>
          <w:sz w:val="24"/>
          <w:szCs w:val="24"/>
          <w:lang w:val="en-GB"/>
        </w:rPr>
        <w:t>Bogdanis</w:t>
      </w:r>
      <w:proofErr w:type="spellEnd"/>
      <w:r w:rsidR="002C700F" w:rsidRPr="002C700F">
        <w:rPr>
          <w:rFonts w:ascii="Aptos" w:eastAsiaTheme="majorEastAsia" w:hAnsi="Aptos" w:cstheme="majorHAnsi"/>
          <w:color w:val="000000" w:themeColor="text1"/>
          <w:sz w:val="24"/>
          <w:szCs w:val="24"/>
          <w:lang w:val="en-GB"/>
        </w:rPr>
        <w:t xml:space="preserve"> et al., 1995)</w:t>
      </w:r>
      <w:r w:rsidRPr="00987AFD">
        <w:rPr>
          <w:rFonts w:ascii="Aptos" w:eastAsiaTheme="majorEastAsia" w:hAnsi="Aptos" w:cstheme="majorHAnsi"/>
          <w:color w:val="000000" w:themeColor="text1"/>
          <w:sz w:val="24"/>
          <w:szCs w:val="24"/>
          <w:lang w:val="en-GB"/>
        </w:rPr>
        <w:t>. However, the Wingate test represents a fixed-load laboratory model and may not fully replicate sport-specific power demands. Therefore, while valid for assessing anaerobic capacity, its ecological validity for dynamic sporting contexts should be interpreted cautiously.</w:t>
      </w:r>
    </w:p>
    <w:p w14:paraId="5896F119" w14:textId="77777777" w:rsidR="00B90D80" w:rsidRDefault="00B90D80" w:rsidP="00987AFD">
      <w:pPr>
        <w:rPr>
          <w:rFonts w:ascii="Aptos" w:eastAsiaTheme="majorEastAsia" w:hAnsi="Aptos" w:cstheme="majorHAnsi"/>
          <w:color w:val="000000" w:themeColor="text1"/>
          <w:sz w:val="24"/>
          <w:szCs w:val="24"/>
          <w:lang w:val="en-GB"/>
        </w:rPr>
      </w:pPr>
    </w:p>
    <w:p w14:paraId="39E88155" w14:textId="233C3A57"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Reflection, limitations and application</w:t>
      </w:r>
    </w:p>
    <w:p w14:paraId="27B669D4" w14:textId="30CC6971" w:rsidR="00987AFD" w:rsidRPr="00987AFD" w:rsidRDefault="00987AFD" w:rsidP="00987AFD">
      <w:pPr>
        <w:rPr>
          <w:rFonts w:ascii="Aptos" w:eastAsiaTheme="majorEastAsia" w:hAnsi="Aptos" w:cstheme="majorHAnsi"/>
          <w:color w:val="000000" w:themeColor="text1"/>
          <w:sz w:val="24"/>
          <w:szCs w:val="24"/>
          <w:lang w:val="en-GB"/>
        </w:rPr>
      </w:pPr>
      <w:r w:rsidRPr="00987AFD">
        <w:rPr>
          <w:rFonts w:ascii="Aptos" w:eastAsiaTheme="majorEastAsia" w:hAnsi="Aptos" w:cstheme="majorHAnsi"/>
          <w:color w:val="000000" w:themeColor="text1"/>
          <w:sz w:val="24"/>
          <w:szCs w:val="24"/>
          <w:lang w:val="en-GB"/>
        </w:rPr>
        <w:t xml:space="preserve">Performance during maximal anaerobic testing is highly sensitive to motivation, resistance prescription, and familiarisation. In addition, correlation between devices does not confirm measurement agreement </w:t>
      </w:r>
      <w:r w:rsidR="009B2BC7" w:rsidRPr="009B2BC7">
        <w:rPr>
          <w:rFonts w:ascii="Aptos" w:eastAsiaTheme="majorEastAsia" w:hAnsi="Aptos" w:cstheme="majorHAnsi"/>
          <w:color w:val="000000" w:themeColor="text1"/>
          <w:sz w:val="24"/>
          <w:szCs w:val="24"/>
          <w:lang w:val="en-GB"/>
        </w:rPr>
        <w:t>(Atkinson and Nevill, 1998)</w:t>
      </w:r>
      <w:r w:rsidRPr="00987AFD">
        <w:rPr>
          <w:rFonts w:ascii="Aptos" w:eastAsiaTheme="majorEastAsia" w:hAnsi="Aptos" w:cstheme="majorHAnsi"/>
          <w:color w:val="000000" w:themeColor="text1"/>
          <w:sz w:val="24"/>
          <w:szCs w:val="24"/>
          <w:lang w:val="en-GB"/>
        </w:rPr>
        <w:t xml:space="preserve">. Practically, PPO and mean power remain valuable for profiling sprint athletes and monitoring adaptation to </w:t>
      </w:r>
      <w:r w:rsidR="009B2BC7" w:rsidRPr="00987AFD">
        <w:rPr>
          <w:rFonts w:ascii="Aptos" w:eastAsiaTheme="majorEastAsia" w:hAnsi="Aptos" w:cstheme="majorHAnsi"/>
          <w:color w:val="000000" w:themeColor="text1"/>
          <w:sz w:val="24"/>
          <w:szCs w:val="24"/>
          <w:lang w:val="en-GB"/>
        </w:rPr>
        <w:t>high intensity</w:t>
      </w:r>
      <w:r w:rsidRPr="00987AFD">
        <w:rPr>
          <w:rFonts w:ascii="Aptos" w:eastAsiaTheme="majorEastAsia" w:hAnsi="Aptos" w:cstheme="majorHAnsi"/>
          <w:color w:val="000000" w:themeColor="text1"/>
          <w:sz w:val="24"/>
          <w:szCs w:val="24"/>
          <w:lang w:val="en-GB"/>
        </w:rPr>
        <w:t xml:space="preserve"> </w:t>
      </w:r>
      <w:proofErr w:type="gramStart"/>
      <w:r w:rsidRPr="00987AFD">
        <w:rPr>
          <w:rFonts w:ascii="Aptos" w:eastAsiaTheme="majorEastAsia" w:hAnsi="Aptos" w:cstheme="majorHAnsi"/>
          <w:color w:val="000000" w:themeColor="text1"/>
          <w:sz w:val="24"/>
          <w:szCs w:val="24"/>
          <w:lang w:val="en-GB"/>
        </w:rPr>
        <w:t>training, but</w:t>
      </w:r>
      <w:proofErr w:type="gramEnd"/>
      <w:r w:rsidRPr="00987AFD">
        <w:rPr>
          <w:rFonts w:ascii="Aptos" w:eastAsiaTheme="majorEastAsia" w:hAnsi="Aptos" w:cstheme="majorHAnsi"/>
          <w:color w:val="000000" w:themeColor="text1"/>
          <w:sz w:val="24"/>
          <w:szCs w:val="24"/>
          <w:lang w:val="en-GB"/>
        </w:rPr>
        <w:t xml:space="preserve"> should ideally be interpreted alongside repeated measures to account for biological variability.</w:t>
      </w:r>
    </w:p>
    <w:p w14:paraId="35AA6FB9" w14:textId="77777777" w:rsidR="00B90D80" w:rsidRDefault="00B90D80" w:rsidP="00542376">
      <w:pPr>
        <w:rPr>
          <w:rFonts w:ascii="Aptos" w:hAnsi="Aptos" w:cstheme="majorHAnsi"/>
          <w:color w:val="000000" w:themeColor="text1"/>
          <w:sz w:val="24"/>
          <w:szCs w:val="24"/>
        </w:rPr>
      </w:pPr>
    </w:p>
    <w:p w14:paraId="3F690D81" w14:textId="31AC2F97" w:rsidR="00542376" w:rsidRPr="003B4EE2" w:rsidRDefault="0022218A" w:rsidP="00542376">
      <w:pPr>
        <w:rPr>
          <w:rFonts w:ascii="Aptos" w:hAnsi="Aptos" w:cstheme="majorHAnsi"/>
          <w:color w:val="000000" w:themeColor="text1"/>
          <w:sz w:val="24"/>
          <w:szCs w:val="24"/>
        </w:rPr>
      </w:pPr>
      <w:r w:rsidRPr="008353A1">
        <w:rPr>
          <w:rFonts w:ascii="Aptos" w:hAnsi="Aptos" w:cstheme="majorHAnsi"/>
          <w:color w:val="000000" w:themeColor="text1"/>
          <w:sz w:val="24"/>
          <w:szCs w:val="24"/>
        </w:rPr>
        <w:t>Table 1. Descriptive statistics for anaerobic performance (n = 16)</w:t>
      </w:r>
    </w:p>
    <w:tbl>
      <w:tblPr>
        <w:tblW w:w="9483" w:type="dxa"/>
        <w:tblCellSpacing w:w="15" w:type="dxa"/>
        <w:tblCellMar>
          <w:top w:w="15" w:type="dxa"/>
          <w:left w:w="15" w:type="dxa"/>
          <w:bottom w:w="15" w:type="dxa"/>
          <w:right w:w="15" w:type="dxa"/>
        </w:tblCellMar>
        <w:tblLook w:val="04A0" w:firstRow="1" w:lastRow="0" w:firstColumn="1" w:lastColumn="0" w:noHBand="0" w:noVBand="1"/>
      </w:tblPr>
      <w:tblGrid>
        <w:gridCol w:w="5242"/>
        <w:gridCol w:w="3624"/>
        <w:gridCol w:w="617"/>
      </w:tblGrid>
      <w:tr w:rsidR="00A67BB2" w:rsidRPr="00A67BB2" w14:paraId="52CC46DF" w14:textId="77777777" w:rsidTr="00876F85">
        <w:trPr>
          <w:trHeight w:val="549"/>
          <w:tblHeader/>
          <w:tblCellSpacing w:w="15" w:type="dxa"/>
        </w:trPr>
        <w:tc>
          <w:tcPr>
            <w:tcW w:w="0" w:type="auto"/>
            <w:tcBorders>
              <w:bottom w:val="single" w:sz="4" w:space="0" w:color="auto"/>
            </w:tcBorders>
            <w:vAlign w:val="center"/>
            <w:hideMark/>
          </w:tcPr>
          <w:p w14:paraId="5AB58FB6" w14:textId="77777777" w:rsidR="00A67BB2" w:rsidRPr="00A67BB2" w:rsidRDefault="00A67BB2" w:rsidP="00A67BB2">
            <w:pPr>
              <w:rPr>
                <w:rFonts w:ascii="Aptos" w:hAnsi="Aptos" w:cstheme="majorHAnsi"/>
                <w:b/>
                <w:bCs/>
                <w:color w:val="000000" w:themeColor="text1"/>
                <w:sz w:val="24"/>
                <w:szCs w:val="24"/>
                <w:lang w:val="en-GB"/>
              </w:rPr>
            </w:pPr>
            <w:r w:rsidRPr="00A67BB2">
              <w:rPr>
                <w:rFonts w:ascii="Aptos" w:hAnsi="Aptos" w:cstheme="majorHAnsi"/>
                <w:b/>
                <w:bCs/>
                <w:color w:val="000000" w:themeColor="text1"/>
                <w:sz w:val="24"/>
                <w:szCs w:val="24"/>
                <w:lang w:val="en-GB"/>
              </w:rPr>
              <w:t>Variable</w:t>
            </w:r>
          </w:p>
        </w:tc>
        <w:tc>
          <w:tcPr>
            <w:tcW w:w="0" w:type="auto"/>
            <w:tcBorders>
              <w:bottom w:val="single" w:sz="4" w:space="0" w:color="auto"/>
            </w:tcBorders>
            <w:vAlign w:val="center"/>
            <w:hideMark/>
          </w:tcPr>
          <w:p w14:paraId="02572458" w14:textId="77777777" w:rsidR="00A67BB2" w:rsidRPr="00A67BB2" w:rsidRDefault="00A67BB2" w:rsidP="00A67BB2">
            <w:pPr>
              <w:rPr>
                <w:rFonts w:ascii="Aptos" w:hAnsi="Aptos" w:cstheme="majorHAnsi"/>
                <w:b/>
                <w:bCs/>
                <w:color w:val="000000" w:themeColor="text1"/>
                <w:sz w:val="24"/>
                <w:szCs w:val="24"/>
                <w:lang w:val="en-GB"/>
              </w:rPr>
            </w:pPr>
            <w:r w:rsidRPr="00A67BB2">
              <w:rPr>
                <w:rFonts w:ascii="Aptos" w:hAnsi="Aptos" w:cstheme="majorHAnsi"/>
                <w:b/>
                <w:bCs/>
                <w:color w:val="000000" w:themeColor="text1"/>
                <w:sz w:val="24"/>
                <w:szCs w:val="24"/>
                <w:lang w:val="en-GB"/>
              </w:rPr>
              <w:t>Mean ± SD</w:t>
            </w:r>
          </w:p>
        </w:tc>
        <w:tc>
          <w:tcPr>
            <w:tcW w:w="0" w:type="auto"/>
            <w:tcBorders>
              <w:bottom w:val="single" w:sz="4" w:space="0" w:color="auto"/>
            </w:tcBorders>
            <w:vAlign w:val="center"/>
            <w:hideMark/>
          </w:tcPr>
          <w:p w14:paraId="6419F4AC" w14:textId="77777777" w:rsidR="00A67BB2" w:rsidRPr="00A67BB2" w:rsidRDefault="00A67BB2" w:rsidP="00A67BB2">
            <w:pPr>
              <w:rPr>
                <w:rFonts w:ascii="Aptos" w:hAnsi="Aptos" w:cstheme="majorHAnsi"/>
                <w:b/>
                <w:bCs/>
                <w:color w:val="000000" w:themeColor="text1"/>
                <w:sz w:val="24"/>
                <w:szCs w:val="24"/>
                <w:lang w:val="en-GB"/>
              </w:rPr>
            </w:pPr>
            <w:r w:rsidRPr="00A67BB2">
              <w:rPr>
                <w:rFonts w:ascii="Aptos" w:hAnsi="Aptos" w:cstheme="majorHAnsi"/>
                <w:b/>
                <w:bCs/>
                <w:color w:val="000000" w:themeColor="text1"/>
                <w:sz w:val="24"/>
                <w:szCs w:val="24"/>
                <w:lang w:val="en-GB"/>
              </w:rPr>
              <w:t>N</w:t>
            </w:r>
          </w:p>
        </w:tc>
      </w:tr>
      <w:tr w:rsidR="00A67BB2" w:rsidRPr="00A67BB2" w14:paraId="3A565B42" w14:textId="77777777" w:rsidTr="00866535">
        <w:trPr>
          <w:trHeight w:val="559"/>
          <w:tblCellSpacing w:w="15" w:type="dxa"/>
        </w:trPr>
        <w:tc>
          <w:tcPr>
            <w:tcW w:w="0" w:type="auto"/>
            <w:vAlign w:val="center"/>
            <w:hideMark/>
          </w:tcPr>
          <w:p w14:paraId="01C7C86F" w14:textId="77777777" w:rsidR="00A67BB2" w:rsidRPr="00A67BB2" w:rsidRDefault="00A67BB2" w:rsidP="00A67BB2">
            <w:pPr>
              <w:rPr>
                <w:rFonts w:ascii="Aptos" w:hAnsi="Aptos" w:cstheme="majorHAnsi"/>
                <w:color w:val="000000" w:themeColor="text1"/>
                <w:sz w:val="24"/>
                <w:szCs w:val="24"/>
                <w:lang w:val="en-GB"/>
              </w:rPr>
            </w:pPr>
            <w:proofErr w:type="spellStart"/>
            <w:r w:rsidRPr="00A67BB2">
              <w:rPr>
                <w:rFonts w:ascii="Aptos" w:hAnsi="Aptos" w:cstheme="majorHAnsi"/>
                <w:color w:val="000000" w:themeColor="text1"/>
                <w:sz w:val="24"/>
                <w:szCs w:val="24"/>
                <w:lang w:val="en-GB"/>
              </w:rPr>
              <w:t>Wattbike</w:t>
            </w:r>
            <w:proofErr w:type="spellEnd"/>
            <w:r w:rsidRPr="00A67BB2">
              <w:rPr>
                <w:rFonts w:ascii="Aptos" w:hAnsi="Aptos" w:cstheme="majorHAnsi"/>
                <w:color w:val="000000" w:themeColor="text1"/>
                <w:sz w:val="24"/>
                <w:szCs w:val="24"/>
                <w:lang w:val="en-GB"/>
              </w:rPr>
              <w:t xml:space="preserve"> PPO (W)</w:t>
            </w:r>
          </w:p>
        </w:tc>
        <w:tc>
          <w:tcPr>
            <w:tcW w:w="0" w:type="auto"/>
            <w:vAlign w:val="center"/>
            <w:hideMark/>
          </w:tcPr>
          <w:p w14:paraId="6861019F"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1020.50 ± 223.89</w:t>
            </w:r>
          </w:p>
        </w:tc>
        <w:tc>
          <w:tcPr>
            <w:tcW w:w="0" w:type="auto"/>
            <w:vAlign w:val="center"/>
            <w:hideMark/>
          </w:tcPr>
          <w:p w14:paraId="6C880C8C"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16</w:t>
            </w:r>
          </w:p>
        </w:tc>
      </w:tr>
      <w:tr w:rsidR="00A67BB2" w:rsidRPr="00A67BB2" w14:paraId="5E543FA0" w14:textId="77777777" w:rsidTr="00866535">
        <w:trPr>
          <w:trHeight w:val="559"/>
          <w:tblCellSpacing w:w="15" w:type="dxa"/>
        </w:trPr>
        <w:tc>
          <w:tcPr>
            <w:tcW w:w="0" w:type="auto"/>
            <w:vAlign w:val="center"/>
            <w:hideMark/>
          </w:tcPr>
          <w:p w14:paraId="1DF7CB52"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Keiser Peak Power (W)*</w:t>
            </w:r>
          </w:p>
        </w:tc>
        <w:tc>
          <w:tcPr>
            <w:tcW w:w="0" w:type="auto"/>
            <w:vAlign w:val="center"/>
            <w:hideMark/>
          </w:tcPr>
          <w:p w14:paraId="463FC22F"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826.75 ± 336.29</w:t>
            </w:r>
          </w:p>
        </w:tc>
        <w:tc>
          <w:tcPr>
            <w:tcW w:w="0" w:type="auto"/>
            <w:vAlign w:val="center"/>
            <w:hideMark/>
          </w:tcPr>
          <w:p w14:paraId="17096429"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21</w:t>
            </w:r>
          </w:p>
        </w:tc>
      </w:tr>
      <w:tr w:rsidR="00A67BB2" w:rsidRPr="00A67BB2" w14:paraId="4BBEF717" w14:textId="77777777" w:rsidTr="00866535">
        <w:trPr>
          <w:trHeight w:val="549"/>
          <w:tblCellSpacing w:w="15" w:type="dxa"/>
        </w:trPr>
        <w:tc>
          <w:tcPr>
            <w:tcW w:w="0" w:type="auto"/>
            <w:vAlign w:val="center"/>
            <w:hideMark/>
          </w:tcPr>
          <w:p w14:paraId="6119C8F2"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Wingate PPO (W)</w:t>
            </w:r>
          </w:p>
        </w:tc>
        <w:tc>
          <w:tcPr>
            <w:tcW w:w="0" w:type="auto"/>
            <w:vAlign w:val="center"/>
            <w:hideMark/>
          </w:tcPr>
          <w:p w14:paraId="353ED45D"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977.85 ± 276.60</w:t>
            </w:r>
          </w:p>
        </w:tc>
        <w:tc>
          <w:tcPr>
            <w:tcW w:w="0" w:type="auto"/>
            <w:vAlign w:val="center"/>
            <w:hideMark/>
          </w:tcPr>
          <w:p w14:paraId="4665D591"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16</w:t>
            </w:r>
          </w:p>
        </w:tc>
      </w:tr>
      <w:tr w:rsidR="00A67BB2" w:rsidRPr="00A67BB2" w14:paraId="29BA45F5" w14:textId="77777777" w:rsidTr="00866535">
        <w:trPr>
          <w:trHeight w:val="559"/>
          <w:tblCellSpacing w:w="15" w:type="dxa"/>
        </w:trPr>
        <w:tc>
          <w:tcPr>
            <w:tcW w:w="0" w:type="auto"/>
            <w:vAlign w:val="center"/>
            <w:hideMark/>
          </w:tcPr>
          <w:p w14:paraId="7819F7E8"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lastRenderedPageBreak/>
              <w:t>Wingate Mean Power (W)</w:t>
            </w:r>
          </w:p>
        </w:tc>
        <w:tc>
          <w:tcPr>
            <w:tcW w:w="0" w:type="auto"/>
            <w:vAlign w:val="center"/>
            <w:hideMark/>
          </w:tcPr>
          <w:p w14:paraId="17487539"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600.48 ± 164.51</w:t>
            </w:r>
          </w:p>
        </w:tc>
        <w:tc>
          <w:tcPr>
            <w:tcW w:w="0" w:type="auto"/>
            <w:vAlign w:val="center"/>
            <w:hideMark/>
          </w:tcPr>
          <w:p w14:paraId="51C5BB96"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16</w:t>
            </w:r>
          </w:p>
        </w:tc>
      </w:tr>
      <w:tr w:rsidR="00A67BB2" w:rsidRPr="00A67BB2" w14:paraId="1799EC03" w14:textId="77777777" w:rsidTr="00866535">
        <w:trPr>
          <w:trHeight w:val="549"/>
          <w:tblCellSpacing w:w="15" w:type="dxa"/>
        </w:trPr>
        <w:tc>
          <w:tcPr>
            <w:tcW w:w="0" w:type="auto"/>
            <w:vAlign w:val="center"/>
            <w:hideMark/>
          </w:tcPr>
          <w:p w14:paraId="6A1A8106"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Power Drop (%)</w:t>
            </w:r>
          </w:p>
        </w:tc>
        <w:tc>
          <w:tcPr>
            <w:tcW w:w="0" w:type="auto"/>
            <w:vAlign w:val="center"/>
            <w:hideMark/>
          </w:tcPr>
          <w:p w14:paraId="15D4A5CA"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61.91 ± 5.48</w:t>
            </w:r>
          </w:p>
        </w:tc>
        <w:tc>
          <w:tcPr>
            <w:tcW w:w="0" w:type="auto"/>
            <w:vAlign w:val="center"/>
            <w:hideMark/>
          </w:tcPr>
          <w:p w14:paraId="19E8EB5C" w14:textId="77777777" w:rsidR="00A67BB2" w:rsidRPr="00A67BB2" w:rsidRDefault="00A67BB2" w:rsidP="00A67BB2">
            <w:pPr>
              <w:rPr>
                <w:rFonts w:ascii="Aptos" w:hAnsi="Aptos" w:cstheme="majorHAnsi"/>
                <w:color w:val="000000" w:themeColor="text1"/>
                <w:sz w:val="24"/>
                <w:szCs w:val="24"/>
                <w:lang w:val="en-GB"/>
              </w:rPr>
            </w:pPr>
            <w:r w:rsidRPr="00A67BB2">
              <w:rPr>
                <w:rFonts w:ascii="Aptos" w:hAnsi="Aptos" w:cstheme="majorHAnsi"/>
                <w:color w:val="000000" w:themeColor="text1"/>
                <w:sz w:val="24"/>
                <w:szCs w:val="24"/>
                <w:lang w:val="en-GB"/>
              </w:rPr>
              <w:t>16</w:t>
            </w:r>
          </w:p>
        </w:tc>
      </w:tr>
    </w:tbl>
    <w:p w14:paraId="2CD9CACA" w14:textId="5740F71B" w:rsidR="00D67DF7" w:rsidRPr="00D67DF7" w:rsidRDefault="0022218A" w:rsidP="00D67DF7">
      <w:pPr>
        <w:rPr>
          <w:rFonts w:ascii="Aptos" w:hAnsi="Aptos" w:cstheme="majorHAnsi"/>
          <w:color w:val="000000" w:themeColor="text1"/>
          <w:sz w:val="24"/>
          <w:szCs w:val="24"/>
        </w:rPr>
      </w:pPr>
      <w:r w:rsidRPr="008353A1">
        <w:rPr>
          <w:rFonts w:ascii="Aptos" w:hAnsi="Aptos" w:cstheme="majorHAnsi"/>
          <w:color w:val="000000" w:themeColor="text1"/>
          <w:sz w:val="24"/>
          <w:szCs w:val="24"/>
        </w:rPr>
        <w:t>Table 2. Correlations between anaerobic power measures</w:t>
      </w:r>
    </w:p>
    <w:tbl>
      <w:tblPr>
        <w:tblW w:w="8376" w:type="dxa"/>
        <w:tblCellSpacing w:w="15" w:type="dxa"/>
        <w:tblCellMar>
          <w:top w:w="15" w:type="dxa"/>
          <w:left w:w="15" w:type="dxa"/>
          <w:bottom w:w="15" w:type="dxa"/>
          <w:right w:w="15" w:type="dxa"/>
        </w:tblCellMar>
        <w:tblLook w:val="04A0" w:firstRow="1" w:lastRow="0" w:firstColumn="1" w:lastColumn="0" w:noHBand="0" w:noVBand="1"/>
      </w:tblPr>
      <w:tblGrid>
        <w:gridCol w:w="5828"/>
        <w:gridCol w:w="942"/>
        <w:gridCol w:w="458"/>
        <w:gridCol w:w="1148"/>
      </w:tblGrid>
      <w:tr w:rsidR="0030555E" w:rsidRPr="0030555E" w14:paraId="3FE76754" w14:textId="77777777" w:rsidTr="00871E85">
        <w:trPr>
          <w:trHeight w:val="563"/>
          <w:tblHeader/>
          <w:tblCellSpacing w:w="15" w:type="dxa"/>
        </w:trPr>
        <w:tc>
          <w:tcPr>
            <w:tcW w:w="0" w:type="auto"/>
            <w:vAlign w:val="center"/>
            <w:hideMark/>
          </w:tcPr>
          <w:p w14:paraId="0EDB02F4" w14:textId="77777777" w:rsidR="0030555E" w:rsidRPr="0030555E" w:rsidRDefault="0030555E" w:rsidP="0030555E">
            <w:pPr>
              <w:rPr>
                <w:rFonts w:ascii="Aptos" w:hAnsi="Aptos" w:cstheme="majorHAnsi"/>
                <w:b/>
                <w:bCs/>
                <w:color w:val="000000" w:themeColor="text1"/>
                <w:sz w:val="24"/>
                <w:szCs w:val="24"/>
                <w:lang w:val="en-GB"/>
              </w:rPr>
            </w:pPr>
            <w:r w:rsidRPr="0030555E">
              <w:rPr>
                <w:rFonts w:ascii="Aptos" w:hAnsi="Aptos" w:cstheme="majorHAnsi"/>
                <w:b/>
                <w:bCs/>
                <w:color w:val="000000" w:themeColor="text1"/>
                <w:sz w:val="24"/>
                <w:szCs w:val="24"/>
                <w:lang w:val="en-GB"/>
              </w:rPr>
              <w:t>Comparison</w:t>
            </w:r>
          </w:p>
        </w:tc>
        <w:tc>
          <w:tcPr>
            <w:tcW w:w="0" w:type="auto"/>
            <w:vAlign w:val="center"/>
            <w:hideMark/>
          </w:tcPr>
          <w:p w14:paraId="030CF19B" w14:textId="77777777" w:rsidR="0030555E" w:rsidRPr="0030555E" w:rsidRDefault="0030555E" w:rsidP="0030555E">
            <w:pPr>
              <w:rPr>
                <w:rFonts w:ascii="Aptos" w:hAnsi="Aptos" w:cstheme="majorHAnsi"/>
                <w:b/>
                <w:bCs/>
                <w:color w:val="000000" w:themeColor="text1"/>
                <w:sz w:val="24"/>
                <w:szCs w:val="24"/>
                <w:lang w:val="en-GB"/>
              </w:rPr>
            </w:pPr>
            <w:r w:rsidRPr="0030555E">
              <w:rPr>
                <w:rFonts w:ascii="Aptos" w:hAnsi="Aptos" w:cstheme="majorHAnsi"/>
                <w:b/>
                <w:bCs/>
                <w:color w:val="000000" w:themeColor="text1"/>
                <w:sz w:val="24"/>
                <w:szCs w:val="24"/>
                <w:lang w:val="en-GB"/>
              </w:rPr>
              <w:t>r</w:t>
            </w:r>
          </w:p>
        </w:tc>
        <w:tc>
          <w:tcPr>
            <w:tcW w:w="0" w:type="auto"/>
            <w:vAlign w:val="center"/>
            <w:hideMark/>
          </w:tcPr>
          <w:p w14:paraId="229D8C2B" w14:textId="77777777" w:rsidR="0030555E" w:rsidRPr="0030555E" w:rsidRDefault="0030555E" w:rsidP="0030555E">
            <w:pPr>
              <w:rPr>
                <w:rFonts w:ascii="Aptos" w:hAnsi="Aptos" w:cstheme="majorHAnsi"/>
                <w:b/>
                <w:bCs/>
                <w:color w:val="000000" w:themeColor="text1"/>
                <w:sz w:val="24"/>
                <w:szCs w:val="24"/>
                <w:lang w:val="en-GB"/>
              </w:rPr>
            </w:pPr>
            <w:r w:rsidRPr="0030555E">
              <w:rPr>
                <w:rFonts w:ascii="Aptos" w:hAnsi="Aptos" w:cstheme="majorHAnsi"/>
                <w:b/>
                <w:bCs/>
                <w:color w:val="000000" w:themeColor="text1"/>
                <w:sz w:val="24"/>
                <w:szCs w:val="24"/>
                <w:lang w:val="en-GB"/>
              </w:rPr>
              <w:t>N</w:t>
            </w:r>
          </w:p>
        </w:tc>
        <w:tc>
          <w:tcPr>
            <w:tcW w:w="0" w:type="auto"/>
            <w:vAlign w:val="center"/>
            <w:hideMark/>
          </w:tcPr>
          <w:p w14:paraId="111724B1" w14:textId="77777777" w:rsidR="0030555E" w:rsidRPr="0030555E" w:rsidRDefault="0030555E" w:rsidP="0030555E">
            <w:pPr>
              <w:rPr>
                <w:rFonts w:ascii="Aptos" w:hAnsi="Aptos" w:cstheme="majorHAnsi"/>
                <w:b/>
                <w:bCs/>
                <w:color w:val="000000" w:themeColor="text1"/>
                <w:sz w:val="24"/>
                <w:szCs w:val="24"/>
                <w:lang w:val="en-GB"/>
              </w:rPr>
            </w:pPr>
            <w:r w:rsidRPr="0030555E">
              <w:rPr>
                <w:rFonts w:ascii="Aptos" w:hAnsi="Aptos" w:cstheme="majorHAnsi"/>
                <w:b/>
                <w:bCs/>
                <w:color w:val="000000" w:themeColor="text1"/>
                <w:sz w:val="24"/>
                <w:szCs w:val="24"/>
                <w:lang w:val="en-GB"/>
              </w:rPr>
              <w:t>p</w:t>
            </w:r>
          </w:p>
        </w:tc>
      </w:tr>
      <w:tr w:rsidR="0030555E" w:rsidRPr="0030555E" w14:paraId="38163955" w14:textId="77777777" w:rsidTr="00871E85">
        <w:trPr>
          <w:trHeight w:val="574"/>
          <w:tblCellSpacing w:w="15" w:type="dxa"/>
        </w:trPr>
        <w:tc>
          <w:tcPr>
            <w:tcW w:w="0" w:type="auto"/>
            <w:tcBorders>
              <w:top w:val="single" w:sz="4" w:space="0" w:color="auto"/>
            </w:tcBorders>
            <w:vAlign w:val="center"/>
            <w:hideMark/>
          </w:tcPr>
          <w:p w14:paraId="2B73D0DE"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Wingate PPO vs Keiser Peak Power</w:t>
            </w:r>
          </w:p>
        </w:tc>
        <w:tc>
          <w:tcPr>
            <w:tcW w:w="0" w:type="auto"/>
            <w:tcBorders>
              <w:top w:val="single" w:sz="4" w:space="0" w:color="auto"/>
            </w:tcBorders>
            <w:vAlign w:val="center"/>
            <w:hideMark/>
          </w:tcPr>
          <w:p w14:paraId="152095D7"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0.955</w:t>
            </w:r>
          </w:p>
        </w:tc>
        <w:tc>
          <w:tcPr>
            <w:tcW w:w="0" w:type="auto"/>
            <w:tcBorders>
              <w:top w:val="single" w:sz="4" w:space="0" w:color="auto"/>
            </w:tcBorders>
            <w:vAlign w:val="center"/>
            <w:hideMark/>
          </w:tcPr>
          <w:p w14:paraId="1E210DA2"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16</w:t>
            </w:r>
          </w:p>
        </w:tc>
        <w:tc>
          <w:tcPr>
            <w:tcW w:w="0" w:type="auto"/>
            <w:tcBorders>
              <w:top w:val="single" w:sz="4" w:space="0" w:color="auto"/>
            </w:tcBorders>
            <w:vAlign w:val="center"/>
            <w:hideMark/>
          </w:tcPr>
          <w:p w14:paraId="7514BFFD"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&lt;0.001</w:t>
            </w:r>
          </w:p>
        </w:tc>
      </w:tr>
      <w:tr w:rsidR="0030555E" w:rsidRPr="0030555E" w14:paraId="4E847CEC" w14:textId="77777777" w:rsidTr="00871E85">
        <w:trPr>
          <w:trHeight w:val="574"/>
          <w:tblCellSpacing w:w="15" w:type="dxa"/>
        </w:trPr>
        <w:tc>
          <w:tcPr>
            <w:tcW w:w="0" w:type="auto"/>
            <w:vAlign w:val="center"/>
            <w:hideMark/>
          </w:tcPr>
          <w:p w14:paraId="47A2456C"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 xml:space="preserve">Wingate PPO vs </w:t>
            </w:r>
            <w:proofErr w:type="spellStart"/>
            <w:r w:rsidRPr="0030555E">
              <w:rPr>
                <w:rFonts w:ascii="Aptos" w:hAnsi="Aptos" w:cstheme="majorHAnsi"/>
                <w:color w:val="000000" w:themeColor="text1"/>
                <w:sz w:val="24"/>
                <w:szCs w:val="24"/>
                <w:lang w:val="en-GB"/>
              </w:rPr>
              <w:t>Wattbike</w:t>
            </w:r>
            <w:proofErr w:type="spellEnd"/>
            <w:r w:rsidRPr="0030555E">
              <w:rPr>
                <w:rFonts w:ascii="Aptos" w:hAnsi="Aptos" w:cstheme="majorHAnsi"/>
                <w:color w:val="000000" w:themeColor="text1"/>
                <w:sz w:val="24"/>
                <w:szCs w:val="24"/>
                <w:lang w:val="en-GB"/>
              </w:rPr>
              <w:t xml:space="preserve"> PPO</w:t>
            </w:r>
          </w:p>
        </w:tc>
        <w:tc>
          <w:tcPr>
            <w:tcW w:w="0" w:type="auto"/>
            <w:vAlign w:val="center"/>
            <w:hideMark/>
          </w:tcPr>
          <w:p w14:paraId="374E2E61"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0.943</w:t>
            </w:r>
          </w:p>
        </w:tc>
        <w:tc>
          <w:tcPr>
            <w:tcW w:w="0" w:type="auto"/>
            <w:vAlign w:val="center"/>
            <w:hideMark/>
          </w:tcPr>
          <w:p w14:paraId="4D561987"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16</w:t>
            </w:r>
          </w:p>
        </w:tc>
        <w:tc>
          <w:tcPr>
            <w:tcW w:w="0" w:type="auto"/>
            <w:vAlign w:val="center"/>
            <w:hideMark/>
          </w:tcPr>
          <w:p w14:paraId="7B1E2529"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&lt;0.001</w:t>
            </w:r>
          </w:p>
        </w:tc>
      </w:tr>
      <w:tr w:rsidR="0030555E" w:rsidRPr="0030555E" w14:paraId="4ABC4CF4" w14:textId="77777777" w:rsidTr="00871E85">
        <w:trPr>
          <w:trHeight w:val="563"/>
          <w:tblCellSpacing w:w="15" w:type="dxa"/>
        </w:trPr>
        <w:tc>
          <w:tcPr>
            <w:tcW w:w="0" w:type="auto"/>
            <w:vAlign w:val="center"/>
            <w:hideMark/>
          </w:tcPr>
          <w:p w14:paraId="4BB93A48"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Wingate Mean Power vs Wingate PPO</w:t>
            </w:r>
          </w:p>
        </w:tc>
        <w:tc>
          <w:tcPr>
            <w:tcW w:w="0" w:type="auto"/>
            <w:vAlign w:val="center"/>
            <w:hideMark/>
          </w:tcPr>
          <w:p w14:paraId="1BFDC01D"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0.862</w:t>
            </w:r>
          </w:p>
        </w:tc>
        <w:tc>
          <w:tcPr>
            <w:tcW w:w="0" w:type="auto"/>
            <w:vAlign w:val="center"/>
            <w:hideMark/>
          </w:tcPr>
          <w:p w14:paraId="70BFD7D9"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16</w:t>
            </w:r>
          </w:p>
        </w:tc>
        <w:tc>
          <w:tcPr>
            <w:tcW w:w="0" w:type="auto"/>
            <w:vAlign w:val="center"/>
            <w:hideMark/>
          </w:tcPr>
          <w:p w14:paraId="0AC88C55"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&lt;0.001</w:t>
            </w:r>
          </w:p>
        </w:tc>
      </w:tr>
      <w:tr w:rsidR="0030555E" w:rsidRPr="0030555E" w14:paraId="19CD9081" w14:textId="77777777" w:rsidTr="00871E85">
        <w:trPr>
          <w:trHeight w:val="563"/>
          <w:tblCellSpacing w:w="15" w:type="dxa"/>
        </w:trPr>
        <w:tc>
          <w:tcPr>
            <w:tcW w:w="0" w:type="auto"/>
            <w:vAlign w:val="center"/>
            <w:hideMark/>
          </w:tcPr>
          <w:p w14:paraId="34E10FB2"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Power Drop (%) vs Wingate PPO</w:t>
            </w:r>
          </w:p>
        </w:tc>
        <w:tc>
          <w:tcPr>
            <w:tcW w:w="0" w:type="auto"/>
            <w:vAlign w:val="center"/>
            <w:hideMark/>
          </w:tcPr>
          <w:p w14:paraId="3923FE73"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0.493</w:t>
            </w:r>
          </w:p>
        </w:tc>
        <w:tc>
          <w:tcPr>
            <w:tcW w:w="0" w:type="auto"/>
            <w:vAlign w:val="center"/>
            <w:hideMark/>
          </w:tcPr>
          <w:p w14:paraId="34E55300"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16</w:t>
            </w:r>
          </w:p>
        </w:tc>
        <w:tc>
          <w:tcPr>
            <w:tcW w:w="0" w:type="auto"/>
            <w:vAlign w:val="center"/>
            <w:hideMark/>
          </w:tcPr>
          <w:p w14:paraId="5CADFCF1" w14:textId="77777777" w:rsidR="0030555E" w:rsidRPr="0030555E" w:rsidRDefault="0030555E" w:rsidP="0030555E">
            <w:pPr>
              <w:rPr>
                <w:rFonts w:ascii="Aptos" w:hAnsi="Aptos" w:cstheme="majorHAnsi"/>
                <w:color w:val="000000" w:themeColor="text1"/>
                <w:sz w:val="24"/>
                <w:szCs w:val="24"/>
                <w:lang w:val="en-GB"/>
              </w:rPr>
            </w:pPr>
            <w:r w:rsidRPr="0030555E">
              <w:rPr>
                <w:rFonts w:ascii="Aptos" w:hAnsi="Aptos" w:cstheme="majorHAnsi"/>
                <w:color w:val="000000" w:themeColor="text1"/>
                <w:sz w:val="24"/>
                <w:szCs w:val="24"/>
                <w:lang w:val="en-GB"/>
              </w:rPr>
              <w:t>0.052</w:t>
            </w:r>
          </w:p>
        </w:tc>
      </w:tr>
    </w:tbl>
    <w:p w14:paraId="356A9B0B" w14:textId="77777777" w:rsidR="0030555E" w:rsidRDefault="0030555E" w:rsidP="007A18D1">
      <w:pPr>
        <w:rPr>
          <w:rFonts w:ascii="Aptos" w:hAnsi="Aptos" w:cstheme="majorHAnsi"/>
          <w:color w:val="000000" w:themeColor="text1"/>
          <w:sz w:val="24"/>
          <w:szCs w:val="24"/>
        </w:rPr>
      </w:pPr>
    </w:p>
    <w:p w14:paraId="77705AA1" w14:textId="77777777" w:rsidR="00B90D80" w:rsidRDefault="00B90D80" w:rsidP="007A18D1">
      <w:pPr>
        <w:rPr>
          <w:rFonts w:ascii="Aptos" w:hAnsi="Aptos" w:cstheme="majorHAnsi"/>
          <w:color w:val="000000" w:themeColor="text1"/>
          <w:sz w:val="24"/>
          <w:szCs w:val="24"/>
        </w:rPr>
      </w:pPr>
    </w:p>
    <w:p w14:paraId="121866A0" w14:textId="04777FD9" w:rsidR="003A5961" w:rsidRDefault="0022218A" w:rsidP="007A18D1">
      <w:pPr>
        <w:rPr>
          <w:rFonts w:ascii="Aptos" w:eastAsiaTheme="majorEastAsia" w:hAnsi="Aptos" w:cstheme="majorHAnsi"/>
          <w:b/>
          <w:bCs/>
          <w:color w:val="000000" w:themeColor="text1"/>
          <w:sz w:val="24"/>
          <w:szCs w:val="24"/>
          <w:lang w:val="en-GB"/>
        </w:rPr>
      </w:pPr>
      <w:r w:rsidRPr="008353A1">
        <w:rPr>
          <w:rFonts w:ascii="Aptos" w:hAnsi="Aptos" w:cstheme="majorHAnsi"/>
          <w:color w:val="000000" w:themeColor="text1"/>
          <w:sz w:val="24"/>
          <w:szCs w:val="24"/>
        </w:rPr>
        <w:t xml:space="preserve">Figure 1. Relationship between Wingate PPO and Keiser peak power </w:t>
      </w:r>
      <w:r w:rsidR="00DD7F6D" w:rsidRPr="00DD7F6D">
        <w:rPr>
          <w:rFonts w:ascii="Aptos" w:hAnsi="Aptos" w:cstheme="majorHAnsi"/>
          <w:noProof/>
          <w:color w:val="000000" w:themeColor="text1"/>
          <w:sz w:val="24"/>
          <w:szCs w:val="24"/>
        </w:rPr>
        <w:drawing>
          <wp:inline distT="0" distB="0" distL="0" distR="0" wp14:anchorId="2BF5E979" wp14:editId="3AD9DC9C">
            <wp:extent cx="5486400" cy="3235325"/>
            <wp:effectExtent l="0" t="0" r="0" b="3175"/>
            <wp:docPr id="63292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2794" name=""/>
                    <pic:cNvPicPr/>
                  </pic:nvPicPr>
                  <pic:blipFill>
                    <a:blip r:embed="rId8"/>
                    <a:stretch>
                      <a:fillRect/>
                    </a:stretch>
                  </pic:blipFill>
                  <pic:spPr>
                    <a:xfrm>
                      <a:off x="0" y="0"/>
                      <a:ext cx="5486400" cy="3235325"/>
                    </a:xfrm>
                    <a:prstGeom prst="rect">
                      <a:avLst/>
                    </a:prstGeom>
                  </pic:spPr>
                </pic:pic>
              </a:graphicData>
            </a:graphic>
          </wp:inline>
        </w:drawing>
      </w:r>
    </w:p>
    <w:p w14:paraId="54EF1A1A" w14:textId="77777777" w:rsidR="00844292" w:rsidRDefault="00812884" w:rsidP="00871E85">
      <w:pPr>
        <w:pStyle w:val="ListParagraph"/>
        <w:numPr>
          <w:ilvl w:val="0"/>
          <w:numId w:val="10"/>
        </w:numPr>
        <w:rPr>
          <w:rFonts w:ascii="Aptos" w:eastAsiaTheme="majorEastAsia" w:hAnsi="Aptos" w:cstheme="majorHAnsi"/>
          <w:b/>
          <w:bCs/>
          <w:color w:val="000000" w:themeColor="text1"/>
          <w:sz w:val="24"/>
          <w:szCs w:val="24"/>
          <w:lang w:val="en-GB"/>
        </w:rPr>
      </w:pPr>
      <w:r>
        <w:rPr>
          <w:rFonts w:ascii="Aptos" w:eastAsiaTheme="majorEastAsia" w:hAnsi="Aptos" w:cstheme="majorHAnsi"/>
          <w:b/>
          <w:bCs/>
          <w:color w:val="000000" w:themeColor="text1"/>
          <w:sz w:val="24"/>
          <w:szCs w:val="24"/>
          <w:lang w:val="en-GB"/>
        </w:rPr>
        <w:t xml:space="preserve"> </w:t>
      </w:r>
    </w:p>
    <w:p w14:paraId="7D5B47BB" w14:textId="0ACC2689" w:rsidR="0039702A" w:rsidRPr="00844292" w:rsidRDefault="0039702A" w:rsidP="00844292">
      <w:pPr>
        <w:rPr>
          <w:rFonts w:ascii="Aptos" w:eastAsiaTheme="majorEastAsia" w:hAnsi="Aptos" w:cstheme="majorHAnsi"/>
          <w:b/>
          <w:bCs/>
          <w:color w:val="000000" w:themeColor="text1"/>
          <w:sz w:val="24"/>
          <w:szCs w:val="24"/>
          <w:lang w:val="en-GB"/>
        </w:rPr>
      </w:pPr>
      <w:r w:rsidRPr="00844292">
        <w:rPr>
          <w:rFonts w:ascii="Aptos" w:eastAsiaTheme="majorEastAsia" w:hAnsi="Aptos" w:cstheme="majorHAnsi"/>
          <w:b/>
          <w:bCs/>
          <w:color w:val="000000" w:themeColor="text1"/>
          <w:sz w:val="24"/>
          <w:szCs w:val="24"/>
          <w:lang w:val="en-GB"/>
        </w:rPr>
        <w:lastRenderedPageBreak/>
        <w:t>Experiment 2: Aerobic Capacity (</w:t>
      </w:r>
      <w:proofErr w:type="spellStart"/>
      <w:r w:rsidRPr="00844292">
        <w:rPr>
          <w:rFonts w:ascii="Aptos" w:eastAsiaTheme="majorEastAsia" w:hAnsi="Aptos" w:cstheme="majorHAnsi"/>
          <w:b/>
          <w:bCs/>
          <w:color w:val="000000" w:themeColor="text1"/>
          <w:sz w:val="24"/>
          <w:szCs w:val="24"/>
          <w:lang w:val="en-GB"/>
        </w:rPr>
        <w:t>VO₂max</w:t>
      </w:r>
      <w:proofErr w:type="spellEnd"/>
      <w:r w:rsidRPr="00844292">
        <w:rPr>
          <w:rFonts w:ascii="Aptos" w:eastAsiaTheme="majorEastAsia" w:hAnsi="Aptos" w:cstheme="majorHAnsi"/>
          <w:b/>
          <w:bCs/>
          <w:color w:val="000000" w:themeColor="text1"/>
          <w:sz w:val="24"/>
          <w:szCs w:val="24"/>
          <w:lang w:val="en-GB"/>
        </w:rPr>
        <w:t>)</w:t>
      </w:r>
    </w:p>
    <w:p w14:paraId="31DBD63B" w14:textId="3CF976EC" w:rsidR="0039702A" w:rsidRPr="00C94167" w:rsidRDefault="0039702A" w:rsidP="00C94167">
      <w:pPr>
        <w:rPr>
          <w:rFonts w:ascii="Aptos" w:eastAsiaTheme="majorEastAsia" w:hAnsi="Aptos" w:cstheme="majorHAnsi"/>
          <w:color w:val="000000" w:themeColor="text1"/>
          <w:sz w:val="24"/>
          <w:szCs w:val="24"/>
          <w:lang w:val="en-GB"/>
        </w:rPr>
      </w:pPr>
      <w:r w:rsidRPr="00C94167">
        <w:rPr>
          <w:rFonts w:ascii="Aptos" w:eastAsiaTheme="majorEastAsia" w:hAnsi="Aptos" w:cstheme="majorHAnsi"/>
          <w:color w:val="000000" w:themeColor="text1"/>
          <w:sz w:val="24"/>
          <w:szCs w:val="24"/>
          <w:lang w:val="en-GB"/>
        </w:rPr>
        <w:t>Method summary, aim and protocol</w:t>
      </w:r>
    </w:p>
    <w:p w14:paraId="59B674AB" w14:textId="475000F1"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 xml:space="preserve">The aim was to determine maximal aerobic capacity using an incremental graded exercise test with breath-by-breath gas analysis. </w:t>
      </w: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represents the maximal rate of oxygen uptake during whole-body exercise and reflects integrated cardiovascular and muscular oxidative capacity </w:t>
      </w:r>
      <w:r w:rsidR="00285B18" w:rsidRPr="00285B18">
        <w:rPr>
          <w:rFonts w:ascii="Aptos" w:eastAsiaTheme="majorEastAsia" w:hAnsi="Aptos" w:cstheme="majorHAnsi"/>
          <w:color w:val="000000" w:themeColor="text1"/>
          <w:sz w:val="24"/>
          <w:szCs w:val="24"/>
          <w:lang w:val="en-GB"/>
        </w:rPr>
        <w:t>(Bassett and Howley, 2000)</w:t>
      </w:r>
      <w:r w:rsidRPr="0039702A">
        <w:rPr>
          <w:rFonts w:ascii="Aptos" w:eastAsiaTheme="majorEastAsia" w:hAnsi="Aptos" w:cstheme="majorHAnsi"/>
          <w:color w:val="000000" w:themeColor="text1"/>
          <w:sz w:val="24"/>
          <w:szCs w:val="24"/>
          <w:lang w:val="en-GB"/>
        </w:rPr>
        <w:t>. Exercise intensity increased progressively until volitional exhaustion, with VO₂, VCO₂, RER, heart rate, and RPE recorded throughout.</w:t>
      </w:r>
    </w:p>
    <w:p w14:paraId="5AECD7F5" w14:textId="77777777" w:rsidR="00B90D80" w:rsidRDefault="00B90D80" w:rsidP="0039702A">
      <w:pPr>
        <w:rPr>
          <w:rFonts w:ascii="Aptos" w:eastAsiaTheme="majorEastAsia" w:hAnsi="Aptos" w:cstheme="majorHAnsi"/>
          <w:color w:val="000000" w:themeColor="text1"/>
          <w:sz w:val="24"/>
          <w:szCs w:val="24"/>
          <w:lang w:val="en-GB"/>
        </w:rPr>
      </w:pPr>
    </w:p>
    <w:p w14:paraId="47A698CA" w14:textId="2C51D889"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Personal role</w:t>
      </w:r>
    </w:p>
    <w:p w14:paraId="5D4060F6" w14:textId="77777777"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I assisted with metabolic system calibration, ensured appropriate mask fit, recorded heart rate and RPE, and monitored termination criteria in line with ACSM safety guidelines. This highlighted the technical and ethical considerations inherent in maximal testing.</w:t>
      </w:r>
    </w:p>
    <w:p w14:paraId="03CA7AC5" w14:textId="77777777" w:rsidR="00B90D80" w:rsidRDefault="00B90D80" w:rsidP="0039702A">
      <w:pPr>
        <w:rPr>
          <w:rFonts w:ascii="Aptos" w:eastAsiaTheme="majorEastAsia" w:hAnsi="Aptos" w:cstheme="majorHAnsi"/>
          <w:color w:val="000000" w:themeColor="text1"/>
          <w:sz w:val="24"/>
          <w:szCs w:val="24"/>
          <w:lang w:val="en-GB"/>
        </w:rPr>
      </w:pPr>
    </w:p>
    <w:p w14:paraId="09D4A692" w14:textId="4B25CA30"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Results</w:t>
      </w:r>
    </w:p>
    <w:p w14:paraId="3E06E36A" w14:textId="3E56A3F9"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 xml:space="preserve">Descriptive statistics are presented in Table 3. Significant variability was observed in relative </w:t>
      </w: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values. A strong positive association was identified between relative </w:t>
      </w: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and power at </w:t>
      </w: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(r = 0.743). RER values exceeding 1.10 and high RPE scores supported near-maximal effort </w:t>
      </w:r>
      <w:r w:rsidR="00CC1906" w:rsidRPr="00CC1906">
        <w:rPr>
          <w:rFonts w:ascii="Aptos" w:eastAsiaTheme="majorEastAsia" w:hAnsi="Aptos" w:cstheme="majorHAnsi"/>
          <w:color w:val="000000" w:themeColor="text1"/>
          <w:sz w:val="24"/>
          <w:szCs w:val="24"/>
          <w:lang w:val="en-GB"/>
        </w:rPr>
        <w:t>(Howley, Bassett and Welch, 1995; Borg, 1982)</w:t>
      </w:r>
      <w:r w:rsidRPr="0039702A">
        <w:rPr>
          <w:rFonts w:ascii="Aptos" w:eastAsiaTheme="majorEastAsia" w:hAnsi="Aptos" w:cstheme="majorHAnsi"/>
          <w:color w:val="000000" w:themeColor="text1"/>
          <w:sz w:val="24"/>
          <w:szCs w:val="24"/>
          <w:lang w:val="en-GB"/>
        </w:rPr>
        <w:t>.</w:t>
      </w:r>
    </w:p>
    <w:p w14:paraId="495836A2" w14:textId="77777777" w:rsidR="00B13F6C" w:rsidRDefault="00B13F6C" w:rsidP="0039702A">
      <w:pPr>
        <w:rPr>
          <w:rFonts w:ascii="Aptos" w:eastAsiaTheme="majorEastAsia" w:hAnsi="Aptos" w:cstheme="majorHAnsi"/>
          <w:color w:val="000000" w:themeColor="text1"/>
          <w:sz w:val="24"/>
          <w:szCs w:val="24"/>
          <w:lang w:val="en-GB"/>
        </w:rPr>
      </w:pPr>
    </w:p>
    <w:p w14:paraId="294F3213" w14:textId="4FFD7401"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Interpretation</w:t>
      </w:r>
    </w:p>
    <w:p w14:paraId="5E40D133" w14:textId="32DF3B0E" w:rsidR="0039702A" w:rsidRPr="0039702A" w:rsidRDefault="0039702A" w:rsidP="0039702A">
      <w:pPr>
        <w:rPr>
          <w:rFonts w:ascii="Aptos" w:eastAsiaTheme="majorEastAsia" w:hAnsi="Aptos" w:cstheme="majorHAnsi"/>
          <w:color w:val="000000" w:themeColor="text1"/>
          <w:sz w:val="24"/>
          <w:szCs w:val="24"/>
          <w:lang w:val="en-GB"/>
        </w:rPr>
      </w:pP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is primarily limited by maximal cardiac output and oxygen delivery, while peripheral adaptations influence oxygen extraction and utilisation </w:t>
      </w:r>
      <w:r w:rsidR="00C56C8B" w:rsidRPr="00C56C8B">
        <w:rPr>
          <w:rFonts w:ascii="Aptos" w:eastAsiaTheme="majorEastAsia" w:hAnsi="Aptos" w:cstheme="majorHAnsi"/>
          <w:color w:val="000000" w:themeColor="text1"/>
          <w:sz w:val="24"/>
          <w:szCs w:val="24"/>
          <w:lang w:val="en-GB"/>
        </w:rPr>
        <w:t xml:space="preserve">(Bassett and Howley, 2000; </w:t>
      </w:r>
      <w:proofErr w:type="spellStart"/>
      <w:r w:rsidR="00C56C8B" w:rsidRPr="00C56C8B">
        <w:rPr>
          <w:rFonts w:ascii="Aptos" w:eastAsiaTheme="majorEastAsia" w:hAnsi="Aptos" w:cstheme="majorHAnsi"/>
          <w:color w:val="000000" w:themeColor="text1"/>
          <w:sz w:val="24"/>
          <w:szCs w:val="24"/>
          <w:lang w:val="en-GB"/>
        </w:rPr>
        <w:t>Åstrand</w:t>
      </w:r>
      <w:proofErr w:type="spellEnd"/>
      <w:r w:rsidR="00C56C8B" w:rsidRPr="00C56C8B">
        <w:rPr>
          <w:rFonts w:ascii="Aptos" w:eastAsiaTheme="majorEastAsia" w:hAnsi="Aptos" w:cstheme="majorHAnsi"/>
          <w:color w:val="000000" w:themeColor="text1"/>
          <w:sz w:val="24"/>
          <w:szCs w:val="24"/>
          <w:lang w:val="en-GB"/>
        </w:rPr>
        <w:t xml:space="preserve"> et al., 2003)</w:t>
      </w:r>
      <w:r w:rsidRPr="0039702A">
        <w:rPr>
          <w:rFonts w:ascii="Aptos" w:eastAsiaTheme="majorEastAsia" w:hAnsi="Aptos" w:cstheme="majorHAnsi"/>
          <w:color w:val="000000" w:themeColor="text1"/>
          <w:sz w:val="24"/>
          <w:szCs w:val="24"/>
          <w:lang w:val="en-GB"/>
        </w:rPr>
        <w:t xml:space="preserve">. The observed association between relative </w:t>
      </w: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and maximal power output indicates that individuals with superior oxygen transport capacity achieved higher workloads.</w:t>
      </w:r>
    </w:p>
    <w:p w14:paraId="77A68A9C" w14:textId="49BD89CF"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 xml:space="preserve">However, </w:t>
      </w: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alone does not fully predict endurance performance. Exercise economy and lactate threshold also contribute substantially, particularly among trained individuals. Additionally, VO₂ plateau criteria are not universally observed, </w:t>
      </w:r>
      <w:r w:rsidRPr="0039702A">
        <w:rPr>
          <w:rFonts w:ascii="Aptos" w:eastAsiaTheme="majorEastAsia" w:hAnsi="Aptos" w:cstheme="majorHAnsi"/>
          <w:color w:val="000000" w:themeColor="text1"/>
          <w:sz w:val="24"/>
          <w:szCs w:val="24"/>
          <w:lang w:val="en-GB"/>
        </w:rPr>
        <w:lastRenderedPageBreak/>
        <w:t xml:space="preserve">reinforcing the need for multiple verification indicators </w:t>
      </w:r>
      <w:r w:rsidR="00C56C8B" w:rsidRPr="00C56C8B">
        <w:rPr>
          <w:rFonts w:ascii="Aptos" w:eastAsiaTheme="majorEastAsia" w:hAnsi="Aptos" w:cstheme="majorHAnsi"/>
          <w:color w:val="000000" w:themeColor="text1"/>
          <w:sz w:val="24"/>
          <w:szCs w:val="24"/>
          <w:lang w:val="en-GB"/>
        </w:rPr>
        <w:t>(Midgley et al., 2007; Edvardsen et al., 2014)</w:t>
      </w:r>
      <w:r w:rsidRPr="0039702A">
        <w:rPr>
          <w:rFonts w:ascii="Aptos" w:eastAsiaTheme="majorEastAsia" w:hAnsi="Aptos" w:cstheme="majorHAnsi"/>
          <w:color w:val="000000" w:themeColor="text1"/>
          <w:sz w:val="24"/>
          <w:szCs w:val="24"/>
          <w:lang w:val="en-GB"/>
        </w:rPr>
        <w:t>.</w:t>
      </w:r>
    </w:p>
    <w:p w14:paraId="602DB3DF" w14:textId="77777777" w:rsidR="00B13F6C" w:rsidRDefault="00B13F6C" w:rsidP="0039702A">
      <w:pPr>
        <w:rPr>
          <w:rFonts w:ascii="Aptos" w:eastAsiaTheme="majorEastAsia" w:hAnsi="Aptos" w:cstheme="majorHAnsi"/>
          <w:color w:val="000000" w:themeColor="text1"/>
          <w:sz w:val="24"/>
          <w:szCs w:val="24"/>
          <w:lang w:val="en-GB"/>
        </w:rPr>
      </w:pPr>
    </w:p>
    <w:p w14:paraId="26FFFD2A" w14:textId="77777777" w:rsidR="00B13F6C" w:rsidRDefault="00B13F6C" w:rsidP="0039702A">
      <w:pPr>
        <w:rPr>
          <w:rFonts w:ascii="Aptos" w:eastAsiaTheme="majorEastAsia" w:hAnsi="Aptos" w:cstheme="majorHAnsi"/>
          <w:color w:val="000000" w:themeColor="text1"/>
          <w:sz w:val="24"/>
          <w:szCs w:val="24"/>
          <w:lang w:val="en-GB"/>
        </w:rPr>
      </w:pPr>
    </w:p>
    <w:p w14:paraId="4B2070E4" w14:textId="545A4B1A"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Reflection, limitations and application</w:t>
      </w:r>
    </w:p>
    <w:p w14:paraId="3A3EBE94" w14:textId="5D59EC5E" w:rsidR="00936EF0" w:rsidRDefault="0039702A" w:rsidP="0039702A">
      <w:pPr>
        <w:rPr>
          <w:rFonts w:ascii="Aptos" w:eastAsiaTheme="majorEastAsia" w:hAnsi="Aptos" w:cstheme="majorHAnsi"/>
          <w:color w:val="000000" w:themeColor="text1"/>
          <w:sz w:val="24"/>
          <w:szCs w:val="24"/>
          <w:lang w:val="en-GB"/>
        </w:rPr>
      </w:pPr>
      <w:proofErr w:type="spellStart"/>
      <w:r w:rsidRPr="0039702A">
        <w:rPr>
          <w:rFonts w:ascii="Aptos" w:eastAsiaTheme="majorEastAsia" w:hAnsi="Aptos" w:cstheme="majorHAnsi"/>
          <w:color w:val="000000" w:themeColor="text1"/>
          <w:sz w:val="24"/>
          <w:szCs w:val="24"/>
          <w:lang w:val="en-GB"/>
        </w:rPr>
        <w:t>VO₂max</w:t>
      </w:r>
      <w:proofErr w:type="spellEnd"/>
      <w:r w:rsidRPr="0039702A">
        <w:rPr>
          <w:rFonts w:ascii="Aptos" w:eastAsiaTheme="majorEastAsia" w:hAnsi="Aptos" w:cstheme="majorHAnsi"/>
          <w:color w:val="000000" w:themeColor="text1"/>
          <w:sz w:val="24"/>
          <w:szCs w:val="24"/>
          <w:lang w:val="en-GB"/>
        </w:rPr>
        <w:t xml:space="preserve"> testing is resource-intensive and influenced by motivation, modality familiarity, and local muscular fatigue. Differences between treadmill and cycle protocols may yield slightly different values due to muscle mass involvement. Despite these limitations, cardiorespiratory fitness remains a powerful predictor of</w:t>
      </w:r>
    </w:p>
    <w:p w14:paraId="3697BC29" w14:textId="1494FF3D" w:rsidR="0039702A" w:rsidRPr="0039702A" w:rsidRDefault="0039702A" w:rsidP="0039702A">
      <w:pPr>
        <w:rPr>
          <w:rFonts w:ascii="Aptos" w:eastAsiaTheme="majorEastAsia" w:hAnsi="Aptos" w:cstheme="majorHAnsi"/>
          <w:color w:val="000000" w:themeColor="text1"/>
          <w:sz w:val="24"/>
          <w:szCs w:val="24"/>
          <w:lang w:val="en-GB"/>
        </w:rPr>
      </w:pPr>
      <w:r w:rsidRPr="0039702A">
        <w:rPr>
          <w:rFonts w:ascii="Aptos" w:eastAsiaTheme="majorEastAsia" w:hAnsi="Aptos" w:cstheme="majorHAnsi"/>
          <w:color w:val="000000" w:themeColor="text1"/>
          <w:sz w:val="24"/>
          <w:szCs w:val="24"/>
          <w:lang w:val="en-GB"/>
        </w:rPr>
        <w:t xml:space="preserve">long-term health outcomes </w:t>
      </w:r>
      <w:r w:rsidR="00133C4B" w:rsidRPr="00133C4B">
        <w:rPr>
          <w:rFonts w:ascii="Aptos" w:eastAsiaTheme="majorEastAsia" w:hAnsi="Aptos" w:cstheme="majorHAnsi"/>
          <w:color w:val="000000" w:themeColor="text1"/>
          <w:sz w:val="24"/>
          <w:szCs w:val="24"/>
          <w:lang w:val="en-GB"/>
        </w:rPr>
        <w:t>(Kodama et al., 2009; Lang et al., 2024)</w:t>
      </w:r>
      <w:r w:rsidRPr="0039702A">
        <w:rPr>
          <w:rFonts w:ascii="Aptos" w:eastAsiaTheme="majorEastAsia" w:hAnsi="Aptos" w:cstheme="majorHAnsi"/>
          <w:color w:val="000000" w:themeColor="text1"/>
          <w:sz w:val="24"/>
          <w:szCs w:val="24"/>
          <w:lang w:val="en-GB"/>
        </w:rPr>
        <w:t>, supporting its central role in both performance and clinical assessment.</w:t>
      </w:r>
    </w:p>
    <w:p w14:paraId="6A676A6F" w14:textId="77777777" w:rsidR="00844292" w:rsidRDefault="00844292" w:rsidP="006F25F2">
      <w:pPr>
        <w:rPr>
          <w:rFonts w:ascii="Aptos" w:hAnsi="Aptos" w:cstheme="majorHAnsi"/>
          <w:color w:val="000000" w:themeColor="text1"/>
          <w:sz w:val="24"/>
          <w:szCs w:val="24"/>
        </w:rPr>
      </w:pPr>
    </w:p>
    <w:p w14:paraId="5F3C9C9D" w14:textId="291D76E8" w:rsidR="006F25F2" w:rsidRPr="006F25F2" w:rsidRDefault="0022218A" w:rsidP="006F25F2">
      <w:pPr>
        <w:rPr>
          <w:rFonts w:ascii="Aptos" w:hAnsi="Aptos" w:cstheme="majorHAnsi"/>
          <w:color w:val="000000" w:themeColor="text1"/>
          <w:sz w:val="24"/>
          <w:szCs w:val="24"/>
        </w:rPr>
      </w:pPr>
      <w:r w:rsidRPr="008353A1">
        <w:rPr>
          <w:rFonts w:ascii="Aptos" w:hAnsi="Aptos" w:cstheme="majorHAnsi"/>
          <w:color w:val="000000" w:themeColor="text1"/>
          <w:sz w:val="24"/>
          <w:szCs w:val="24"/>
        </w:rPr>
        <w:t>Table 3. Descriptive statistics for aerobic capacity variables</w:t>
      </w:r>
    </w:p>
    <w:tbl>
      <w:tblPr>
        <w:tblW w:w="8877" w:type="dxa"/>
        <w:tblCellSpacing w:w="15" w:type="dxa"/>
        <w:tblCellMar>
          <w:top w:w="15" w:type="dxa"/>
          <w:left w:w="15" w:type="dxa"/>
          <w:bottom w:w="15" w:type="dxa"/>
          <w:right w:w="15" w:type="dxa"/>
        </w:tblCellMar>
        <w:tblLook w:val="04A0" w:firstRow="1" w:lastRow="0" w:firstColumn="1" w:lastColumn="0" w:noHBand="0" w:noVBand="1"/>
      </w:tblPr>
      <w:tblGrid>
        <w:gridCol w:w="5050"/>
        <w:gridCol w:w="3195"/>
        <w:gridCol w:w="632"/>
      </w:tblGrid>
      <w:tr w:rsidR="00995A55" w:rsidRPr="00995A55" w14:paraId="75715E12" w14:textId="77777777" w:rsidTr="00286C35">
        <w:trPr>
          <w:trHeight w:val="543"/>
          <w:tblHeader/>
          <w:tblCellSpacing w:w="15" w:type="dxa"/>
        </w:trPr>
        <w:tc>
          <w:tcPr>
            <w:tcW w:w="0" w:type="auto"/>
            <w:tcBorders>
              <w:bottom w:val="single" w:sz="4" w:space="0" w:color="auto"/>
            </w:tcBorders>
            <w:vAlign w:val="center"/>
            <w:hideMark/>
          </w:tcPr>
          <w:p w14:paraId="6D3192FF" w14:textId="77777777" w:rsidR="00995A55" w:rsidRPr="00995A55" w:rsidRDefault="00995A55" w:rsidP="00995A55">
            <w:pPr>
              <w:rPr>
                <w:rFonts w:ascii="Aptos" w:hAnsi="Aptos" w:cstheme="majorHAnsi"/>
                <w:b/>
                <w:bCs/>
                <w:color w:val="000000" w:themeColor="text1"/>
                <w:sz w:val="24"/>
                <w:szCs w:val="24"/>
                <w:lang w:val="en-GB"/>
              </w:rPr>
            </w:pPr>
            <w:r w:rsidRPr="00995A55">
              <w:rPr>
                <w:rFonts w:ascii="Aptos" w:hAnsi="Aptos" w:cstheme="majorHAnsi"/>
                <w:b/>
                <w:bCs/>
                <w:color w:val="000000" w:themeColor="text1"/>
                <w:sz w:val="24"/>
                <w:szCs w:val="24"/>
                <w:lang w:val="en-GB"/>
              </w:rPr>
              <w:t>Variable</w:t>
            </w:r>
          </w:p>
        </w:tc>
        <w:tc>
          <w:tcPr>
            <w:tcW w:w="0" w:type="auto"/>
            <w:tcBorders>
              <w:bottom w:val="single" w:sz="4" w:space="0" w:color="auto"/>
            </w:tcBorders>
            <w:vAlign w:val="center"/>
            <w:hideMark/>
          </w:tcPr>
          <w:p w14:paraId="21E13E85" w14:textId="77777777" w:rsidR="00995A55" w:rsidRPr="00995A55" w:rsidRDefault="00995A55" w:rsidP="00995A55">
            <w:pPr>
              <w:rPr>
                <w:rFonts w:ascii="Aptos" w:hAnsi="Aptos" w:cstheme="majorHAnsi"/>
                <w:b/>
                <w:bCs/>
                <w:color w:val="000000" w:themeColor="text1"/>
                <w:sz w:val="24"/>
                <w:szCs w:val="24"/>
                <w:lang w:val="en-GB"/>
              </w:rPr>
            </w:pPr>
            <w:r w:rsidRPr="00995A55">
              <w:rPr>
                <w:rFonts w:ascii="Aptos" w:hAnsi="Aptos" w:cstheme="majorHAnsi"/>
                <w:b/>
                <w:bCs/>
                <w:color w:val="000000" w:themeColor="text1"/>
                <w:sz w:val="24"/>
                <w:szCs w:val="24"/>
                <w:lang w:val="en-GB"/>
              </w:rPr>
              <w:t>Mean ± SD</w:t>
            </w:r>
          </w:p>
        </w:tc>
        <w:tc>
          <w:tcPr>
            <w:tcW w:w="0" w:type="auto"/>
            <w:tcBorders>
              <w:bottom w:val="single" w:sz="4" w:space="0" w:color="auto"/>
            </w:tcBorders>
            <w:vAlign w:val="center"/>
            <w:hideMark/>
          </w:tcPr>
          <w:p w14:paraId="59282DC9" w14:textId="77777777" w:rsidR="00995A55" w:rsidRPr="00995A55" w:rsidRDefault="00995A55" w:rsidP="00995A55">
            <w:pPr>
              <w:rPr>
                <w:rFonts w:ascii="Aptos" w:hAnsi="Aptos" w:cstheme="majorHAnsi"/>
                <w:b/>
                <w:bCs/>
                <w:color w:val="000000" w:themeColor="text1"/>
                <w:sz w:val="24"/>
                <w:szCs w:val="24"/>
                <w:lang w:val="en-GB"/>
              </w:rPr>
            </w:pPr>
            <w:r w:rsidRPr="00995A55">
              <w:rPr>
                <w:rFonts w:ascii="Aptos" w:hAnsi="Aptos" w:cstheme="majorHAnsi"/>
                <w:b/>
                <w:bCs/>
                <w:color w:val="000000" w:themeColor="text1"/>
                <w:sz w:val="24"/>
                <w:szCs w:val="24"/>
                <w:lang w:val="en-GB"/>
              </w:rPr>
              <w:t>N</w:t>
            </w:r>
          </w:p>
        </w:tc>
      </w:tr>
      <w:tr w:rsidR="00995A55" w:rsidRPr="00995A55" w14:paraId="09F73259" w14:textId="77777777" w:rsidTr="00995A55">
        <w:trPr>
          <w:trHeight w:val="554"/>
          <w:tblCellSpacing w:w="15" w:type="dxa"/>
        </w:trPr>
        <w:tc>
          <w:tcPr>
            <w:tcW w:w="0" w:type="auto"/>
            <w:vAlign w:val="center"/>
            <w:hideMark/>
          </w:tcPr>
          <w:p w14:paraId="1932C184" w14:textId="77777777" w:rsidR="00995A55" w:rsidRPr="00995A55" w:rsidRDefault="00995A55" w:rsidP="00995A55">
            <w:pPr>
              <w:rPr>
                <w:rFonts w:ascii="Aptos" w:hAnsi="Aptos" w:cstheme="majorHAnsi"/>
                <w:color w:val="000000" w:themeColor="text1"/>
                <w:sz w:val="24"/>
                <w:szCs w:val="24"/>
                <w:lang w:val="en-GB"/>
              </w:rPr>
            </w:pPr>
            <w:proofErr w:type="spellStart"/>
            <w:r w:rsidRPr="00995A55">
              <w:rPr>
                <w:rFonts w:ascii="Aptos" w:hAnsi="Aptos" w:cstheme="majorHAnsi"/>
                <w:color w:val="000000" w:themeColor="text1"/>
                <w:sz w:val="24"/>
                <w:szCs w:val="24"/>
                <w:lang w:val="en-GB"/>
              </w:rPr>
              <w:t>VO₂max</w:t>
            </w:r>
            <w:proofErr w:type="spellEnd"/>
            <w:r w:rsidRPr="00995A55">
              <w:rPr>
                <w:rFonts w:ascii="Aptos" w:hAnsi="Aptos" w:cstheme="majorHAnsi"/>
                <w:color w:val="000000" w:themeColor="text1"/>
                <w:sz w:val="24"/>
                <w:szCs w:val="24"/>
                <w:lang w:val="en-GB"/>
              </w:rPr>
              <w:t xml:space="preserve"> (L·min</w:t>
            </w:r>
            <w:r w:rsidRPr="00995A55">
              <w:rPr>
                <w:rFonts w:ascii="Cambria Math" w:hAnsi="Cambria Math" w:cs="Cambria Math"/>
                <w:color w:val="000000" w:themeColor="text1"/>
                <w:sz w:val="24"/>
                <w:szCs w:val="24"/>
                <w:lang w:val="en-GB"/>
              </w:rPr>
              <w:t>⁻</w:t>
            </w:r>
            <w:r w:rsidRPr="00995A55">
              <w:rPr>
                <w:rFonts w:ascii="Aptos" w:hAnsi="Aptos" w:cs="Aptos"/>
                <w:color w:val="000000" w:themeColor="text1"/>
                <w:sz w:val="24"/>
                <w:szCs w:val="24"/>
                <w:lang w:val="en-GB"/>
              </w:rPr>
              <w:t>¹</w:t>
            </w:r>
            <w:r w:rsidRPr="00995A55">
              <w:rPr>
                <w:rFonts w:ascii="Aptos" w:hAnsi="Aptos" w:cstheme="majorHAnsi"/>
                <w:color w:val="000000" w:themeColor="text1"/>
                <w:sz w:val="24"/>
                <w:szCs w:val="24"/>
                <w:lang w:val="en-GB"/>
              </w:rPr>
              <w:t>)</w:t>
            </w:r>
          </w:p>
        </w:tc>
        <w:tc>
          <w:tcPr>
            <w:tcW w:w="0" w:type="auto"/>
            <w:vAlign w:val="center"/>
            <w:hideMark/>
          </w:tcPr>
          <w:p w14:paraId="4B36AADC"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3.14 ± 0.91</w:t>
            </w:r>
          </w:p>
        </w:tc>
        <w:tc>
          <w:tcPr>
            <w:tcW w:w="0" w:type="auto"/>
            <w:vAlign w:val="center"/>
            <w:hideMark/>
          </w:tcPr>
          <w:p w14:paraId="0B45A5D2"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11</w:t>
            </w:r>
          </w:p>
        </w:tc>
      </w:tr>
      <w:tr w:rsidR="00995A55" w:rsidRPr="00995A55" w14:paraId="7F1AD0ED" w14:textId="77777777" w:rsidTr="00995A55">
        <w:trPr>
          <w:trHeight w:val="554"/>
          <w:tblCellSpacing w:w="15" w:type="dxa"/>
        </w:trPr>
        <w:tc>
          <w:tcPr>
            <w:tcW w:w="0" w:type="auto"/>
            <w:vAlign w:val="center"/>
            <w:hideMark/>
          </w:tcPr>
          <w:p w14:paraId="6B5337A0" w14:textId="77777777" w:rsidR="00995A55" w:rsidRPr="00995A55" w:rsidRDefault="00995A55" w:rsidP="00995A55">
            <w:pPr>
              <w:rPr>
                <w:rFonts w:ascii="Aptos" w:hAnsi="Aptos" w:cstheme="majorHAnsi"/>
                <w:color w:val="000000" w:themeColor="text1"/>
                <w:sz w:val="24"/>
                <w:szCs w:val="24"/>
                <w:lang w:val="en-GB"/>
              </w:rPr>
            </w:pPr>
            <w:proofErr w:type="spellStart"/>
            <w:r w:rsidRPr="00995A55">
              <w:rPr>
                <w:rFonts w:ascii="Aptos" w:hAnsi="Aptos" w:cstheme="majorHAnsi"/>
                <w:color w:val="000000" w:themeColor="text1"/>
                <w:sz w:val="24"/>
                <w:szCs w:val="24"/>
                <w:lang w:val="en-GB"/>
              </w:rPr>
              <w:t>VO₂max</w:t>
            </w:r>
            <w:proofErr w:type="spellEnd"/>
            <w:r w:rsidRPr="00995A55">
              <w:rPr>
                <w:rFonts w:ascii="Aptos" w:hAnsi="Aptos" w:cstheme="majorHAnsi"/>
                <w:color w:val="000000" w:themeColor="text1"/>
                <w:sz w:val="24"/>
                <w:szCs w:val="24"/>
                <w:lang w:val="en-GB"/>
              </w:rPr>
              <w:t xml:space="preserve"> (ml·kg</w:t>
            </w:r>
            <w:r w:rsidRPr="00995A55">
              <w:rPr>
                <w:rFonts w:ascii="Cambria Math" w:hAnsi="Cambria Math" w:cs="Cambria Math"/>
                <w:color w:val="000000" w:themeColor="text1"/>
                <w:sz w:val="24"/>
                <w:szCs w:val="24"/>
                <w:lang w:val="en-GB"/>
              </w:rPr>
              <w:t>⁻</w:t>
            </w:r>
            <w:r w:rsidRPr="00995A55">
              <w:rPr>
                <w:rFonts w:ascii="Aptos" w:hAnsi="Aptos" w:cs="Aptos"/>
                <w:color w:val="000000" w:themeColor="text1"/>
                <w:sz w:val="24"/>
                <w:szCs w:val="24"/>
                <w:lang w:val="en-GB"/>
              </w:rPr>
              <w:t>¹·</w:t>
            </w:r>
            <w:r w:rsidRPr="00995A55">
              <w:rPr>
                <w:rFonts w:ascii="Aptos" w:hAnsi="Aptos" w:cstheme="majorHAnsi"/>
                <w:color w:val="000000" w:themeColor="text1"/>
                <w:sz w:val="24"/>
                <w:szCs w:val="24"/>
                <w:lang w:val="en-GB"/>
              </w:rPr>
              <w:t>min</w:t>
            </w:r>
            <w:r w:rsidRPr="00995A55">
              <w:rPr>
                <w:rFonts w:ascii="Cambria Math" w:hAnsi="Cambria Math" w:cs="Cambria Math"/>
                <w:color w:val="000000" w:themeColor="text1"/>
                <w:sz w:val="24"/>
                <w:szCs w:val="24"/>
                <w:lang w:val="en-GB"/>
              </w:rPr>
              <w:t>⁻</w:t>
            </w:r>
            <w:r w:rsidRPr="00995A55">
              <w:rPr>
                <w:rFonts w:ascii="Aptos" w:hAnsi="Aptos" w:cs="Aptos"/>
                <w:color w:val="000000" w:themeColor="text1"/>
                <w:sz w:val="24"/>
                <w:szCs w:val="24"/>
                <w:lang w:val="en-GB"/>
              </w:rPr>
              <w:t>¹</w:t>
            </w:r>
            <w:r w:rsidRPr="00995A55">
              <w:rPr>
                <w:rFonts w:ascii="Aptos" w:hAnsi="Aptos" w:cstheme="majorHAnsi"/>
                <w:color w:val="000000" w:themeColor="text1"/>
                <w:sz w:val="24"/>
                <w:szCs w:val="24"/>
                <w:lang w:val="en-GB"/>
              </w:rPr>
              <w:t>)</w:t>
            </w:r>
          </w:p>
        </w:tc>
        <w:tc>
          <w:tcPr>
            <w:tcW w:w="0" w:type="auto"/>
            <w:vAlign w:val="center"/>
            <w:hideMark/>
          </w:tcPr>
          <w:p w14:paraId="7289F746"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40.43 ± 6.99</w:t>
            </w:r>
          </w:p>
        </w:tc>
        <w:tc>
          <w:tcPr>
            <w:tcW w:w="0" w:type="auto"/>
            <w:vAlign w:val="center"/>
            <w:hideMark/>
          </w:tcPr>
          <w:p w14:paraId="31E025E7"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10</w:t>
            </w:r>
          </w:p>
        </w:tc>
      </w:tr>
      <w:tr w:rsidR="00995A55" w:rsidRPr="00995A55" w14:paraId="2666DBE4" w14:textId="77777777" w:rsidTr="00995A55">
        <w:trPr>
          <w:trHeight w:val="554"/>
          <w:tblCellSpacing w:w="15" w:type="dxa"/>
        </w:trPr>
        <w:tc>
          <w:tcPr>
            <w:tcW w:w="0" w:type="auto"/>
            <w:vAlign w:val="center"/>
            <w:hideMark/>
          </w:tcPr>
          <w:p w14:paraId="42CE1546"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 xml:space="preserve">Power at </w:t>
            </w:r>
            <w:proofErr w:type="spellStart"/>
            <w:r w:rsidRPr="00995A55">
              <w:rPr>
                <w:rFonts w:ascii="Aptos" w:hAnsi="Aptos" w:cstheme="majorHAnsi"/>
                <w:color w:val="000000" w:themeColor="text1"/>
                <w:sz w:val="24"/>
                <w:szCs w:val="24"/>
                <w:lang w:val="en-GB"/>
              </w:rPr>
              <w:t>VO₂max</w:t>
            </w:r>
            <w:proofErr w:type="spellEnd"/>
            <w:r w:rsidRPr="00995A55">
              <w:rPr>
                <w:rFonts w:ascii="Aptos" w:hAnsi="Aptos" w:cstheme="majorHAnsi"/>
                <w:color w:val="000000" w:themeColor="text1"/>
                <w:sz w:val="24"/>
                <w:szCs w:val="24"/>
                <w:lang w:val="en-GB"/>
              </w:rPr>
              <w:t xml:space="preserve"> (W)</w:t>
            </w:r>
          </w:p>
        </w:tc>
        <w:tc>
          <w:tcPr>
            <w:tcW w:w="0" w:type="auto"/>
            <w:vAlign w:val="center"/>
            <w:hideMark/>
          </w:tcPr>
          <w:p w14:paraId="7712FDF6"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271.92 ± 76.96</w:t>
            </w:r>
          </w:p>
        </w:tc>
        <w:tc>
          <w:tcPr>
            <w:tcW w:w="0" w:type="auto"/>
            <w:vAlign w:val="center"/>
            <w:hideMark/>
          </w:tcPr>
          <w:p w14:paraId="2EA5B6E9"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13</w:t>
            </w:r>
          </w:p>
        </w:tc>
      </w:tr>
      <w:tr w:rsidR="00995A55" w:rsidRPr="00995A55" w14:paraId="45A91176" w14:textId="77777777" w:rsidTr="00995A55">
        <w:trPr>
          <w:trHeight w:val="543"/>
          <w:tblCellSpacing w:w="15" w:type="dxa"/>
        </w:trPr>
        <w:tc>
          <w:tcPr>
            <w:tcW w:w="0" w:type="auto"/>
            <w:vAlign w:val="center"/>
            <w:hideMark/>
          </w:tcPr>
          <w:p w14:paraId="530E8C19" w14:textId="77777777" w:rsidR="00995A55" w:rsidRPr="00995A55" w:rsidRDefault="00995A55" w:rsidP="00995A55">
            <w:pPr>
              <w:rPr>
                <w:rFonts w:ascii="Aptos" w:hAnsi="Aptos" w:cstheme="majorHAnsi"/>
                <w:color w:val="000000" w:themeColor="text1"/>
                <w:sz w:val="24"/>
                <w:szCs w:val="24"/>
                <w:lang w:val="en-GB"/>
              </w:rPr>
            </w:pPr>
            <w:proofErr w:type="spellStart"/>
            <w:r w:rsidRPr="00995A55">
              <w:rPr>
                <w:rFonts w:ascii="Aptos" w:hAnsi="Aptos" w:cstheme="majorHAnsi"/>
                <w:color w:val="000000" w:themeColor="text1"/>
                <w:sz w:val="24"/>
                <w:szCs w:val="24"/>
                <w:lang w:val="en-GB"/>
              </w:rPr>
              <w:t>RERmax</w:t>
            </w:r>
            <w:proofErr w:type="spellEnd"/>
          </w:p>
        </w:tc>
        <w:tc>
          <w:tcPr>
            <w:tcW w:w="0" w:type="auto"/>
            <w:vAlign w:val="center"/>
            <w:hideMark/>
          </w:tcPr>
          <w:p w14:paraId="702185DA"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1.16 ± 0.08</w:t>
            </w:r>
          </w:p>
        </w:tc>
        <w:tc>
          <w:tcPr>
            <w:tcW w:w="0" w:type="auto"/>
            <w:vAlign w:val="center"/>
            <w:hideMark/>
          </w:tcPr>
          <w:p w14:paraId="5118F62E"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12</w:t>
            </w:r>
          </w:p>
        </w:tc>
      </w:tr>
      <w:tr w:rsidR="00995A55" w:rsidRPr="00995A55" w14:paraId="4504ED34" w14:textId="77777777" w:rsidTr="00995A55">
        <w:trPr>
          <w:trHeight w:val="554"/>
          <w:tblCellSpacing w:w="15" w:type="dxa"/>
        </w:trPr>
        <w:tc>
          <w:tcPr>
            <w:tcW w:w="0" w:type="auto"/>
            <w:vAlign w:val="center"/>
            <w:hideMark/>
          </w:tcPr>
          <w:p w14:paraId="020FB20A"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Peak Heart Rate (bpm)</w:t>
            </w:r>
          </w:p>
        </w:tc>
        <w:tc>
          <w:tcPr>
            <w:tcW w:w="0" w:type="auto"/>
            <w:vAlign w:val="center"/>
            <w:hideMark/>
          </w:tcPr>
          <w:p w14:paraId="2F2DD8C4"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184.08 ± 17.71</w:t>
            </w:r>
          </w:p>
        </w:tc>
        <w:tc>
          <w:tcPr>
            <w:tcW w:w="0" w:type="auto"/>
            <w:vAlign w:val="center"/>
            <w:hideMark/>
          </w:tcPr>
          <w:p w14:paraId="0CE1945A" w14:textId="77777777" w:rsidR="00995A55" w:rsidRPr="00995A55" w:rsidRDefault="00995A55" w:rsidP="00995A55">
            <w:pPr>
              <w:rPr>
                <w:rFonts w:ascii="Aptos" w:hAnsi="Aptos" w:cstheme="majorHAnsi"/>
                <w:color w:val="000000" w:themeColor="text1"/>
                <w:sz w:val="24"/>
                <w:szCs w:val="24"/>
                <w:lang w:val="en-GB"/>
              </w:rPr>
            </w:pPr>
            <w:r w:rsidRPr="00995A55">
              <w:rPr>
                <w:rFonts w:ascii="Aptos" w:hAnsi="Aptos" w:cstheme="majorHAnsi"/>
                <w:color w:val="000000" w:themeColor="text1"/>
                <w:sz w:val="24"/>
                <w:szCs w:val="24"/>
                <w:lang w:val="en-GB"/>
              </w:rPr>
              <w:t>13</w:t>
            </w:r>
          </w:p>
        </w:tc>
      </w:tr>
    </w:tbl>
    <w:p w14:paraId="63453549" w14:textId="77777777" w:rsidR="00543CA5" w:rsidRDefault="00543CA5" w:rsidP="00EC620F">
      <w:pPr>
        <w:rPr>
          <w:rFonts w:ascii="Aptos" w:hAnsi="Aptos" w:cstheme="majorHAnsi"/>
          <w:color w:val="000000" w:themeColor="text1"/>
          <w:sz w:val="24"/>
          <w:szCs w:val="24"/>
        </w:rPr>
      </w:pPr>
    </w:p>
    <w:p w14:paraId="3DC0971D" w14:textId="77777777" w:rsidR="00072FB1" w:rsidRDefault="00072FB1" w:rsidP="000F0D3B">
      <w:pPr>
        <w:rPr>
          <w:rFonts w:ascii="Aptos" w:hAnsi="Aptos" w:cstheme="majorHAnsi"/>
          <w:color w:val="000000" w:themeColor="text1"/>
          <w:sz w:val="24"/>
          <w:szCs w:val="24"/>
        </w:rPr>
      </w:pPr>
    </w:p>
    <w:p w14:paraId="0BD59BDD" w14:textId="6001BD1B" w:rsidR="000F0D3B" w:rsidRDefault="0022218A" w:rsidP="000F0D3B">
      <w:pPr>
        <w:rPr>
          <w:rFonts w:ascii="Aptos" w:hAnsi="Aptos" w:cstheme="majorHAnsi"/>
          <w:color w:val="000000" w:themeColor="text1"/>
          <w:sz w:val="24"/>
          <w:szCs w:val="24"/>
        </w:rPr>
      </w:pPr>
      <w:r w:rsidRPr="008353A1">
        <w:rPr>
          <w:rFonts w:ascii="Aptos" w:hAnsi="Aptos" w:cstheme="majorHAnsi"/>
          <w:color w:val="000000" w:themeColor="text1"/>
          <w:sz w:val="24"/>
          <w:szCs w:val="24"/>
        </w:rPr>
        <w:t>Table 4. Correlations for aerobic performance</w:t>
      </w:r>
    </w:p>
    <w:tbl>
      <w:tblPr>
        <w:tblW w:w="8988" w:type="dxa"/>
        <w:tblCellSpacing w:w="15" w:type="dxa"/>
        <w:tblCellMar>
          <w:top w:w="15" w:type="dxa"/>
          <w:left w:w="15" w:type="dxa"/>
          <w:bottom w:w="15" w:type="dxa"/>
          <w:right w:w="15" w:type="dxa"/>
        </w:tblCellMar>
        <w:tblLook w:val="04A0" w:firstRow="1" w:lastRow="0" w:firstColumn="1" w:lastColumn="0" w:noHBand="0" w:noVBand="1"/>
      </w:tblPr>
      <w:tblGrid>
        <w:gridCol w:w="6292"/>
        <w:gridCol w:w="997"/>
        <w:gridCol w:w="484"/>
        <w:gridCol w:w="1215"/>
      </w:tblGrid>
      <w:tr w:rsidR="002A3F03" w:rsidRPr="002A3F03" w14:paraId="65C26AE0" w14:textId="77777777" w:rsidTr="002A3F03">
        <w:trPr>
          <w:trHeight w:val="546"/>
          <w:tblHeader/>
          <w:tblCellSpacing w:w="15" w:type="dxa"/>
        </w:trPr>
        <w:tc>
          <w:tcPr>
            <w:tcW w:w="0" w:type="auto"/>
            <w:tcBorders>
              <w:bottom w:val="single" w:sz="4" w:space="0" w:color="auto"/>
            </w:tcBorders>
            <w:vAlign w:val="center"/>
            <w:hideMark/>
          </w:tcPr>
          <w:p w14:paraId="1050AA88" w14:textId="77777777" w:rsidR="002A3F03" w:rsidRPr="002A3F03" w:rsidRDefault="002A3F03" w:rsidP="002A3F03">
            <w:pPr>
              <w:rPr>
                <w:rFonts w:ascii="Aptos" w:hAnsi="Aptos" w:cstheme="majorHAnsi"/>
                <w:b/>
                <w:bCs/>
                <w:color w:val="000000" w:themeColor="text1"/>
                <w:sz w:val="24"/>
                <w:szCs w:val="24"/>
                <w:lang w:val="en-GB"/>
              </w:rPr>
            </w:pPr>
            <w:r w:rsidRPr="002A3F03">
              <w:rPr>
                <w:rFonts w:ascii="Aptos" w:hAnsi="Aptos" w:cstheme="majorHAnsi"/>
                <w:b/>
                <w:bCs/>
                <w:color w:val="000000" w:themeColor="text1"/>
                <w:sz w:val="24"/>
                <w:szCs w:val="24"/>
                <w:lang w:val="en-GB"/>
              </w:rPr>
              <w:t>Comparison</w:t>
            </w:r>
          </w:p>
        </w:tc>
        <w:tc>
          <w:tcPr>
            <w:tcW w:w="0" w:type="auto"/>
            <w:tcBorders>
              <w:bottom w:val="single" w:sz="4" w:space="0" w:color="auto"/>
            </w:tcBorders>
            <w:vAlign w:val="center"/>
            <w:hideMark/>
          </w:tcPr>
          <w:p w14:paraId="01AAD324" w14:textId="77777777" w:rsidR="002A3F03" w:rsidRPr="002A3F03" w:rsidRDefault="002A3F03" w:rsidP="002A3F03">
            <w:pPr>
              <w:rPr>
                <w:rFonts w:ascii="Aptos" w:hAnsi="Aptos" w:cstheme="majorHAnsi"/>
                <w:b/>
                <w:bCs/>
                <w:color w:val="000000" w:themeColor="text1"/>
                <w:sz w:val="24"/>
                <w:szCs w:val="24"/>
                <w:lang w:val="en-GB"/>
              </w:rPr>
            </w:pPr>
            <w:r w:rsidRPr="002A3F03">
              <w:rPr>
                <w:rFonts w:ascii="Aptos" w:hAnsi="Aptos" w:cstheme="majorHAnsi"/>
                <w:b/>
                <w:bCs/>
                <w:color w:val="000000" w:themeColor="text1"/>
                <w:sz w:val="24"/>
                <w:szCs w:val="24"/>
                <w:lang w:val="en-GB"/>
              </w:rPr>
              <w:t>r</w:t>
            </w:r>
          </w:p>
        </w:tc>
        <w:tc>
          <w:tcPr>
            <w:tcW w:w="0" w:type="auto"/>
            <w:tcBorders>
              <w:bottom w:val="single" w:sz="4" w:space="0" w:color="auto"/>
            </w:tcBorders>
            <w:vAlign w:val="center"/>
            <w:hideMark/>
          </w:tcPr>
          <w:p w14:paraId="1172B43E" w14:textId="77777777" w:rsidR="002A3F03" w:rsidRPr="002A3F03" w:rsidRDefault="002A3F03" w:rsidP="002A3F03">
            <w:pPr>
              <w:rPr>
                <w:rFonts w:ascii="Aptos" w:hAnsi="Aptos" w:cstheme="majorHAnsi"/>
                <w:b/>
                <w:bCs/>
                <w:color w:val="000000" w:themeColor="text1"/>
                <w:sz w:val="24"/>
                <w:szCs w:val="24"/>
                <w:lang w:val="en-GB"/>
              </w:rPr>
            </w:pPr>
            <w:r w:rsidRPr="002A3F03">
              <w:rPr>
                <w:rFonts w:ascii="Aptos" w:hAnsi="Aptos" w:cstheme="majorHAnsi"/>
                <w:b/>
                <w:bCs/>
                <w:color w:val="000000" w:themeColor="text1"/>
                <w:sz w:val="24"/>
                <w:szCs w:val="24"/>
                <w:lang w:val="en-GB"/>
              </w:rPr>
              <w:t>N</w:t>
            </w:r>
          </w:p>
        </w:tc>
        <w:tc>
          <w:tcPr>
            <w:tcW w:w="0" w:type="auto"/>
            <w:tcBorders>
              <w:bottom w:val="single" w:sz="4" w:space="0" w:color="auto"/>
            </w:tcBorders>
            <w:vAlign w:val="center"/>
            <w:hideMark/>
          </w:tcPr>
          <w:p w14:paraId="78796FC9" w14:textId="77777777" w:rsidR="002A3F03" w:rsidRPr="002A3F03" w:rsidRDefault="002A3F03" w:rsidP="002A3F03">
            <w:pPr>
              <w:rPr>
                <w:rFonts w:ascii="Aptos" w:hAnsi="Aptos" w:cstheme="majorHAnsi"/>
                <w:b/>
                <w:bCs/>
                <w:color w:val="000000" w:themeColor="text1"/>
                <w:sz w:val="24"/>
                <w:szCs w:val="24"/>
                <w:lang w:val="en-GB"/>
              </w:rPr>
            </w:pPr>
            <w:r w:rsidRPr="002A3F03">
              <w:rPr>
                <w:rFonts w:ascii="Aptos" w:hAnsi="Aptos" w:cstheme="majorHAnsi"/>
                <w:b/>
                <w:bCs/>
                <w:color w:val="000000" w:themeColor="text1"/>
                <w:sz w:val="24"/>
                <w:szCs w:val="24"/>
                <w:lang w:val="en-GB"/>
              </w:rPr>
              <w:t>p</w:t>
            </w:r>
          </w:p>
        </w:tc>
      </w:tr>
      <w:tr w:rsidR="002A3F03" w:rsidRPr="002A3F03" w14:paraId="497ACA50" w14:textId="77777777" w:rsidTr="002A3F03">
        <w:trPr>
          <w:trHeight w:val="556"/>
          <w:tblCellSpacing w:w="15" w:type="dxa"/>
        </w:trPr>
        <w:tc>
          <w:tcPr>
            <w:tcW w:w="0" w:type="auto"/>
            <w:vAlign w:val="center"/>
            <w:hideMark/>
          </w:tcPr>
          <w:p w14:paraId="6E8B1320"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 xml:space="preserve">Relative </w:t>
            </w:r>
            <w:proofErr w:type="spellStart"/>
            <w:r w:rsidRPr="002A3F03">
              <w:rPr>
                <w:rFonts w:ascii="Aptos" w:hAnsi="Aptos" w:cstheme="majorHAnsi"/>
                <w:color w:val="000000" w:themeColor="text1"/>
                <w:sz w:val="24"/>
                <w:szCs w:val="24"/>
                <w:lang w:val="en-GB"/>
              </w:rPr>
              <w:t>VO₂max</w:t>
            </w:r>
            <w:proofErr w:type="spellEnd"/>
            <w:r w:rsidRPr="002A3F03">
              <w:rPr>
                <w:rFonts w:ascii="Aptos" w:hAnsi="Aptos" w:cstheme="majorHAnsi"/>
                <w:color w:val="000000" w:themeColor="text1"/>
                <w:sz w:val="24"/>
                <w:szCs w:val="24"/>
                <w:lang w:val="en-GB"/>
              </w:rPr>
              <w:t xml:space="preserve"> vs Absolute </w:t>
            </w:r>
            <w:proofErr w:type="spellStart"/>
            <w:r w:rsidRPr="002A3F03">
              <w:rPr>
                <w:rFonts w:ascii="Aptos" w:hAnsi="Aptos" w:cstheme="majorHAnsi"/>
                <w:color w:val="000000" w:themeColor="text1"/>
                <w:sz w:val="24"/>
                <w:szCs w:val="24"/>
                <w:lang w:val="en-GB"/>
              </w:rPr>
              <w:t>VO₂max</w:t>
            </w:r>
            <w:proofErr w:type="spellEnd"/>
          </w:p>
        </w:tc>
        <w:tc>
          <w:tcPr>
            <w:tcW w:w="0" w:type="auto"/>
            <w:vAlign w:val="center"/>
            <w:hideMark/>
          </w:tcPr>
          <w:p w14:paraId="6869A736"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0.749</w:t>
            </w:r>
          </w:p>
        </w:tc>
        <w:tc>
          <w:tcPr>
            <w:tcW w:w="0" w:type="auto"/>
            <w:vAlign w:val="center"/>
            <w:hideMark/>
          </w:tcPr>
          <w:p w14:paraId="3840B4BC"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10</w:t>
            </w:r>
          </w:p>
        </w:tc>
        <w:tc>
          <w:tcPr>
            <w:tcW w:w="0" w:type="auto"/>
            <w:vAlign w:val="center"/>
            <w:hideMark/>
          </w:tcPr>
          <w:p w14:paraId="25625C47"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0.013</w:t>
            </w:r>
          </w:p>
        </w:tc>
      </w:tr>
      <w:tr w:rsidR="002A3F03" w:rsidRPr="002A3F03" w14:paraId="5EDBF916" w14:textId="77777777" w:rsidTr="002A3F03">
        <w:trPr>
          <w:trHeight w:val="556"/>
          <w:tblCellSpacing w:w="15" w:type="dxa"/>
        </w:trPr>
        <w:tc>
          <w:tcPr>
            <w:tcW w:w="0" w:type="auto"/>
            <w:vAlign w:val="center"/>
            <w:hideMark/>
          </w:tcPr>
          <w:p w14:paraId="06B03396"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lastRenderedPageBreak/>
              <w:t xml:space="preserve">Relative </w:t>
            </w:r>
            <w:proofErr w:type="spellStart"/>
            <w:r w:rsidRPr="002A3F03">
              <w:rPr>
                <w:rFonts w:ascii="Aptos" w:hAnsi="Aptos" w:cstheme="majorHAnsi"/>
                <w:color w:val="000000" w:themeColor="text1"/>
                <w:sz w:val="24"/>
                <w:szCs w:val="24"/>
                <w:lang w:val="en-GB"/>
              </w:rPr>
              <w:t>VO₂max</w:t>
            </w:r>
            <w:proofErr w:type="spellEnd"/>
            <w:r w:rsidRPr="002A3F03">
              <w:rPr>
                <w:rFonts w:ascii="Aptos" w:hAnsi="Aptos" w:cstheme="majorHAnsi"/>
                <w:color w:val="000000" w:themeColor="text1"/>
                <w:sz w:val="24"/>
                <w:szCs w:val="24"/>
                <w:lang w:val="en-GB"/>
              </w:rPr>
              <w:t xml:space="preserve"> vs Power at </w:t>
            </w:r>
            <w:proofErr w:type="spellStart"/>
            <w:r w:rsidRPr="002A3F03">
              <w:rPr>
                <w:rFonts w:ascii="Aptos" w:hAnsi="Aptos" w:cstheme="majorHAnsi"/>
                <w:color w:val="000000" w:themeColor="text1"/>
                <w:sz w:val="24"/>
                <w:szCs w:val="24"/>
                <w:lang w:val="en-GB"/>
              </w:rPr>
              <w:t>VO₂max</w:t>
            </w:r>
            <w:proofErr w:type="spellEnd"/>
          </w:p>
        </w:tc>
        <w:tc>
          <w:tcPr>
            <w:tcW w:w="0" w:type="auto"/>
            <w:vAlign w:val="center"/>
            <w:hideMark/>
          </w:tcPr>
          <w:p w14:paraId="30B7B0C6"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0.743</w:t>
            </w:r>
          </w:p>
        </w:tc>
        <w:tc>
          <w:tcPr>
            <w:tcW w:w="0" w:type="auto"/>
            <w:vAlign w:val="center"/>
            <w:hideMark/>
          </w:tcPr>
          <w:p w14:paraId="12056703"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10</w:t>
            </w:r>
          </w:p>
        </w:tc>
        <w:tc>
          <w:tcPr>
            <w:tcW w:w="0" w:type="auto"/>
            <w:vAlign w:val="center"/>
            <w:hideMark/>
          </w:tcPr>
          <w:p w14:paraId="744D91B6"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0.014</w:t>
            </w:r>
          </w:p>
        </w:tc>
      </w:tr>
      <w:tr w:rsidR="002A3F03" w:rsidRPr="002A3F03" w14:paraId="302AA6B8" w14:textId="77777777" w:rsidTr="002A3F03">
        <w:trPr>
          <w:trHeight w:val="546"/>
          <w:tblCellSpacing w:w="15" w:type="dxa"/>
        </w:trPr>
        <w:tc>
          <w:tcPr>
            <w:tcW w:w="0" w:type="auto"/>
            <w:vAlign w:val="center"/>
            <w:hideMark/>
          </w:tcPr>
          <w:p w14:paraId="37EFB881"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 xml:space="preserve">Absolute </w:t>
            </w:r>
            <w:proofErr w:type="spellStart"/>
            <w:r w:rsidRPr="002A3F03">
              <w:rPr>
                <w:rFonts w:ascii="Aptos" w:hAnsi="Aptos" w:cstheme="majorHAnsi"/>
                <w:color w:val="000000" w:themeColor="text1"/>
                <w:sz w:val="24"/>
                <w:szCs w:val="24"/>
                <w:lang w:val="en-GB"/>
              </w:rPr>
              <w:t>VO₂max</w:t>
            </w:r>
            <w:proofErr w:type="spellEnd"/>
            <w:r w:rsidRPr="002A3F03">
              <w:rPr>
                <w:rFonts w:ascii="Aptos" w:hAnsi="Aptos" w:cstheme="majorHAnsi"/>
                <w:color w:val="000000" w:themeColor="text1"/>
                <w:sz w:val="24"/>
                <w:szCs w:val="24"/>
                <w:lang w:val="en-GB"/>
              </w:rPr>
              <w:t xml:space="preserve"> vs Power at </w:t>
            </w:r>
            <w:proofErr w:type="spellStart"/>
            <w:r w:rsidRPr="002A3F03">
              <w:rPr>
                <w:rFonts w:ascii="Aptos" w:hAnsi="Aptos" w:cstheme="majorHAnsi"/>
                <w:color w:val="000000" w:themeColor="text1"/>
                <w:sz w:val="24"/>
                <w:szCs w:val="24"/>
                <w:lang w:val="en-GB"/>
              </w:rPr>
              <w:t>VO₂max</w:t>
            </w:r>
            <w:proofErr w:type="spellEnd"/>
          </w:p>
        </w:tc>
        <w:tc>
          <w:tcPr>
            <w:tcW w:w="0" w:type="auto"/>
            <w:vAlign w:val="center"/>
            <w:hideMark/>
          </w:tcPr>
          <w:p w14:paraId="0285FBD7"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0.959</w:t>
            </w:r>
          </w:p>
        </w:tc>
        <w:tc>
          <w:tcPr>
            <w:tcW w:w="0" w:type="auto"/>
            <w:vAlign w:val="center"/>
            <w:hideMark/>
          </w:tcPr>
          <w:p w14:paraId="691B2BD0"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11</w:t>
            </w:r>
          </w:p>
        </w:tc>
        <w:tc>
          <w:tcPr>
            <w:tcW w:w="0" w:type="auto"/>
            <w:vAlign w:val="center"/>
            <w:hideMark/>
          </w:tcPr>
          <w:p w14:paraId="526CBA0F"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&lt;0.001</w:t>
            </w:r>
          </w:p>
        </w:tc>
      </w:tr>
      <w:tr w:rsidR="002A3F03" w:rsidRPr="002A3F03" w14:paraId="4094EF5F" w14:textId="77777777" w:rsidTr="002A3F03">
        <w:trPr>
          <w:trHeight w:val="546"/>
          <w:tblCellSpacing w:w="15" w:type="dxa"/>
        </w:trPr>
        <w:tc>
          <w:tcPr>
            <w:tcW w:w="0" w:type="auto"/>
            <w:vAlign w:val="center"/>
            <w:hideMark/>
          </w:tcPr>
          <w:p w14:paraId="6F4AAF71"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 xml:space="preserve">Relative </w:t>
            </w:r>
            <w:proofErr w:type="spellStart"/>
            <w:r w:rsidRPr="002A3F03">
              <w:rPr>
                <w:rFonts w:ascii="Aptos" w:hAnsi="Aptos" w:cstheme="majorHAnsi"/>
                <w:color w:val="000000" w:themeColor="text1"/>
                <w:sz w:val="24"/>
                <w:szCs w:val="24"/>
                <w:lang w:val="en-GB"/>
              </w:rPr>
              <w:t>VO₂max</w:t>
            </w:r>
            <w:proofErr w:type="spellEnd"/>
            <w:r w:rsidRPr="002A3F03">
              <w:rPr>
                <w:rFonts w:ascii="Aptos" w:hAnsi="Aptos" w:cstheme="majorHAnsi"/>
                <w:color w:val="000000" w:themeColor="text1"/>
                <w:sz w:val="24"/>
                <w:szCs w:val="24"/>
                <w:lang w:val="en-GB"/>
              </w:rPr>
              <w:t xml:space="preserve"> vs RER</w:t>
            </w:r>
          </w:p>
        </w:tc>
        <w:tc>
          <w:tcPr>
            <w:tcW w:w="0" w:type="auto"/>
            <w:vAlign w:val="center"/>
            <w:hideMark/>
          </w:tcPr>
          <w:p w14:paraId="1F3970A6"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0.651</w:t>
            </w:r>
          </w:p>
        </w:tc>
        <w:tc>
          <w:tcPr>
            <w:tcW w:w="0" w:type="auto"/>
            <w:vAlign w:val="center"/>
            <w:hideMark/>
          </w:tcPr>
          <w:p w14:paraId="79A347AC"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10</w:t>
            </w:r>
          </w:p>
        </w:tc>
        <w:tc>
          <w:tcPr>
            <w:tcW w:w="0" w:type="auto"/>
            <w:vAlign w:val="center"/>
            <w:hideMark/>
          </w:tcPr>
          <w:p w14:paraId="08019A9B" w14:textId="77777777" w:rsidR="002A3F03" w:rsidRPr="002A3F03" w:rsidRDefault="002A3F03" w:rsidP="002A3F03">
            <w:pPr>
              <w:rPr>
                <w:rFonts w:ascii="Aptos" w:hAnsi="Aptos" w:cstheme="majorHAnsi"/>
                <w:color w:val="000000" w:themeColor="text1"/>
                <w:sz w:val="24"/>
                <w:szCs w:val="24"/>
                <w:lang w:val="en-GB"/>
              </w:rPr>
            </w:pPr>
            <w:r w:rsidRPr="002A3F03">
              <w:rPr>
                <w:rFonts w:ascii="Aptos" w:hAnsi="Aptos" w:cstheme="majorHAnsi"/>
                <w:color w:val="000000" w:themeColor="text1"/>
                <w:sz w:val="24"/>
                <w:szCs w:val="24"/>
                <w:lang w:val="en-GB"/>
              </w:rPr>
              <w:t>0.042</w:t>
            </w:r>
          </w:p>
        </w:tc>
      </w:tr>
    </w:tbl>
    <w:p w14:paraId="012DED0F" w14:textId="77777777" w:rsidR="007B1A4C" w:rsidRPr="000F0D3B" w:rsidRDefault="007B1A4C" w:rsidP="000F0D3B">
      <w:pPr>
        <w:rPr>
          <w:rFonts w:ascii="Aptos" w:hAnsi="Aptos" w:cstheme="majorHAnsi"/>
          <w:color w:val="000000" w:themeColor="text1"/>
          <w:sz w:val="24"/>
          <w:szCs w:val="24"/>
        </w:rPr>
      </w:pPr>
    </w:p>
    <w:p w14:paraId="337DF7F2" w14:textId="6613FBBC" w:rsidR="005B3691" w:rsidRPr="008353A1" w:rsidRDefault="0022218A">
      <w:pPr>
        <w:rPr>
          <w:rFonts w:ascii="Aptos" w:hAnsi="Aptos" w:cstheme="majorHAnsi"/>
          <w:color w:val="000000" w:themeColor="text1"/>
          <w:sz w:val="24"/>
          <w:szCs w:val="24"/>
        </w:rPr>
      </w:pPr>
      <w:r w:rsidRPr="008353A1">
        <w:rPr>
          <w:rFonts w:ascii="Aptos" w:hAnsi="Aptos" w:cstheme="majorHAnsi"/>
          <w:color w:val="000000" w:themeColor="text1"/>
          <w:sz w:val="24"/>
          <w:szCs w:val="24"/>
        </w:rPr>
        <w:t xml:space="preserve">Figure 2. Relationship between relative </w:t>
      </w:r>
      <w:proofErr w:type="spellStart"/>
      <w:r w:rsidRPr="008353A1">
        <w:rPr>
          <w:rFonts w:ascii="Aptos" w:hAnsi="Aptos" w:cstheme="majorHAnsi"/>
          <w:color w:val="000000" w:themeColor="text1"/>
          <w:sz w:val="24"/>
          <w:szCs w:val="24"/>
        </w:rPr>
        <w:t>VO₂max</w:t>
      </w:r>
      <w:proofErr w:type="spellEnd"/>
      <w:r w:rsidRPr="008353A1">
        <w:rPr>
          <w:rFonts w:ascii="Aptos" w:hAnsi="Aptos" w:cstheme="majorHAnsi"/>
          <w:color w:val="000000" w:themeColor="text1"/>
          <w:sz w:val="24"/>
          <w:szCs w:val="24"/>
        </w:rPr>
        <w:t xml:space="preserve"> and power at </w:t>
      </w:r>
      <w:proofErr w:type="spellStart"/>
      <w:r w:rsidRPr="008353A1">
        <w:rPr>
          <w:rFonts w:ascii="Aptos" w:hAnsi="Aptos" w:cstheme="majorHAnsi"/>
          <w:color w:val="000000" w:themeColor="text1"/>
          <w:sz w:val="24"/>
          <w:szCs w:val="24"/>
        </w:rPr>
        <w:t>VO₂max</w:t>
      </w:r>
      <w:proofErr w:type="spellEnd"/>
      <w:r w:rsidRPr="008353A1">
        <w:rPr>
          <w:rFonts w:ascii="Aptos" w:hAnsi="Aptos" w:cstheme="majorHAnsi"/>
          <w:color w:val="000000" w:themeColor="text1"/>
          <w:sz w:val="24"/>
          <w:szCs w:val="24"/>
        </w:rPr>
        <w:t xml:space="preserve"> </w:t>
      </w:r>
      <w:r w:rsidR="00510D5C" w:rsidRPr="00510D5C">
        <w:rPr>
          <w:rFonts w:ascii="Aptos" w:hAnsi="Aptos" w:cstheme="majorHAnsi"/>
          <w:noProof/>
          <w:color w:val="000000" w:themeColor="text1"/>
          <w:sz w:val="24"/>
          <w:szCs w:val="24"/>
        </w:rPr>
        <w:drawing>
          <wp:inline distT="0" distB="0" distL="0" distR="0" wp14:anchorId="24669A46" wp14:editId="7D3EBEF2">
            <wp:extent cx="5486400" cy="3235325"/>
            <wp:effectExtent l="0" t="0" r="0" b="3175"/>
            <wp:docPr id="98023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33031" name=""/>
                    <pic:cNvPicPr/>
                  </pic:nvPicPr>
                  <pic:blipFill>
                    <a:blip r:embed="rId9"/>
                    <a:stretch>
                      <a:fillRect/>
                    </a:stretch>
                  </pic:blipFill>
                  <pic:spPr>
                    <a:xfrm>
                      <a:off x="0" y="0"/>
                      <a:ext cx="5486400" cy="3235325"/>
                    </a:xfrm>
                    <a:prstGeom prst="rect">
                      <a:avLst/>
                    </a:prstGeom>
                  </pic:spPr>
                </pic:pic>
              </a:graphicData>
            </a:graphic>
          </wp:inline>
        </w:drawing>
      </w:r>
    </w:p>
    <w:p w14:paraId="61D0B3E0" w14:textId="77777777" w:rsidR="00C83017" w:rsidRDefault="00C83017" w:rsidP="001B4540">
      <w:pPr>
        <w:rPr>
          <w:rFonts w:ascii="Aptos" w:eastAsiaTheme="majorEastAsia" w:hAnsi="Aptos" w:cstheme="majorHAnsi"/>
          <w:b/>
          <w:bCs/>
          <w:color w:val="000000" w:themeColor="text1"/>
          <w:sz w:val="24"/>
          <w:szCs w:val="24"/>
          <w:lang w:val="en-GB"/>
        </w:rPr>
      </w:pPr>
    </w:p>
    <w:p w14:paraId="485F0A92" w14:textId="226D9A99" w:rsidR="001B4540" w:rsidRPr="001B4540" w:rsidRDefault="001B4540" w:rsidP="001B4540">
      <w:pPr>
        <w:rPr>
          <w:rFonts w:ascii="Aptos" w:eastAsiaTheme="majorEastAsia" w:hAnsi="Aptos" w:cstheme="majorHAnsi"/>
          <w:b/>
          <w:bCs/>
          <w:color w:val="000000" w:themeColor="text1"/>
          <w:sz w:val="24"/>
          <w:szCs w:val="24"/>
          <w:lang w:val="en-GB"/>
        </w:rPr>
      </w:pPr>
      <w:r w:rsidRPr="001B4540">
        <w:rPr>
          <w:rFonts w:ascii="Aptos" w:eastAsiaTheme="majorEastAsia" w:hAnsi="Aptos" w:cstheme="majorHAnsi"/>
          <w:b/>
          <w:bCs/>
          <w:color w:val="000000" w:themeColor="text1"/>
          <w:sz w:val="24"/>
          <w:szCs w:val="24"/>
          <w:lang w:val="en-GB"/>
        </w:rPr>
        <w:t>Experiment 3: Neuromuscular Performance</w:t>
      </w:r>
    </w:p>
    <w:p w14:paraId="01256234" w14:textId="77777777"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Method summary, aim and protocol</w:t>
      </w:r>
    </w:p>
    <w:p w14:paraId="1235233C" w14:textId="3F6FE17D"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 xml:space="preserve">This experiment assessed acceleration, explosive power, and maximal strength using 10 m sprint time, CMJ, broad jump, and leg-back dynamometry </w:t>
      </w:r>
      <w:r w:rsidR="004C3451" w:rsidRPr="004C3451">
        <w:rPr>
          <w:rFonts w:ascii="Aptos" w:eastAsiaTheme="majorEastAsia" w:hAnsi="Aptos" w:cstheme="majorHAnsi"/>
          <w:color w:val="000000" w:themeColor="text1"/>
          <w:sz w:val="24"/>
          <w:szCs w:val="24"/>
          <w:lang w:val="en-GB"/>
        </w:rPr>
        <w:t>(Cormie, McGuigan and Newton, 2011; Suchomel, Nimphius and Stone, 2016)</w:t>
      </w:r>
      <w:r w:rsidRPr="001B4540">
        <w:rPr>
          <w:rFonts w:ascii="Aptos" w:eastAsiaTheme="majorEastAsia" w:hAnsi="Aptos" w:cstheme="majorHAnsi"/>
          <w:color w:val="000000" w:themeColor="text1"/>
          <w:sz w:val="24"/>
          <w:szCs w:val="24"/>
          <w:lang w:val="en-GB"/>
        </w:rPr>
        <w:t>. These tests provide field-based indices of force production, rate of force development (RFD), and stretch–shortening cycle efficiency. Participants completed a standardised warm-up prior to maximal trials.</w:t>
      </w:r>
    </w:p>
    <w:p w14:paraId="1B956D12" w14:textId="77777777"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lastRenderedPageBreak/>
        <w:t>Personal role</w:t>
      </w:r>
    </w:p>
    <w:p w14:paraId="4E861A53" w14:textId="21C3FA62"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 xml:space="preserve">I assisted with sprint timing and jump data recording, ensuring start protocol consistency and adequate recovery between trials to optimise reliability </w:t>
      </w:r>
      <w:r w:rsidR="00CE3532" w:rsidRPr="00CE3532">
        <w:rPr>
          <w:rFonts w:ascii="Aptos" w:eastAsiaTheme="majorEastAsia" w:hAnsi="Aptos" w:cstheme="majorHAnsi"/>
          <w:color w:val="000000" w:themeColor="text1"/>
          <w:sz w:val="24"/>
          <w:szCs w:val="24"/>
          <w:lang w:val="en-GB"/>
        </w:rPr>
        <w:t>(McMahon et al., 2017)</w:t>
      </w:r>
      <w:r w:rsidRPr="001B4540">
        <w:rPr>
          <w:rFonts w:ascii="Aptos" w:eastAsiaTheme="majorEastAsia" w:hAnsi="Aptos" w:cstheme="majorHAnsi"/>
          <w:color w:val="000000" w:themeColor="text1"/>
          <w:sz w:val="24"/>
          <w:szCs w:val="24"/>
          <w:lang w:val="en-GB"/>
        </w:rPr>
        <w:t>.</w:t>
      </w:r>
    </w:p>
    <w:p w14:paraId="09ACCEFD" w14:textId="77777777"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Results</w:t>
      </w:r>
    </w:p>
    <w:p w14:paraId="458D8033" w14:textId="77777777"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Descriptive statistics are presented in Table 5. Significant negative correlations were observed between 10 m sprint time and CMJ height (r = −0.848), Keiser peak power (r = −0.733), and leg-back dynamometry (r = −0.746). Keiser peak power and CMJ peak power demonstrated an extremely strong positive association (r = 0.965).</w:t>
      </w:r>
    </w:p>
    <w:p w14:paraId="607BF885" w14:textId="77777777"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Interpretation</w:t>
      </w:r>
    </w:p>
    <w:p w14:paraId="0EF9F7E9" w14:textId="3142B8C2"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 xml:space="preserve">Acceleration performance depends on the capacity to generate high horizontal ground reaction forces within brief contact times </w:t>
      </w:r>
      <w:r w:rsidR="00532176" w:rsidRPr="00532176">
        <w:rPr>
          <w:rFonts w:ascii="Aptos" w:eastAsiaTheme="majorEastAsia" w:hAnsi="Aptos" w:cstheme="majorHAnsi"/>
          <w:color w:val="000000" w:themeColor="text1"/>
          <w:sz w:val="24"/>
          <w:szCs w:val="24"/>
          <w:lang w:val="en-GB"/>
        </w:rPr>
        <w:t>(Suchomel, Nimphius and Stone, 2016)</w:t>
      </w:r>
      <w:r w:rsidRPr="001B4540">
        <w:rPr>
          <w:rFonts w:ascii="Aptos" w:eastAsiaTheme="majorEastAsia" w:hAnsi="Aptos" w:cstheme="majorHAnsi"/>
          <w:color w:val="000000" w:themeColor="text1"/>
          <w:sz w:val="24"/>
          <w:szCs w:val="24"/>
          <w:lang w:val="en-GB"/>
        </w:rPr>
        <w:t>. The strong negative correlations observed indicate that greater maximal strength and explosive power are associated with faster sprint performance.</w:t>
      </w:r>
    </w:p>
    <w:p w14:paraId="26A86735" w14:textId="3C0AC3F0"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 xml:space="preserve">CMJ performance reflects efficient utilisation of the stretch–shortening cycle, where elastic energy storage and neuromuscular potentiation enhance concentric force production </w:t>
      </w:r>
      <w:r w:rsidR="002E0649" w:rsidRPr="002E0649">
        <w:rPr>
          <w:rFonts w:ascii="Aptos" w:eastAsiaTheme="majorEastAsia" w:hAnsi="Aptos" w:cstheme="majorHAnsi"/>
          <w:color w:val="000000" w:themeColor="text1"/>
          <w:sz w:val="24"/>
          <w:szCs w:val="24"/>
          <w:lang w:val="en-GB"/>
        </w:rPr>
        <w:t>(Cormie, McGuigan and Newton, 201</w:t>
      </w:r>
      <w:r w:rsidR="002E0649">
        <w:rPr>
          <w:rFonts w:ascii="Aptos" w:eastAsiaTheme="majorEastAsia" w:hAnsi="Aptos" w:cstheme="majorHAnsi"/>
          <w:color w:val="000000" w:themeColor="text1"/>
          <w:sz w:val="24"/>
          <w:szCs w:val="24"/>
          <w:lang w:val="en-GB"/>
        </w:rPr>
        <w:t>1</w:t>
      </w:r>
      <w:r w:rsidR="002E0649" w:rsidRPr="002E0649">
        <w:rPr>
          <w:rFonts w:ascii="Aptos" w:eastAsiaTheme="majorEastAsia" w:hAnsi="Aptos" w:cstheme="majorHAnsi"/>
          <w:color w:val="000000" w:themeColor="text1"/>
          <w:sz w:val="24"/>
          <w:szCs w:val="24"/>
          <w:lang w:val="en-GB"/>
        </w:rPr>
        <w:t>)</w:t>
      </w:r>
      <w:r w:rsidRPr="001B4540">
        <w:rPr>
          <w:rFonts w:ascii="Aptos" w:eastAsiaTheme="majorEastAsia" w:hAnsi="Aptos" w:cstheme="majorHAnsi"/>
          <w:color w:val="000000" w:themeColor="text1"/>
          <w:sz w:val="24"/>
          <w:szCs w:val="24"/>
          <w:lang w:val="en-GB"/>
        </w:rPr>
        <w:t xml:space="preserve">. However, emerging evidence suggests that horizontal force orientation may be more predictive of sprint acceleration than vertical jump height alone </w:t>
      </w:r>
      <w:r w:rsidR="00A97E68" w:rsidRPr="00A97E68">
        <w:rPr>
          <w:rFonts w:ascii="Aptos" w:eastAsiaTheme="majorEastAsia" w:hAnsi="Aptos" w:cstheme="majorHAnsi"/>
          <w:color w:val="000000" w:themeColor="text1"/>
          <w:sz w:val="24"/>
          <w:szCs w:val="24"/>
          <w:lang w:val="en-GB"/>
        </w:rPr>
        <w:t>(Jiménez-Reyes et al., 2018)</w:t>
      </w:r>
      <w:r w:rsidRPr="001B4540">
        <w:rPr>
          <w:rFonts w:ascii="Aptos" w:eastAsiaTheme="majorEastAsia" w:hAnsi="Aptos" w:cstheme="majorHAnsi"/>
          <w:color w:val="000000" w:themeColor="text1"/>
          <w:sz w:val="24"/>
          <w:szCs w:val="24"/>
          <w:lang w:val="en-GB"/>
        </w:rPr>
        <w:t>. Thus, CMJ height may act as a proxy for general power rather than a direct measure of sprint-specific mechanics.</w:t>
      </w:r>
    </w:p>
    <w:p w14:paraId="258C339F" w14:textId="77777777" w:rsidR="001B4540" w:rsidRP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Reflection, limitations and application</w:t>
      </w:r>
    </w:p>
    <w:p w14:paraId="0EA52CA9" w14:textId="0AAE8849" w:rsidR="001B4540" w:rsidRDefault="001B4540" w:rsidP="001B4540">
      <w:pPr>
        <w:rPr>
          <w:rFonts w:ascii="Aptos" w:eastAsiaTheme="majorEastAsia" w:hAnsi="Aptos" w:cstheme="majorHAnsi"/>
          <w:color w:val="000000" w:themeColor="text1"/>
          <w:sz w:val="24"/>
          <w:szCs w:val="24"/>
          <w:lang w:val="en-GB"/>
        </w:rPr>
      </w:pPr>
      <w:r w:rsidRPr="001B4540">
        <w:rPr>
          <w:rFonts w:ascii="Aptos" w:eastAsiaTheme="majorEastAsia" w:hAnsi="Aptos" w:cstheme="majorHAnsi"/>
          <w:color w:val="000000" w:themeColor="text1"/>
          <w:sz w:val="24"/>
          <w:szCs w:val="24"/>
          <w:lang w:val="en-GB"/>
        </w:rPr>
        <w:t xml:space="preserve">Field-based assessments are practical and ecologically valid but sensitive to measurement error </w:t>
      </w:r>
      <w:r w:rsidR="00FB55DC" w:rsidRPr="00FB55DC">
        <w:rPr>
          <w:rFonts w:ascii="Aptos" w:eastAsiaTheme="majorEastAsia" w:hAnsi="Aptos" w:cstheme="majorHAnsi"/>
          <w:color w:val="000000" w:themeColor="text1"/>
          <w:sz w:val="24"/>
          <w:szCs w:val="24"/>
          <w:lang w:val="en-GB"/>
        </w:rPr>
        <w:t>(Atkinson and Nevill, 1998; Marković et al., 2004)</w:t>
      </w:r>
      <w:r w:rsidRPr="001B4540">
        <w:rPr>
          <w:rFonts w:ascii="Aptos" w:eastAsiaTheme="majorEastAsia" w:hAnsi="Aptos" w:cstheme="majorHAnsi"/>
          <w:color w:val="000000" w:themeColor="text1"/>
          <w:sz w:val="24"/>
          <w:szCs w:val="24"/>
          <w:lang w:val="en-GB"/>
        </w:rPr>
        <w:t>. Sprint timing reliability depends on consistent start procedures, and CMJ performance may vary with technique. Despite these limitations, these tests provide meaningful insight into neuromuscular capacity and are widely used to guide strength and power training interventions.</w:t>
      </w:r>
    </w:p>
    <w:p w14:paraId="5327E097" w14:textId="77777777" w:rsidR="00A62CF9" w:rsidRPr="001B4540" w:rsidRDefault="00A62CF9" w:rsidP="001B4540">
      <w:pPr>
        <w:rPr>
          <w:rFonts w:ascii="Aptos" w:eastAsiaTheme="majorEastAsia" w:hAnsi="Aptos" w:cstheme="majorHAnsi"/>
          <w:color w:val="000000" w:themeColor="text1"/>
          <w:sz w:val="24"/>
          <w:szCs w:val="24"/>
          <w:lang w:val="en-GB"/>
        </w:rPr>
      </w:pPr>
    </w:p>
    <w:p w14:paraId="6F4DBBC0" w14:textId="6E9A7AB2" w:rsidR="00F1189C" w:rsidRPr="00F1189C" w:rsidRDefault="0022218A" w:rsidP="00F1189C">
      <w:pPr>
        <w:rPr>
          <w:rFonts w:ascii="Aptos" w:hAnsi="Aptos" w:cstheme="majorHAnsi"/>
          <w:color w:val="000000" w:themeColor="text1"/>
          <w:sz w:val="24"/>
          <w:szCs w:val="24"/>
        </w:rPr>
      </w:pPr>
      <w:r w:rsidRPr="008353A1">
        <w:rPr>
          <w:rFonts w:ascii="Aptos" w:hAnsi="Aptos" w:cstheme="majorHAnsi"/>
          <w:color w:val="000000" w:themeColor="text1"/>
          <w:sz w:val="24"/>
          <w:szCs w:val="24"/>
        </w:rPr>
        <w:t>Table 5. Descriptive statistics for neuromuscular performance tests</w:t>
      </w:r>
    </w:p>
    <w:tbl>
      <w:tblPr>
        <w:tblW w:w="9012" w:type="dxa"/>
        <w:tblCellSpacing w:w="15" w:type="dxa"/>
        <w:tblCellMar>
          <w:top w:w="15" w:type="dxa"/>
          <w:left w:w="15" w:type="dxa"/>
          <w:bottom w:w="15" w:type="dxa"/>
          <w:right w:w="15" w:type="dxa"/>
        </w:tblCellMar>
        <w:tblLook w:val="04A0" w:firstRow="1" w:lastRow="0" w:firstColumn="1" w:lastColumn="0" w:noHBand="0" w:noVBand="1"/>
      </w:tblPr>
      <w:tblGrid>
        <w:gridCol w:w="5104"/>
        <w:gridCol w:w="3367"/>
        <w:gridCol w:w="541"/>
      </w:tblGrid>
      <w:tr w:rsidR="00F52D04" w:rsidRPr="00F52D04" w14:paraId="55DE8863" w14:textId="77777777" w:rsidTr="00F52D04">
        <w:trPr>
          <w:trHeight w:val="494"/>
          <w:tblHeader/>
          <w:tblCellSpacing w:w="15" w:type="dxa"/>
        </w:trPr>
        <w:tc>
          <w:tcPr>
            <w:tcW w:w="0" w:type="auto"/>
            <w:vAlign w:val="center"/>
            <w:hideMark/>
          </w:tcPr>
          <w:p w14:paraId="6F059C2E" w14:textId="77777777" w:rsidR="00F52D04" w:rsidRPr="00F52D04" w:rsidRDefault="00F52D04" w:rsidP="00F52D04">
            <w:pPr>
              <w:rPr>
                <w:rFonts w:ascii="Aptos" w:hAnsi="Aptos" w:cstheme="majorHAnsi"/>
                <w:b/>
                <w:bCs/>
                <w:color w:val="000000" w:themeColor="text1"/>
                <w:sz w:val="24"/>
                <w:szCs w:val="24"/>
                <w:lang w:val="en-GB"/>
              </w:rPr>
            </w:pPr>
            <w:r w:rsidRPr="00F52D04">
              <w:rPr>
                <w:rFonts w:ascii="Aptos" w:hAnsi="Aptos" w:cstheme="majorHAnsi"/>
                <w:b/>
                <w:bCs/>
                <w:color w:val="000000" w:themeColor="text1"/>
                <w:sz w:val="24"/>
                <w:szCs w:val="24"/>
                <w:lang w:val="en-GB"/>
              </w:rPr>
              <w:lastRenderedPageBreak/>
              <w:t>Variable</w:t>
            </w:r>
          </w:p>
        </w:tc>
        <w:tc>
          <w:tcPr>
            <w:tcW w:w="0" w:type="auto"/>
            <w:vAlign w:val="center"/>
            <w:hideMark/>
          </w:tcPr>
          <w:p w14:paraId="45458E24" w14:textId="77777777" w:rsidR="00F52D04" w:rsidRPr="00F52D04" w:rsidRDefault="00F52D04" w:rsidP="00F52D04">
            <w:pPr>
              <w:rPr>
                <w:rFonts w:ascii="Aptos" w:hAnsi="Aptos" w:cstheme="majorHAnsi"/>
                <w:b/>
                <w:bCs/>
                <w:color w:val="000000" w:themeColor="text1"/>
                <w:sz w:val="24"/>
                <w:szCs w:val="24"/>
                <w:lang w:val="en-GB"/>
              </w:rPr>
            </w:pPr>
            <w:r w:rsidRPr="00F52D04">
              <w:rPr>
                <w:rFonts w:ascii="Aptos" w:hAnsi="Aptos" w:cstheme="majorHAnsi"/>
                <w:b/>
                <w:bCs/>
                <w:color w:val="000000" w:themeColor="text1"/>
                <w:sz w:val="24"/>
                <w:szCs w:val="24"/>
                <w:lang w:val="en-GB"/>
              </w:rPr>
              <w:t>Mean ± SD</w:t>
            </w:r>
          </w:p>
        </w:tc>
        <w:tc>
          <w:tcPr>
            <w:tcW w:w="0" w:type="auto"/>
            <w:vAlign w:val="center"/>
            <w:hideMark/>
          </w:tcPr>
          <w:p w14:paraId="186AD79E" w14:textId="77777777" w:rsidR="00F52D04" w:rsidRPr="00F52D04" w:rsidRDefault="00F52D04" w:rsidP="00F52D04">
            <w:pPr>
              <w:rPr>
                <w:rFonts w:ascii="Aptos" w:hAnsi="Aptos" w:cstheme="majorHAnsi"/>
                <w:b/>
                <w:bCs/>
                <w:color w:val="000000" w:themeColor="text1"/>
                <w:sz w:val="24"/>
                <w:szCs w:val="24"/>
                <w:lang w:val="en-GB"/>
              </w:rPr>
            </w:pPr>
            <w:r w:rsidRPr="00F52D04">
              <w:rPr>
                <w:rFonts w:ascii="Aptos" w:hAnsi="Aptos" w:cstheme="majorHAnsi"/>
                <w:b/>
                <w:bCs/>
                <w:color w:val="000000" w:themeColor="text1"/>
                <w:sz w:val="24"/>
                <w:szCs w:val="24"/>
                <w:lang w:val="en-GB"/>
              </w:rPr>
              <w:t>N</w:t>
            </w:r>
          </w:p>
        </w:tc>
      </w:tr>
      <w:tr w:rsidR="00F52D04" w:rsidRPr="00F52D04" w14:paraId="7DBB0F31" w14:textId="77777777" w:rsidTr="00F52D04">
        <w:trPr>
          <w:trHeight w:val="504"/>
          <w:tblCellSpacing w:w="15" w:type="dxa"/>
        </w:trPr>
        <w:tc>
          <w:tcPr>
            <w:tcW w:w="0" w:type="auto"/>
            <w:tcBorders>
              <w:top w:val="single" w:sz="4" w:space="0" w:color="auto"/>
            </w:tcBorders>
            <w:vAlign w:val="center"/>
            <w:hideMark/>
          </w:tcPr>
          <w:p w14:paraId="55231C73"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10 m Sprint (s)</w:t>
            </w:r>
          </w:p>
        </w:tc>
        <w:tc>
          <w:tcPr>
            <w:tcW w:w="0" w:type="auto"/>
            <w:tcBorders>
              <w:top w:val="single" w:sz="4" w:space="0" w:color="auto"/>
            </w:tcBorders>
            <w:vAlign w:val="center"/>
            <w:hideMark/>
          </w:tcPr>
          <w:p w14:paraId="3F07437D"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1.96 ± 0.20</w:t>
            </w:r>
          </w:p>
        </w:tc>
        <w:tc>
          <w:tcPr>
            <w:tcW w:w="0" w:type="auto"/>
            <w:tcBorders>
              <w:top w:val="single" w:sz="4" w:space="0" w:color="auto"/>
            </w:tcBorders>
            <w:vAlign w:val="center"/>
            <w:hideMark/>
          </w:tcPr>
          <w:p w14:paraId="14B4F8D7"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13</w:t>
            </w:r>
          </w:p>
        </w:tc>
      </w:tr>
      <w:tr w:rsidR="00F52D04" w:rsidRPr="00F52D04" w14:paraId="2B3BFE6E" w14:textId="77777777" w:rsidTr="00F52D04">
        <w:trPr>
          <w:trHeight w:val="504"/>
          <w:tblCellSpacing w:w="15" w:type="dxa"/>
        </w:trPr>
        <w:tc>
          <w:tcPr>
            <w:tcW w:w="0" w:type="auto"/>
            <w:vAlign w:val="center"/>
            <w:hideMark/>
          </w:tcPr>
          <w:p w14:paraId="0C42C8C2"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CMJ Height (cm)</w:t>
            </w:r>
          </w:p>
        </w:tc>
        <w:tc>
          <w:tcPr>
            <w:tcW w:w="0" w:type="auto"/>
            <w:vAlign w:val="center"/>
            <w:hideMark/>
          </w:tcPr>
          <w:p w14:paraId="791C7AFD"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31.07 ± 10.27</w:t>
            </w:r>
          </w:p>
        </w:tc>
        <w:tc>
          <w:tcPr>
            <w:tcW w:w="0" w:type="auto"/>
            <w:vAlign w:val="center"/>
            <w:hideMark/>
          </w:tcPr>
          <w:p w14:paraId="54A724CF"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13</w:t>
            </w:r>
          </w:p>
        </w:tc>
      </w:tr>
      <w:tr w:rsidR="00F52D04" w:rsidRPr="00F52D04" w14:paraId="50CE9FF3" w14:textId="77777777" w:rsidTr="00F52D04">
        <w:trPr>
          <w:trHeight w:val="494"/>
          <w:tblCellSpacing w:w="15" w:type="dxa"/>
        </w:trPr>
        <w:tc>
          <w:tcPr>
            <w:tcW w:w="0" w:type="auto"/>
            <w:vAlign w:val="center"/>
            <w:hideMark/>
          </w:tcPr>
          <w:p w14:paraId="379C84A6"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CMJ Peak Power (W)</w:t>
            </w:r>
          </w:p>
        </w:tc>
        <w:tc>
          <w:tcPr>
            <w:tcW w:w="0" w:type="auto"/>
            <w:vAlign w:val="center"/>
            <w:hideMark/>
          </w:tcPr>
          <w:p w14:paraId="0A99A11C"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3366.74 ± 1185.69</w:t>
            </w:r>
          </w:p>
        </w:tc>
        <w:tc>
          <w:tcPr>
            <w:tcW w:w="0" w:type="auto"/>
            <w:vAlign w:val="center"/>
            <w:hideMark/>
          </w:tcPr>
          <w:p w14:paraId="42C6699E"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13</w:t>
            </w:r>
          </w:p>
        </w:tc>
      </w:tr>
      <w:tr w:rsidR="00F52D04" w:rsidRPr="00F52D04" w14:paraId="5F717EFB" w14:textId="77777777" w:rsidTr="00F52D04">
        <w:trPr>
          <w:trHeight w:val="504"/>
          <w:tblCellSpacing w:w="15" w:type="dxa"/>
        </w:trPr>
        <w:tc>
          <w:tcPr>
            <w:tcW w:w="0" w:type="auto"/>
            <w:vAlign w:val="center"/>
            <w:hideMark/>
          </w:tcPr>
          <w:p w14:paraId="21DB070B"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Leg-Back Dynamometry (kg)</w:t>
            </w:r>
          </w:p>
        </w:tc>
        <w:tc>
          <w:tcPr>
            <w:tcW w:w="0" w:type="auto"/>
            <w:vAlign w:val="center"/>
            <w:hideMark/>
          </w:tcPr>
          <w:p w14:paraId="6AA9FBB3"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138.19 ± 57.36</w:t>
            </w:r>
          </w:p>
        </w:tc>
        <w:tc>
          <w:tcPr>
            <w:tcW w:w="0" w:type="auto"/>
            <w:vAlign w:val="center"/>
            <w:hideMark/>
          </w:tcPr>
          <w:p w14:paraId="1629DF8A"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13</w:t>
            </w:r>
          </w:p>
        </w:tc>
      </w:tr>
      <w:tr w:rsidR="00F52D04" w:rsidRPr="00F52D04" w14:paraId="4A0A57F2" w14:textId="77777777" w:rsidTr="00F52D04">
        <w:trPr>
          <w:trHeight w:val="494"/>
          <w:tblCellSpacing w:w="15" w:type="dxa"/>
        </w:trPr>
        <w:tc>
          <w:tcPr>
            <w:tcW w:w="0" w:type="auto"/>
            <w:vAlign w:val="center"/>
            <w:hideMark/>
          </w:tcPr>
          <w:p w14:paraId="202158D3"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Broad Jump (cm)</w:t>
            </w:r>
          </w:p>
        </w:tc>
        <w:tc>
          <w:tcPr>
            <w:tcW w:w="0" w:type="auto"/>
            <w:vAlign w:val="center"/>
            <w:hideMark/>
          </w:tcPr>
          <w:p w14:paraId="3A5950DF"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194.31 ± 43.61</w:t>
            </w:r>
          </w:p>
        </w:tc>
        <w:tc>
          <w:tcPr>
            <w:tcW w:w="0" w:type="auto"/>
            <w:vAlign w:val="center"/>
            <w:hideMark/>
          </w:tcPr>
          <w:p w14:paraId="0F805A06" w14:textId="77777777" w:rsidR="00F52D04" w:rsidRPr="00F52D04" w:rsidRDefault="00F52D04" w:rsidP="00F52D04">
            <w:pPr>
              <w:rPr>
                <w:rFonts w:ascii="Aptos" w:hAnsi="Aptos" w:cstheme="majorHAnsi"/>
                <w:color w:val="000000" w:themeColor="text1"/>
                <w:sz w:val="24"/>
                <w:szCs w:val="24"/>
                <w:lang w:val="en-GB"/>
              </w:rPr>
            </w:pPr>
            <w:r w:rsidRPr="00F52D04">
              <w:rPr>
                <w:rFonts w:ascii="Aptos" w:hAnsi="Aptos" w:cstheme="majorHAnsi"/>
                <w:color w:val="000000" w:themeColor="text1"/>
                <w:sz w:val="24"/>
                <w:szCs w:val="24"/>
                <w:lang w:val="en-GB"/>
              </w:rPr>
              <w:t>13</w:t>
            </w:r>
          </w:p>
        </w:tc>
      </w:tr>
    </w:tbl>
    <w:p w14:paraId="0A54F1E4" w14:textId="77777777" w:rsidR="00072FB1" w:rsidRDefault="00072FB1" w:rsidP="00243683">
      <w:pPr>
        <w:rPr>
          <w:rFonts w:ascii="Aptos" w:hAnsi="Aptos" w:cstheme="majorHAnsi"/>
          <w:color w:val="000000" w:themeColor="text1"/>
          <w:sz w:val="24"/>
          <w:szCs w:val="24"/>
        </w:rPr>
      </w:pPr>
    </w:p>
    <w:p w14:paraId="784B93C3" w14:textId="133599AB" w:rsidR="00243683" w:rsidRPr="00475FB4" w:rsidRDefault="0022218A" w:rsidP="00243683">
      <w:pPr>
        <w:rPr>
          <w:rFonts w:ascii="Aptos" w:hAnsi="Aptos" w:cstheme="majorHAnsi"/>
          <w:color w:val="000000" w:themeColor="text1"/>
          <w:sz w:val="24"/>
          <w:szCs w:val="24"/>
        </w:rPr>
      </w:pPr>
      <w:r w:rsidRPr="008353A1">
        <w:rPr>
          <w:rFonts w:ascii="Aptos" w:hAnsi="Aptos" w:cstheme="majorHAnsi"/>
          <w:color w:val="000000" w:themeColor="text1"/>
          <w:sz w:val="24"/>
          <w:szCs w:val="24"/>
        </w:rPr>
        <w:t>Table 6. Correlations between strength/power and sprint performance</w:t>
      </w:r>
    </w:p>
    <w:tbl>
      <w:tblPr>
        <w:tblW w:w="9030" w:type="dxa"/>
        <w:tblCellSpacing w:w="15" w:type="dxa"/>
        <w:tblCellMar>
          <w:top w:w="15" w:type="dxa"/>
          <w:left w:w="15" w:type="dxa"/>
          <w:bottom w:w="15" w:type="dxa"/>
          <w:right w:w="15" w:type="dxa"/>
        </w:tblCellMar>
        <w:tblLook w:val="04A0" w:firstRow="1" w:lastRow="0" w:firstColumn="1" w:lastColumn="0" w:noHBand="0" w:noVBand="1"/>
      </w:tblPr>
      <w:tblGrid>
        <w:gridCol w:w="6491"/>
        <w:gridCol w:w="1011"/>
        <w:gridCol w:w="436"/>
        <w:gridCol w:w="1092"/>
      </w:tblGrid>
      <w:tr w:rsidR="00C83017" w:rsidRPr="00C83017" w14:paraId="5041F0E6" w14:textId="77777777" w:rsidTr="00C83017">
        <w:trPr>
          <w:trHeight w:val="522"/>
          <w:tblHeader/>
          <w:tblCellSpacing w:w="15" w:type="dxa"/>
        </w:trPr>
        <w:tc>
          <w:tcPr>
            <w:tcW w:w="0" w:type="auto"/>
            <w:vAlign w:val="center"/>
            <w:hideMark/>
          </w:tcPr>
          <w:p w14:paraId="42930788" w14:textId="77777777" w:rsidR="00C83017" w:rsidRPr="00C83017" w:rsidRDefault="00C83017" w:rsidP="00C83017">
            <w:pPr>
              <w:rPr>
                <w:rFonts w:ascii="Aptos" w:hAnsi="Aptos" w:cstheme="majorHAnsi"/>
                <w:b/>
                <w:bCs/>
                <w:color w:val="000000" w:themeColor="text1"/>
                <w:sz w:val="24"/>
                <w:szCs w:val="24"/>
                <w:lang w:val="en-GB"/>
              </w:rPr>
            </w:pPr>
            <w:r w:rsidRPr="00C83017">
              <w:rPr>
                <w:rFonts w:ascii="Aptos" w:hAnsi="Aptos" w:cstheme="majorHAnsi"/>
                <w:b/>
                <w:bCs/>
                <w:color w:val="000000" w:themeColor="text1"/>
                <w:sz w:val="24"/>
                <w:szCs w:val="24"/>
                <w:lang w:val="en-GB"/>
              </w:rPr>
              <w:t>Comparison</w:t>
            </w:r>
          </w:p>
        </w:tc>
        <w:tc>
          <w:tcPr>
            <w:tcW w:w="0" w:type="auto"/>
            <w:vAlign w:val="center"/>
            <w:hideMark/>
          </w:tcPr>
          <w:p w14:paraId="1D94B3BE" w14:textId="77777777" w:rsidR="00C83017" w:rsidRPr="00C83017" w:rsidRDefault="00C83017" w:rsidP="00C83017">
            <w:pPr>
              <w:rPr>
                <w:rFonts w:ascii="Aptos" w:hAnsi="Aptos" w:cstheme="majorHAnsi"/>
                <w:b/>
                <w:bCs/>
                <w:color w:val="000000" w:themeColor="text1"/>
                <w:sz w:val="24"/>
                <w:szCs w:val="24"/>
                <w:lang w:val="en-GB"/>
              </w:rPr>
            </w:pPr>
            <w:r w:rsidRPr="00C83017">
              <w:rPr>
                <w:rFonts w:ascii="Aptos" w:hAnsi="Aptos" w:cstheme="majorHAnsi"/>
                <w:b/>
                <w:bCs/>
                <w:color w:val="000000" w:themeColor="text1"/>
                <w:sz w:val="24"/>
                <w:szCs w:val="24"/>
                <w:lang w:val="en-GB"/>
              </w:rPr>
              <w:t>r</w:t>
            </w:r>
          </w:p>
        </w:tc>
        <w:tc>
          <w:tcPr>
            <w:tcW w:w="0" w:type="auto"/>
            <w:vAlign w:val="center"/>
            <w:hideMark/>
          </w:tcPr>
          <w:p w14:paraId="6CC03080" w14:textId="77777777" w:rsidR="00C83017" w:rsidRPr="00C83017" w:rsidRDefault="00C83017" w:rsidP="00C83017">
            <w:pPr>
              <w:rPr>
                <w:rFonts w:ascii="Aptos" w:hAnsi="Aptos" w:cstheme="majorHAnsi"/>
                <w:b/>
                <w:bCs/>
                <w:color w:val="000000" w:themeColor="text1"/>
                <w:sz w:val="24"/>
                <w:szCs w:val="24"/>
                <w:lang w:val="en-GB"/>
              </w:rPr>
            </w:pPr>
            <w:r w:rsidRPr="00C83017">
              <w:rPr>
                <w:rFonts w:ascii="Aptos" w:hAnsi="Aptos" w:cstheme="majorHAnsi"/>
                <w:b/>
                <w:bCs/>
                <w:color w:val="000000" w:themeColor="text1"/>
                <w:sz w:val="24"/>
                <w:szCs w:val="24"/>
                <w:lang w:val="en-GB"/>
              </w:rPr>
              <w:t>N</w:t>
            </w:r>
          </w:p>
        </w:tc>
        <w:tc>
          <w:tcPr>
            <w:tcW w:w="0" w:type="auto"/>
            <w:vAlign w:val="center"/>
            <w:hideMark/>
          </w:tcPr>
          <w:p w14:paraId="24118C59" w14:textId="77777777" w:rsidR="00C83017" w:rsidRPr="00C83017" w:rsidRDefault="00C83017" w:rsidP="00C83017">
            <w:pPr>
              <w:rPr>
                <w:rFonts w:ascii="Aptos" w:hAnsi="Aptos" w:cstheme="majorHAnsi"/>
                <w:b/>
                <w:bCs/>
                <w:color w:val="000000" w:themeColor="text1"/>
                <w:sz w:val="24"/>
                <w:szCs w:val="24"/>
                <w:lang w:val="en-GB"/>
              </w:rPr>
            </w:pPr>
            <w:r w:rsidRPr="00C83017">
              <w:rPr>
                <w:rFonts w:ascii="Aptos" w:hAnsi="Aptos" w:cstheme="majorHAnsi"/>
                <w:b/>
                <w:bCs/>
                <w:color w:val="000000" w:themeColor="text1"/>
                <w:sz w:val="24"/>
                <w:szCs w:val="24"/>
                <w:lang w:val="en-GB"/>
              </w:rPr>
              <w:t>p</w:t>
            </w:r>
          </w:p>
        </w:tc>
      </w:tr>
      <w:tr w:rsidR="00C83017" w:rsidRPr="00C83017" w14:paraId="2BF267CC" w14:textId="77777777" w:rsidTr="00C83017">
        <w:trPr>
          <w:trHeight w:val="532"/>
          <w:tblCellSpacing w:w="15" w:type="dxa"/>
        </w:trPr>
        <w:tc>
          <w:tcPr>
            <w:tcW w:w="0" w:type="auto"/>
            <w:tcBorders>
              <w:top w:val="single" w:sz="4" w:space="0" w:color="auto"/>
            </w:tcBorders>
            <w:vAlign w:val="center"/>
            <w:hideMark/>
          </w:tcPr>
          <w:p w14:paraId="0CC374BC"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CMJ Height vs 10 m Sprint Time</w:t>
            </w:r>
          </w:p>
        </w:tc>
        <w:tc>
          <w:tcPr>
            <w:tcW w:w="0" w:type="auto"/>
            <w:tcBorders>
              <w:top w:val="single" w:sz="4" w:space="0" w:color="auto"/>
            </w:tcBorders>
            <w:vAlign w:val="center"/>
            <w:hideMark/>
          </w:tcPr>
          <w:p w14:paraId="41620738"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-0.857</w:t>
            </w:r>
          </w:p>
        </w:tc>
        <w:tc>
          <w:tcPr>
            <w:tcW w:w="0" w:type="auto"/>
            <w:tcBorders>
              <w:top w:val="single" w:sz="4" w:space="0" w:color="auto"/>
            </w:tcBorders>
            <w:vAlign w:val="center"/>
            <w:hideMark/>
          </w:tcPr>
          <w:p w14:paraId="68BBCEA6"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13</w:t>
            </w:r>
          </w:p>
        </w:tc>
        <w:tc>
          <w:tcPr>
            <w:tcW w:w="0" w:type="auto"/>
            <w:tcBorders>
              <w:top w:val="single" w:sz="4" w:space="0" w:color="auto"/>
            </w:tcBorders>
            <w:vAlign w:val="center"/>
            <w:hideMark/>
          </w:tcPr>
          <w:p w14:paraId="07F3B84F"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&lt;0.001</w:t>
            </w:r>
          </w:p>
        </w:tc>
      </w:tr>
      <w:tr w:rsidR="00C83017" w:rsidRPr="00C83017" w14:paraId="6A657EA5" w14:textId="77777777" w:rsidTr="00C83017">
        <w:trPr>
          <w:trHeight w:val="532"/>
          <w:tblCellSpacing w:w="15" w:type="dxa"/>
        </w:trPr>
        <w:tc>
          <w:tcPr>
            <w:tcW w:w="0" w:type="auto"/>
            <w:vAlign w:val="center"/>
            <w:hideMark/>
          </w:tcPr>
          <w:p w14:paraId="0D84C053"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CMJ Peak Power vs 10 m Sprint Time</w:t>
            </w:r>
          </w:p>
        </w:tc>
        <w:tc>
          <w:tcPr>
            <w:tcW w:w="0" w:type="auto"/>
            <w:vAlign w:val="center"/>
            <w:hideMark/>
          </w:tcPr>
          <w:p w14:paraId="38D2E102"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-0.799</w:t>
            </w:r>
          </w:p>
        </w:tc>
        <w:tc>
          <w:tcPr>
            <w:tcW w:w="0" w:type="auto"/>
            <w:vAlign w:val="center"/>
            <w:hideMark/>
          </w:tcPr>
          <w:p w14:paraId="0D0ECDB1"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13</w:t>
            </w:r>
          </w:p>
        </w:tc>
        <w:tc>
          <w:tcPr>
            <w:tcW w:w="0" w:type="auto"/>
            <w:vAlign w:val="center"/>
            <w:hideMark/>
          </w:tcPr>
          <w:p w14:paraId="0BF5A91D"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0.001</w:t>
            </w:r>
          </w:p>
        </w:tc>
      </w:tr>
      <w:tr w:rsidR="00C83017" w:rsidRPr="00C83017" w14:paraId="680159C1" w14:textId="77777777" w:rsidTr="00C83017">
        <w:trPr>
          <w:trHeight w:val="522"/>
          <w:tblCellSpacing w:w="15" w:type="dxa"/>
        </w:trPr>
        <w:tc>
          <w:tcPr>
            <w:tcW w:w="0" w:type="auto"/>
            <w:vAlign w:val="center"/>
            <w:hideMark/>
          </w:tcPr>
          <w:p w14:paraId="52B87A39"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Leg-Back Dynamometry vs 10 m Sprint Time</w:t>
            </w:r>
          </w:p>
        </w:tc>
        <w:tc>
          <w:tcPr>
            <w:tcW w:w="0" w:type="auto"/>
            <w:vAlign w:val="center"/>
            <w:hideMark/>
          </w:tcPr>
          <w:p w14:paraId="0A35C755"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-0.753</w:t>
            </w:r>
          </w:p>
        </w:tc>
        <w:tc>
          <w:tcPr>
            <w:tcW w:w="0" w:type="auto"/>
            <w:vAlign w:val="center"/>
            <w:hideMark/>
          </w:tcPr>
          <w:p w14:paraId="4C2CCD90"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13</w:t>
            </w:r>
          </w:p>
        </w:tc>
        <w:tc>
          <w:tcPr>
            <w:tcW w:w="0" w:type="auto"/>
            <w:vAlign w:val="center"/>
            <w:hideMark/>
          </w:tcPr>
          <w:p w14:paraId="6DD6E44D"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0.003</w:t>
            </w:r>
          </w:p>
        </w:tc>
      </w:tr>
      <w:tr w:rsidR="00C83017" w:rsidRPr="00C83017" w14:paraId="67CDC52F" w14:textId="77777777" w:rsidTr="00C83017">
        <w:trPr>
          <w:trHeight w:val="532"/>
          <w:tblCellSpacing w:w="15" w:type="dxa"/>
        </w:trPr>
        <w:tc>
          <w:tcPr>
            <w:tcW w:w="0" w:type="auto"/>
            <w:vAlign w:val="center"/>
            <w:hideMark/>
          </w:tcPr>
          <w:p w14:paraId="16DD1DA7"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Broad Jump vs 10 m Sprint Time</w:t>
            </w:r>
          </w:p>
        </w:tc>
        <w:tc>
          <w:tcPr>
            <w:tcW w:w="0" w:type="auto"/>
            <w:vAlign w:val="center"/>
            <w:hideMark/>
          </w:tcPr>
          <w:p w14:paraId="3BC74FA8"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-0.553</w:t>
            </w:r>
          </w:p>
        </w:tc>
        <w:tc>
          <w:tcPr>
            <w:tcW w:w="0" w:type="auto"/>
            <w:vAlign w:val="center"/>
            <w:hideMark/>
          </w:tcPr>
          <w:p w14:paraId="6847BE84"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13</w:t>
            </w:r>
          </w:p>
        </w:tc>
        <w:tc>
          <w:tcPr>
            <w:tcW w:w="0" w:type="auto"/>
            <w:vAlign w:val="center"/>
            <w:hideMark/>
          </w:tcPr>
          <w:p w14:paraId="2364A9AB"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0.050</w:t>
            </w:r>
          </w:p>
        </w:tc>
      </w:tr>
      <w:tr w:rsidR="00C83017" w:rsidRPr="00C83017" w14:paraId="5E7A1EEE" w14:textId="77777777" w:rsidTr="00C83017">
        <w:trPr>
          <w:trHeight w:val="522"/>
          <w:tblCellSpacing w:w="15" w:type="dxa"/>
        </w:trPr>
        <w:tc>
          <w:tcPr>
            <w:tcW w:w="0" w:type="auto"/>
            <w:vAlign w:val="center"/>
            <w:hideMark/>
          </w:tcPr>
          <w:p w14:paraId="5C128187"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CMJ Height vs CMJ Peak Power</w:t>
            </w:r>
          </w:p>
        </w:tc>
        <w:tc>
          <w:tcPr>
            <w:tcW w:w="0" w:type="auto"/>
            <w:vAlign w:val="center"/>
            <w:hideMark/>
          </w:tcPr>
          <w:p w14:paraId="4CFFEFA2"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0.960</w:t>
            </w:r>
          </w:p>
        </w:tc>
        <w:tc>
          <w:tcPr>
            <w:tcW w:w="0" w:type="auto"/>
            <w:vAlign w:val="center"/>
            <w:hideMark/>
          </w:tcPr>
          <w:p w14:paraId="119900A8"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13</w:t>
            </w:r>
          </w:p>
        </w:tc>
        <w:tc>
          <w:tcPr>
            <w:tcW w:w="0" w:type="auto"/>
            <w:vAlign w:val="center"/>
            <w:hideMark/>
          </w:tcPr>
          <w:p w14:paraId="35BAE89A" w14:textId="77777777" w:rsidR="00C83017" w:rsidRPr="00C83017" w:rsidRDefault="00C83017" w:rsidP="00C83017">
            <w:pPr>
              <w:rPr>
                <w:rFonts w:ascii="Aptos" w:hAnsi="Aptos" w:cstheme="majorHAnsi"/>
                <w:color w:val="000000" w:themeColor="text1"/>
                <w:sz w:val="24"/>
                <w:szCs w:val="24"/>
                <w:lang w:val="en-GB"/>
              </w:rPr>
            </w:pPr>
            <w:r w:rsidRPr="00C83017">
              <w:rPr>
                <w:rFonts w:ascii="Aptos" w:hAnsi="Aptos" w:cstheme="majorHAnsi"/>
                <w:color w:val="000000" w:themeColor="text1"/>
                <w:sz w:val="24"/>
                <w:szCs w:val="24"/>
                <w:lang w:val="en-GB"/>
              </w:rPr>
              <w:t>&lt;0.001</w:t>
            </w:r>
          </w:p>
        </w:tc>
      </w:tr>
    </w:tbl>
    <w:p w14:paraId="626D9EAF" w14:textId="77777777" w:rsidR="00C83017" w:rsidRDefault="00C83017" w:rsidP="00E21DAF">
      <w:pPr>
        <w:rPr>
          <w:rFonts w:ascii="Aptos" w:hAnsi="Aptos" w:cstheme="majorHAnsi"/>
          <w:color w:val="000000" w:themeColor="text1"/>
          <w:sz w:val="24"/>
          <w:szCs w:val="24"/>
        </w:rPr>
      </w:pPr>
    </w:p>
    <w:p w14:paraId="52606BD1" w14:textId="0A866F6F" w:rsidR="00E21DAF" w:rsidRDefault="0022218A" w:rsidP="00E21DAF">
      <w:pPr>
        <w:rPr>
          <w:rFonts w:ascii="Aptos" w:hAnsi="Aptos" w:cstheme="majorHAnsi"/>
          <w:color w:val="000000" w:themeColor="text1"/>
          <w:sz w:val="24"/>
          <w:szCs w:val="24"/>
        </w:rPr>
      </w:pPr>
      <w:r w:rsidRPr="008353A1">
        <w:rPr>
          <w:rFonts w:ascii="Aptos" w:hAnsi="Aptos" w:cstheme="majorHAnsi"/>
          <w:color w:val="000000" w:themeColor="text1"/>
          <w:sz w:val="24"/>
          <w:szCs w:val="24"/>
        </w:rPr>
        <w:lastRenderedPageBreak/>
        <w:t xml:space="preserve">Figure 3. Relationship between CMJ height and 10 m sprint time </w:t>
      </w:r>
      <w:r w:rsidR="00384815" w:rsidRPr="00384815">
        <w:rPr>
          <w:rFonts w:ascii="Aptos" w:hAnsi="Aptos" w:cstheme="majorHAnsi"/>
          <w:noProof/>
          <w:color w:val="000000" w:themeColor="text1"/>
          <w:sz w:val="24"/>
          <w:szCs w:val="24"/>
        </w:rPr>
        <w:drawing>
          <wp:inline distT="0" distB="0" distL="0" distR="0" wp14:anchorId="48B22D2C" wp14:editId="32626567">
            <wp:extent cx="5486400" cy="3235325"/>
            <wp:effectExtent l="0" t="0" r="0" b="3175"/>
            <wp:docPr id="1402938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938600" name=""/>
                    <pic:cNvPicPr/>
                  </pic:nvPicPr>
                  <pic:blipFill>
                    <a:blip r:embed="rId10"/>
                    <a:stretch>
                      <a:fillRect/>
                    </a:stretch>
                  </pic:blipFill>
                  <pic:spPr>
                    <a:xfrm>
                      <a:off x="0" y="0"/>
                      <a:ext cx="5486400" cy="3235325"/>
                    </a:xfrm>
                    <a:prstGeom prst="rect">
                      <a:avLst/>
                    </a:prstGeom>
                  </pic:spPr>
                </pic:pic>
              </a:graphicData>
            </a:graphic>
          </wp:inline>
        </w:drawing>
      </w:r>
    </w:p>
    <w:p w14:paraId="7487118E" w14:textId="77777777" w:rsidR="00FB55DC" w:rsidRDefault="00FB55DC" w:rsidP="00B35A14">
      <w:pPr>
        <w:rPr>
          <w:rFonts w:ascii="Aptos" w:hAnsi="Aptos" w:cs="Calibri"/>
          <w:color w:val="000000" w:themeColor="text1"/>
          <w:sz w:val="24"/>
          <w:szCs w:val="24"/>
          <w:lang w:val="en-GB"/>
        </w:rPr>
      </w:pPr>
    </w:p>
    <w:p w14:paraId="676D45E2" w14:textId="06C5FCFC" w:rsidR="00B35A14" w:rsidRDefault="00A76EBE" w:rsidP="00B35A14">
      <w:pPr>
        <w:rPr>
          <w:rFonts w:ascii="Aptos" w:hAnsi="Aptos" w:cs="Calibri"/>
          <w:color w:val="000000" w:themeColor="text1"/>
          <w:sz w:val="24"/>
          <w:szCs w:val="24"/>
          <w:lang w:val="en-GB"/>
        </w:rPr>
      </w:pPr>
      <w:r w:rsidRPr="00A76EBE">
        <w:rPr>
          <w:rFonts w:ascii="Aptos" w:hAnsi="Aptos" w:cs="Calibri"/>
          <w:color w:val="000000" w:themeColor="text1"/>
          <w:sz w:val="24"/>
          <w:szCs w:val="24"/>
          <w:lang w:val="en-GB"/>
        </w:rPr>
        <w:t>Conclusion</w:t>
      </w:r>
    </w:p>
    <w:p w14:paraId="659EFEAE" w14:textId="77777777" w:rsidR="00B35A14" w:rsidRDefault="00B35A14" w:rsidP="00B35A14">
      <w:pPr>
        <w:rPr>
          <w:rFonts w:ascii="Aptos" w:hAnsi="Aptos" w:cs="Calibri"/>
          <w:color w:val="000000" w:themeColor="text1"/>
          <w:sz w:val="24"/>
          <w:szCs w:val="24"/>
          <w:lang w:val="en-GB"/>
        </w:rPr>
      </w:pPr>
      <w:r w:rsidRPr="00B35A14">
        <w:rPr>
          <w:rFonts w:ascii="Aptos" w:hAnsi="Aptos" w:cs="Calibri"/>
          <w:color w:val="000000" w:themeColor="text1"/>
          <w:sz w:val="24"/>
          <w:szCs w:val="24"/>
          <w:lang w:val="en-GB"/>
        </w:rPr>
        <w:t xml:space="preserve">The three </w:t>
      </w:r>
      <w:proofErr w:type="gramStart"/>
      <w:r w:rsidRPr="00B35A14">
        <w:rPr>
          <w:rFonts w:ascii="Aptos" w:hAnsi="Aptos" w:cs="Calibri"/>
          <w:color w:val="000000" w:themeColor="text1"/>
          <w:sz w:val="24"/>
          <w:szCs w:val="24"/>
          <w:lang w:val="en-GB"/>
        </w:rPr>
        <w:t>mini-experiments</w:t>
      </w:r>
      <w:proofErr w:type="gramEnd"/>
      <w:r w:rsidRPr="00B35A14">
        <w:rPr>
          <w:rFonts w:ascii="Aptos" w:hAnsi="Aptos" w:cs="Calibri"/>
          <w:color w:val="000000" w:themeColor="text1"/>
          <w:sz w:val="24"/>
          <w:szCs w:val="24"/>
          <w:lang w:val="en-GB"/>
        </w:rPr>
        <w:t xml:space="preserve"> collectively illustrate that human performance capacity emerges from the integrated interaction of energetic, neuromuscular, and cardiovascular systems rather than isolated physiological attributes. Each experiment provided insight into a different physiological determinant of performance while also highlighting how these systems interact during real-world exercise. The anaerobic assessment demonstrated that maximal power output and fatigue resistance are shaped by rapid phosphagen availability, glycolytic contribution, and neuromuscular recruitment patterns. In contrast, the </w:t>
      </w:r>
      <w:proofErr w:type="spellStart"/>
      <w:r w:rsidRPr="00B35A14">
        <w:rPr>
          <w:rFonts w:ascii="Aptos" w:hAnsi="Aptos" w:cs="Calibri"/>
          <w:color w:val="000000" w:themeColor="text1"/>
          <w:sz w:val="24"/>
          <w:szCs w:val="24"/>
          <w:lang w:val="en-GB"/>
        </w:rPr>
        <w:t>VO₂max</w:t>
      </w:r>
      <w:proofErr w:type="spellEnd"/>
      <w:r w:rsidRPr="00B35A14">
        <w:rPr>
          <w:rFonts w:ascii="Aptos" w:hAnsi="Aptos" w:cs="Calibri"/>
          <w:color w:val="000000" w:themeColor="text1"/>
          <w:sz w:val="24"/>
          <w:szCs w:val="24"/>
          <w:lang w:val="en-GB"/>
        </w:rPr>
        <w:t xml:space="preserve"> experiment highlighted substantial inter-individual differences in oxygen transport and utilisation capacity, reinforcing the central role of cardiovascular function in both endurance performance and long-term health. Meanwhile, the neuromuscular testing emphasised the importance of maximal force production, rate of force development, and stretch–shortening cycle efficiency in short-duration acceleration tasks. When considered together, these findings demonstrate that athletic performance cannot be explained by a single physiological </w:t>
      </w:r>
      <w:proofErr w:type="gramStart"/>
      <w:r w:rsidRPr="00B35A14">
        <w:rPr>
          <w:rFonts w:ascii="Aptos" w:hAnsi="Aptos" w:cs="Calibri"/>
          <w:color w:val="000000" w:themeColor="text1"/>
          <w:sz w:val="24"/>
          <w:szCs w:val="24"/>
          <w:lang w:val="en-GB"/>
        </w:rPr>
        <w:t>measure, but</w:t>
      </w:r>
      <w:proofErr w:type="gramEnd"/>
      <w:r w:rsidRPr="00B35A14">
        <w:rPr>
          <w:rFonts w:ascii="Aptos" w:hAnsi="Aptos" w:cs="Calibri"/>
          <w:color w:val="000000" w:themeColor="text1"/>
          <w:sz w:val="24"/>
          <w:szCs w:val="24"/>
          <w:lang w:val="en-GB"/>
        </w:rPr>
        <w:t xml:space="preserve"> instead reflects the coordinated contribution of multiple systems.</w:t>
      </w:r>
    </w:p>
    <w:p w14:paraId="4368CAA6" w14:textId="77777777" w:rsidR="00B35A14" w:rsidRDefault="00B35A14" w:rsidP="00B35A14">
      <w:pPr>
        <w:rPr>
          <w:rFonts w:ascii="Aptos" w:hAnsi="Aptos" w:cs="Calibri"/>
          <w:color w:val="000000" w:themeColor="text1"/>
          <w:sz w:val="24"/>
          <w:szCs w:val="24"/>
          <w:lang w:val="en-GB"/>
        </w:rPr>
      </w:pPr>
      <w:r w:rsidRPr="00B35A14">
        <w:rPr>
          <w:rFonts w:ascii="Aptos" w:hAnsi="Aptos" w:cs="Calibri"/>
          <w:color w:val="000000" w:themeColor="text1"/>
          <w:sz w:val="24"/>
          <w:szCs w:val="24"/>
          <w:lang w:val="en-GB"/>
        </w:rPr>
        <w:lastRenderedPageBreak/>
        <w:t xml:space="preserve">Importantly, these experiments also highlight the methodological limitations inherent in physiological testing. Laboratory assessments provide controlled and reliable indices of physiological capacity, yet they inevitably simplify the complex and dynamic nature of sporting performance. For example, the Wingate test represents a fixed-load model of anaerobic performance, while </w:t>
      </w:r>
      <w:proofErr w:type="spellStart"/>
      <w:r w:rsidRPr="00B35A14">
        <w:rPr>
          <w:rFonts w:ascii="Aptos" w:hAnsi="Aptos" w:cs="Calibri"/>
          <w:color w:val="000000" w:themeColor="text1"/>
          <w:sz w:val="24"/>
          <w:szCs w:val="24"/>
          <w:lang w:val="en-GB"/>
        </w:rPr>
        <w:t>VO₂max</w:t>
      </w:r>
      <w:proofErr w:type="spellEnd"/>
      <w:r w:rsidRPr="00B35A14">
        <w:rPr>
          <w:rFonts w:ascii="Aptos" w:hAnsi="Aptos" w:cs="Calibri"/>
          <w:color w:val="000000" w:themeColor="text1"/>
          <w:sz w:val="24"/>
          <w:szCs w:val="24"/>
          <w:lang w:val="en-GB"/>
        </w:rPr>
        <w:t xml:space="preserve"> testing isolates maximal aerobic power but does not account for determinants such as exercise economy or lactate threshold. Similarly, field-based neuromuscular tests provide practical indicators of strength and power but may not fully capture sport-specific technical or biomechanical demands. Consequently, meaningful performance profiling requires the integration of multiple complementary assessments rather than reliance on a single metric.</w:t>
      </w:r>
    </w:p>
    <w:p w14:paraId="62F01B13" w14:textId="2B1E45CE" w:rsidR="00B35A14" w:rsidRPr="00B35A14" w:rsidRDefault="00B35A14" w:rsidP="00B35A14">
      <w:pPr>
        <w:rPr>
          <w:rFonts w:ascii="Aptos" w:hAnsi="Aptos" w:cs="Calibri"/>
          <w:color w:val="000000" w:themeColor="text1"/>
          <w:sz w:val="24"/>
          <w:szCs w:val="24"/>
          <w:lang w:val="en-GB"/>
        </w:rPr>
      </w:pPr>
      <w:r w:rsidRPr="00B35A14">
        <w:rPr>
          <w:rFonts w:ascii="Aptos" w:hAnsi="Aptos" w:cs="Calibri"/>
          <w:color w:val="000000" w:themeColor="text1"/>
          <w:sz w:val="24"/>
          <w:szCs w:val="24"/>
          <w:lang w:val="en-GB"/>
        </w:rPr>
        <w:t>From a learning perspective, completing these experiments has significantly improved my ability to design, conduct, and interpret physiological testing. Through participating in data collection, analysing statistical outputs, and critically evaluating the findings, I developed a stronger understanding of how methodological choices, measurement error, and participant effort can influence results. This process reinforced the importance of combining robust data collection with critical interpretation when applying physiological testing in both performance and health settings.</w:t>
      </w:r>
    </w:p>
    <w:p w14:paraId="200F6562" w14:textId="2C4598BA" w:rsidR="005B7134" w:rsidRPr="008353A1" w:rsidRDefault="0022218A">
      <w:pPr>
        <w:pStyle w:val="Heading1"/>
        <w:rPr>
          <w:rFonts w:ascii="Aptos" w:hAnsi="Aptos" w:cstheme="majorHAnsi"/>
          <w:color w:val="000000" w:themeColor="text1"/>
          <w:sz w:val="24"/>
          <w:szCs w:val="24"/>
        </w:rPr>
      </w:pPr>
      <w:r w:rsidRPr="008353A1">
        <w:rPr>
          <w:rFonts w:ascii="Aptos" w:hAnsi="Aptos" w:cstheme="majorHAnsi"/>
          <w:color w:val="000000" w:themeColor="text1"/>
          <w:sz w:val="24"/>
          <w:szCs w:val="24"/>
        </w:rPr>
        <w:lastRenderedPageBreak/>
        <w:t>References</w:t>
      </w:r>
    </w:p>
    <w:p w14:paraId="05734347" w14:textId="33582C30"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American College of Sports Medicine. </w:t>
      </w:r>
      <w:r w:rsidRPr="00342110">
        <w:rPr>
          <w:rFonts w:ascii="Aptos" w:hAnsi="Aptos" w:cstheme="majorHAnsi"/>
          <w:b w:val="0"/>
          <w:bCs w:val="0"/>
          <w:i/>
          <w:iCs/>
          <w:color w:val="000000" w:themeColor="text1"/>
          <w:sz w:val="24"/>
          <w:szCs w:val="24"/>
          <w:lang w:val="en-GB"/>
        </w:rPr>
        <w:t>ACSM’s Guidelines for Exercise Testing and Prescription</w:t>
      </w:r>
      <w:r w:rsidRPr="00342110">
        <w:rPr>
          <w:rFonts w:ascii="Aptos" w:hAnsi="Aptos" w:cstheme="majorHAnsi"/>
          <w:b w:val="0"/>
          <w:bCs w:val="0"/>
          <w:color w:val="000000" w:themeColor="text1"/>
          <w:sz w:val="24"/>
          <w:szCs w:val="24"/>
          <w:lang w:val="en-GB"/>
        </w:rPr>
        <w:t xml:space="preserve">. 11th </w:t>
      </w:r>
      <w:proofErr w:type="spellStart"/>
      <w:r w:rsidRPr="00342110">
        <w:rPr>
          <w:rFonts w:ascii="Aptos" w:hAnsi="Aptos" w:cstheme="majorHAnsi"/>
          <w:b w:val="0"/>
          <w:bCs w:val="0"/>
          <w:color w:val="000000" w:themeColor="text1"/>
          <w:sz w:val="24"/>
          <w:szCs w:val="24"/>
          <w:lang w:val="en-GB"/>
        </w:rPr>
        <w:t>edn</w:t>
      </w:r>
      <w:proofErr w:type="spellEnd"/>
      <w:r w:rsidRPr="00342110">
        <w:rPr>
          <w:rFonts w:ascii="Aptos" w:hAnsi="Aptos" w:cstheme="majorHAnsi"/>
          <w:b w:val="0"/>
          <w:bCs w:val="0"/>
          <w:color w:val="000000" w:themeColor="text1"/>
          <w:sz w:val="24"/>
          <w:szCs w:val="24"/>
          <w:lang w:val="en-GB"/>
        </w:rPr>
        <w:t>. Philadelphia: Wolters Kluwer, 2021.</w:t>
      </w:r>
    </w:p>
    <w:p w14:paraId="31E8C08D" w14:textId="77777777" w:rsidR="00342110" w:rsidRPr="00342110" w:rsidRDefault="00342110" w:rsidP="00342110">
      <w:pPr>
        <w:pStyle w:val="Heading1"/>
        <w:rPr>
          <w:rFonts w:ascii="Aptos" w:hAnsi="Aptos" w:cstheme="majorHAnsi"/>
          <w:b w:val="0"/>
          <w:bCs w:val="0"/>
          <w:color w:val="000000" w:themeColor="text1"/>
          <w:sz w:val="24"/>
          <w:szCs w:val="24"/>
          <w:lang w:val="en-GB"/>
        </w:rPr>
      </w:pPr>
      <w:proofErr w:type="spellStart"/>
      <w:r w:rsidRPr="00342110">
        <w:rPr>
          <w:rFonts w:ascii="Aptos" w:hAnsi="Aptos" w:cstheme="majorHAnsi"/>
          <w:b w:val="0"/>
          <w:bCs w:val="0"/>
          <w:color w:val="000000" w:themeColor="text1"/>
          <w:sz w:val="24"/>
          <w:szCs w:val="24"/>
          <w:lang w:val="en-GB"/>
        </w:rPr>
        <w:t>Åstrand</w:t>
      </w:r>
      <w:proofErr w:type="spellEnd"/>
      <w:r w:rsidRPr="00342110">
        <w:rPr>
          <w:rFonts w:ascii="Aptos" w:hAnsi="Aptos" w:cstheme="majorHAnsi"/>
          <w:b w:val="0"/>
          <w:bCs w:val="0"/>
          <w:color w:val="000000" w:themeColor="text1"/>
          <w:sz w:val="24"/>
          <w:szCs w:val="24"/>
          <w:lang w:val="en-GB"/>
        </w:rPr>
        <w:t xml:space="preserve">, P. O., K. Rodahl, H. A. Dahl and S. B. Strømme. </w:t>
      </w:r>
      <w:r w:rsidRPr="00342110">
        <w:rPr>
          <w:rFonts w:ascii="Aptos" w:hAnsi="Aptos" w:cstheme="majorHAnsi"/>
          <w:b w:val="0"/>
          <w:bCs w:val="0"/>
          <w:i/>
          <w:iCs/>
          <w:color w:val="000000" w:themeColor="text1"/>
          <w:sz w:val="24"/>
          <w:szCs w:val="24"/>
          <w:lang w:val="en-GB"/>
        </w:rPr>
        <w:t>Textbook of Work Physiology: Physiological Bases of Exercise</w:t>
      </w:r>
      <w:r w:rsidRPr="00342110">
        <w:rPr>
          <w:rFonts w:ascii="Aptos" w:hAnsi="Aptos" w:cstheme="majorHAnsi"/>
          <w:b w:val="0"/>
          <w:bCs w:val="0"/>
          <w:color w:val="000000" w:themeColor="text1"/>
          <w:sz w:val="24"/>
          <w:szCs w:val="24"/>
          <w:lang w:val="en-GB"/>
        </w:rPr>
        <w:t xml:space="preserve">. 4th </w:t>
      </w:r>
      <w:proofErr w:type="spellStart"/>
      <w:r w:rsidRPr="00342110">
        <w:rPr>
          <w:rFonts w:ascii="Aptos" w:hAnsi="Aptos" w:cstheme="majorHAnsi"/>
          <w:b w:val="0"/>
          <w:bCs w:val="0"/>
          <w:color w:val="000000" w:themeColor="text1"/>
          <w:sz w:val="24"/>
          <w:szCs w:val="24"/>
          <w:lang w:val="en-GB"/>
        </w:rPr>
        <w:t>edn</w:t>
      </w:r>
      <w:proofErr w:type="spellEnd"/>
      <w:r w:rsidRPr="00342110">
        <w:rPr>
          <w:rFonts w:ascii="Aptos" w:hAnsi="Aptos" w:cstheme="majorHAnsi"/>
          <w:b w:val="0"/>
          <w:bCs w:val="0"/>
          <w:color w:val="000000" w:themeColor="text1"/>
          <w:sz w:val="24"/>
          <w:szCs w:val="24"/>
          <w:lang w:val="en-GB"/>
        </w:rPr>
        <w:t>. Champaign, IL: Human Kinetics, 2003.</w:t>
      </w:r>
    </w:p>
    <w:p w14:paraId="492FBF2F"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Atkinson, G., and A. M. Nevill. ‘Statistical Methods for Assessing Measurement Error in Variables Relevant to Sports Medicine’. </w:t>
      </w:r>
      <w:r w:rsidRPr="00342110">
        <w:rPr>
          <w:rFonts w:ascii="Aptos" w:hAnsi="Aptos" w:cstheme="majorHAnsi"/>
          <w:b w:val="0"/>
          <w:bCs w:val="0"/>
          <w:i/>
          <w:iCs/>
          <w:color w:val="000000" w:themeColor="text1"/>
          <w:sz w:val="24"/>
          <w:szCs w:val="24"/>
          <w:lang w:val="en-GB"/>
        </w:rPr>
        <w:t>Sports Medicine</w:t>
      </w:r>
      <w:r w:rsidRPr="00342110">
        <w:rPr>
          <w:rFonts w:ascii="Aptos" w:hAnsi="Aptos" w:cstheme="majorHAnsi"/>
          <w:b w:val="0"/>
          <w:bCs w:val="0"/>
          <w:color w:val="000000" w:themeColor="text1"/>
          <w:sz w:val="24"/>
          <w:szCs w:val="24"/>
          <w:lang w:val="en-GB"/>
        </w:rPr>
        <w:t xml:space="preserve"> 26, no. 4 (1998): 217–238.</w:t>
      </w:r>
    </w:p>
    <w:p w14:paraId="47C63F5F"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Bassett, D. R., and E. T. Howley. ‘Limiting Factors for Maximum Oxygen Uptake and Determinants of Endurance Performance’. </w:t>
      </w:r>
      <w:r w:rsidRPr="00342110">
        <w:rPr>
          <w:rFonts w:ascii="Aptos" w:hAnsi="Aptos" w:cstheme="majorHAnsi"/>
          <w:b w:val="0"/>
          <w:bCs w:val="0"/>
          <w:i/>
          <w:iCs/>
          <w:color w:val="000000" w:themeColor="text1"/>
          <w:sz w:val="24"/>
          <w:szCs w:val="24"/>
          <w:lang w:val="en-GB"/>
        </w:rPr>
        <w:t>Medicine &amp; Science in Sports &amp; Exercise</w:t>
      </w:r>
      <w:r w:rsidRPr="00342110">
        <w:rPr>
          <w:rFonts w:ascii="Aptos" w:hAnsi="Aptos" w:cstheme="majorHAnsi"/>
          <w:b w:val="0"/>
          <w:bCs w:val="0"/>
          <w:color w:val="000000" w:themeColor="text1"/>
          <w:sz w:val="24"/>
          <w:szCs w:val="24"/>
          <w:lang w:val="en-GB"/>
        </w:rPr>
        <w:t xml:space="preserve"> 32, no. 1 (2000): 70–84.</w:t>
      </w:r>
    </w:p>
    <w:p w14:paraId="1B79FC6D"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Bogdanis, G. C., M. E. Nevill, L. H. </w:t>
      </w:r>
      <w:proofErr w:type="spellStart"/>
      <w:r w:rsidRPr="00342110">
        <w:rPr>
          <w:rFonts w:ascii="Aptos" w:hAnsi="Aptos" w:cstheme="majorHAnsi"/>
          <w:b w:val="0"/>
          <w:bCs w:val="0"/>
          <w:color w:val="000000" w:themeColor="text1"/>
          <w:sz w:val="24"/>
          <w:szCs w:val="24"/>
          <w:lang w:val="en-GB"/>
        </w:rPr>
        <w:t>Boobis</w:t>
      </w:r>
      <w:proofErr w:type="spellEnd"/>
      <w:r w:rsidRPr="00342110">
        <w:rPr>
          <w:rFonts w:ascii="Aptos" w:hAnsi="Aptos" w:cstheme="majorHAnsi"/>
          <w:b w:val="0"/>
          <w:bCs w:val="0"/>
          <w:color w:val="000000" w:themeColor="text1"/>
          <w:sz w:val="24"/>
          <w:szCs w:val="24"/>
          <w:lang w:val="en-GB"/>
        </w:rPr>
        <w:t xml:space="preserve">, H. K. Lakomy and A. M. Nevill. ‘Recovery of Power Output and Muscle Metabolites Following 30 s of Maximal Sprint Cycling’. </w:t>
      </w:r>
      <w:r w:rsidRPr="00342110">
        <w:rPr>
          <w:rFonts w:ascii="Aptos" w:hAnsi="Aptos" w:cstheme="majorHAnsi"/>
          <w:b w:val="0"/>
          <w:bCs w:val="0"/>
          <w:i/>
          <w:iCs/>
          <w:color w:val="000000" w:themeColor="text1"/>
          <w:sz w:val="24"/>
          <w:szCs w:val="24"/>
          <w:lang w:val="en-GB"/>
        </w:rPr>
        <w:t>The Journal of Physiology</w:t>
      </w:r>
      <w:r w:rsidRPr="00342110">
        <w:rPr>
          <w:rFonts w:ascii="Aptos" w:hAnsi="Aptos" w:cstheme="majorHAnsi"/>
          <w:b w:val="0"/>
          <w:bCs w:val="0"/>
          <w:color w:val="000000" w:themeColor="text1"/>
          <w:sz w:val="24"/>
          <w:szCs w:val="24"/>
          <w:lang w:val="en-GB"/>
        </w:rPr>
        <w:t xml:space="preserve"> 482, no. 2 (1995): 467–480.</w:t>
      </w:r>
    </w:p>
    <w:p w14:paraId="31D59E11"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Borg, G. A. ‘Psychophysical Bases of Perceived Exertion’. </w:t>
      </w:r>
      <w:r w:rsidRPr="00342110">
        <w:rPr>
          <w:rFonts w:ascii="Aptos" w:hAnsi="Aptos" w:cstheme="majorHAnsi"/>
          <w:b w:val="0"/>
          <w:bCs w:val="0"/>
          <w:i/>
          <w:iCs/>
          <w:color w:val="000000" w:themeColor="text1"/>
          <w:sz w:val="24"/>
          <w:szCs w:val="24"/>
          <w:lang w:val="en-GB"/>
        </w:rPr>
        <w:t>Medicine &amp; Science in Sports &amp; Exercise</w:t>
      </w:r>
      <w:r w:rsidRPr="00342110">
        <w:rPr>
          <w:rFonts w:ascii="Aptos" w:hAnsi="Aptos" w:cstheme="majorHAnsi"/>
          <w:b w:val="0"/>
          <w:bCs w:val="0"/>
          <w:color w:val="000000" w:themeColor="text1"/>
          <w:sz w:val="24"/>
          <w:szCs w:val="24"/>
          <w:lang w:val="en-GB"/>
        </w:rPr>
        <w:t xml:space="preserve"> 14, no. 5 (1982): 377–381.</w:t>
      </w:r>
    </w:p>
    <w:p w14:paraId="6B1DBC0E"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Cormie, P., M. R. McGuigan and R. U. Newton. ‘Developing Maximal Neuromuscular Power: Part 1 – Biological Basis of Maximal Power Production’. </w:t>
      </w:r>
      <w:r w:rsidRPr="00342110">
        <w:rPr>
          <w:rFonts w:ascii="Aptos" w:hAnsi="Aptos" w:cstheme="majorHAnsi"/>
          <w:b w:val="0"/>
          <w:bCs w:val="0"/>
          <w:i/>
          <w:iCs/>
          <w:color w:val="000000" w:themeColor="text1"/>
          <w:sz w:val="24"/>
          <w:szCs w:val="24"/>
          <w:lang w:val="en-GB"/>
        </w:rPr>
        <w:t>Sports Medicine</w:t>
      </w:r>
      <w:r w:rsidRPr="00342110">
        <w:rPr>
          <w:rFonts w:ascii="Aptos" w:hAnsi="Aptos" w:cstheme="majorHAnsi"/>
          <w:b w:val="0"/>
          <w:bCs w:val="0"/>
          <w:color w:val="000000" w:themeColor="text1"/>
          <w:sz w:val="24"/>
          <w:szCs w:val="24"/>
          <w:lang w:val="en-GB"/>
        </w:rPr>
        <w:t xml:space="preserve"> 41, no. 1 (2011): 17–38.</w:t>
      </w:r>
    </w:p>
    <w:p w14:paraId="6EC442AB"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Edvardsen, E., A. Hem, S. Anderssen and U. Holme. ‘End Criteria for Reaching Maximal Oxygen Uptake Must Be Strict and Adjusted to Sex and Age’. </w:t>
      </w:r>
      <w:r w:rsidRPr="00342110">
        <w:rPr>
          <w:rFonts w:ascii="Aptos" w:hAnsi="Aptos" w:cstheme="majorHAnsi"/>
          <w:b w:val="0"/>
          <w:bCs w:val="0"/>
          <w:i/>
          <w:iCs/>
          <w:color w:val="000000" w:themeColor="text1"/>
          <w:sz w:val="24"/>
          <w:szCs w:val="24"/>
          <w:lang w:val="en-GB"/>
        </w:rPr>
        <w:t>PLOS ONE</w:t>
      </w:r>
      <w:r w:rsidRPr="00342110">
        <w:rPr>
          <w:rFonts w:ascii="Aptos" w:hAnsi="Aptos" w:cstheme="majorHAnsi"/>
          <w:b w:val="0"/>
          <w:bCs w:val="0"/>
          <w:color w:val="000000" w:themeColor="text1"/>
          <w:sz w:val="24"/>
          <w:szCs w:val="24"/>
          <w:lang w:val="en-GB"/>
        </w:rPr>
        <w:t xml:space="preserve"> 9, no. 1 (2014): e85276.</w:t>
      </w:r>
    </w:p>
    <w:p w14:paraId="7A3E9560"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Hopkins, W. G. ‘Measures of Reliability in Sports Medicine and Science’. </w:t>
      </w:r>
      <w:r w:rsidRPr="00342110">
        <w:rPr>
          <w:rFonts w:ascii="Aptos" w:hAnsi="Aptos" w:cstheme="majorHAnsi"/>
          <w:b w:val="0"/>
          <w:bCs w:val="0"/>
          <w:i/>
          <w:iCs/>
          <w:color w:val="000000" w:themeColor="text1"/>
          <w:sz w:val="24"/>
          <w:szCs w:val="24"/>
          <w:lang w:val="en-GB"/>
        </w:rPr>
        <w:t>Sports Medicine</w:t>
      </w:r>
      <w:r w:rsidRPr="00342110">
        <w:rPr>
          <w:rFonts w:ascii="Aptos" w:hAnsi="Aptos" w:cstheme="majorHAnsi"/>
          <w:b w:val="0"/>
          <w:bCs w:val="0"/>
          <w:color w:val="000000" w:themeColor="text1"/>
          <w:sz w:val="24"/>
          <w:szCs w:val="24"/>
          <w:lang w:val="en-GB"/>
        </w:rPr>
        <w:t xml:space="preserve"> 30, no. 1 (2000): 1–15.</w:t>
      </w:r>
    </w:p>
    <w:p w14:paraId="4DF57C6F"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lastRenderedPageBreak/>
        <w:t xml:space="preserve">Howley, E. T., D. R. Bassett and H. G. Welch. ‘Criteria for Maximal Oxygen Uptake: Review and Commentary’. </w:t>
      </w:r>
      <w:r w:rsidRPr="00342110">
        <w:rPr>
          <w:rFonts w:ascii="Aptos" w:hAnsi="Aptos" w:cstheme="majorHAnsi"/>
          <w:b w:val="0"/>
          <w:bCs w:val="0"/>
          <w:i/>
          <w:iCs/>
          <w:color w:val="000000" w:themeColor="text1"/>
          <w:sz w:val="24"/>
          <w:szCs w:val="24"/>
          <w:lang w:val="en-GB"/>
        </w:rPr>
        <w:t>Medicine &amp; Science in Sports &amp; Exercise</w:t>
      </w:r>
      <w:r w:rsidRPr="00342110">
        <w:rPr>
          <w:rFonts w:ascii="Aptos" w:hAnsi="Aptos" w:cstheme="majorHAnsi"/>
          <w:b w:val="0"/>
          <w:bCs w:val="0"/>
          <w:color w:val="000000" w:themeColor="text1"/>
          <w:sz w:val="24"/>
          <w:szCs w:val="24"/>
          <w:lang w:val="en-GB"/>
        </w:rPr>
        <w:t xml:space="preserve"> 27, no. 9 (1995): 1292–1301.</w:t>
      </w:r>
    </w:p>
    <w:p w14:paraId="5DB39234"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Inbar, O., O. Bar-Or and J. S. Skinner. </w:t>
      </w:r>
      <w:r w:rsidRPr="00342110">
        <w:rPr>
          <w:rFonts w:ascii="Aptos" w:hAnsi="Aptos" w:cstheme="majorHAnsi"/>
          <w:b w:val="0"/>
          <w:bCs w:val="0"/>
          <w:i/>
          <w:iCs/>
          <w:color w:val="000000" w:themeColor="text1"/>
          <w:sz w:val="24"/>
          <w:szCs w:val="24"/>
          <w:lang w:val="en-GB"/>
        </w:rPr>
        <w:t>The Wingate Anaerobic Test</w:t>
      </w:r>
      <w:r w:rsidRPr="00342110">
        <w:rPr>
          <w:rFonts w:ascii="Aptos" w:hAnsi="Aptos" w:cstheme="majorHAnsi"/>
          <w:b w:val="0"/>
          <w:bCs w:val="0"/>
          <w:color w:val="000000" w:themeColor="text1"/>
          <w:sz w:val="24"/>
          <w:szCs w:val="24"/>
          <w:lang w:val="en-GB"/>
        </w:rPr>
        <w:t>. Champaign, IL: Human Kinetics, 1996.</w:t>
      </w:r>
    </w:p>
    <w:p w14:paraId="4CFCB399"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Jiménez-Reyes, P., J. </w:t>
      </w:r>
      <w:proofErr w:type="spellStart"/>
      <w:r w:rsidRPr="00342110">
        <w:rPr>
          <w:rFonts w:ascii="Aptos" w:hAnsi="Aptos" w:cstheme="majorHAnsi"/>
          <w:b w:val="0"/>
          <w:bCs w:val="0"/>
          <w:color w:val="000000" w:themeColor="text1"/>
          <w:sz w:val="24"/>
          <w:szCs w:val="24"/>
          <w:lang w:val="en-GB"/>
        </w:rPr>
        <w:t>Samozino</w:t>
      </w:r>
      <w:proofErr w:type="spellEnd"/>
      <w:r w:rsidRPr="00342110">
        <w:rPr>
          <w:rFonts w:ascii="Aptos" w:hAnsi="Aptos" w:cstheme="majorHAnsi"/>
          <w:b w:val="0"/>
          <w:bCs w:val="0"/>
          <w:color w:val="000000" w:themeColor="text1"/>
          <w:sz w:val="24"/>
          <w:szCs w:val="24"/>
          <w:lang w:val="en-GB"/>
        </w:rPr>
        <w:t xml:space="preserve">, M. </w:t>
      </w:r>
      <w:proofErr w:type="spellStart"/>
      <w:r w:rsidRPr="00342110">
        <w:rPr>
          <w:rFonts w:ascii="Aptos" w:hAnsi="Aptos" w:cstheme="majorHAnsi"/>
          <w:b w:val="0"/>
          <w:bCs w:val="0"/>
          <w:color w:val="000000" w:themeColor="text1"/>
          <w:sz w:val="24"/>
          <w:szCs w:val="24"/>
          <w:lang w:val="en-GB"/>
        </w:rPr>
        <w:t>Brughelli</w:t>
      </w:r>
      <w:proofErr w:type="spellEnd"/>
      <w:r w:rsidRPr="00342110">
        <w:rPr>
          <w:rFonts w:ascii="Aptos" w:hAnsi="Aptos" w:cstheme="majorHAnsi"/>
          <w:b w:val="0"/>
          <w:bCs w:val="0"/>
          <w:color w:val="000000" w:themeColor="text1"/>
          <w:sz w:val="24"/>
          <w:szCs w:val="24"/>
          <w:lang w:val="en-GB"/>
        </w:rPr>
        <w:t xml:space="preserve"> and P. Morin. ‘Relationship Between Vertical and Horizontal Force–Velocity–Power Profiles in Various Sports and Levels of Practice’. </w:t>
      </w:r>
      <w:r w:rsidRPr="00342110">
        <w:rPr>
          <w:rFonts w:ascii="Aptos" w:hAnsi="Aptos" w:cstheme="majorHAnsi"/>
          <w:b w:val="0"/>
          <w:bCs w:val="0"/>
          <w:i/>
          <w:iCs/>
          <w:color w:val="000000" w:themeColor="text1"/>
          <w:sz w:val="24"/>
          <w:szCs w:val="24"/>
          <w:lang w:val="en-GB"/>
        </w:rPr>
        <w:t>Frontiers in Physiology</w:t>
      </w:r>
      <w:r w:rsidRPr="00342110">
        <w:rPr>
          <w:rFonts w:ascii="Aptos" w:hAnsi="Aptos" w:cstheme="majorHAnsi"/>
          <w:b w:val="0"/>
          <w:bCs w:val="0"/>
          <w:color w:val="000000" w:themeColor="text1"/>
          <w:sz w:val="24"/>
          <w:szCs w:val="24"/>
          <w:lang w:val="en-GB"/>
        </w:rPr>
        <w:t xml:space="preserve"> 9 (2018): 1–10.</w:t>
      </w:r>
    </w:p>
    <w:p w14:paraId="1582E534"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Kodama, S., K. Saito, Y. Tanaka, M. Maki, Y. Yachi, J. Asumi and Y. Sugawara et al. ‘Cardiorespiratory Fitness as a Quantitative Predictor of All-Cause Mortality and Cardiovascular Events’. </w:t>
      </w:r>
      <w:r w:rsidRPr="00342110">
        <w:rPr>
          <w:rFonts w:ascii="Aptos" w:hAnsi="Aptos" w:cstheme="majorHAnsi"/>
          <w:b w:val="0"/>
          <w:bCs w:val="0"/>
          <w:i/>
          <w:iCs/>
          <w:color w:val="000000" w:themeColor="text1"/>
          <w:sz w:val="24"/>
          <w:szCs w:val="24"/>
          <w:lang w:val="en-GB"/>
        </w:rPr>
        <w:t>JAMA</w:t>
      </w:r>
      <w:r w:rsidRPr="00342110">
        <w:rPr>
          <w:rFonts w:ascii="Aptos" w:hAnsi="Aptos" w:cstheme="majorHAnsi"/>
          <w:b w:val="0"/>
          <w:bCs w:val="0"/>
          <w:color w:val="000000" w:themeColor="text1"/>
          <w:sz w:val="24"/>
          <w:szCs w:val="24"/>
          <w:lang w:val="en-GB"/>
        </w:rPr>
        <w:t xml:space="preserve"> 301, no. 19 (2009): 2024–2035.</w:t>
      </w:r>
    </w:p>
    <w:p w14:paraId="599FAF97"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Lang, J. J., M. Tomkinson, G. Janssen and D. R. Ortega. ‘Cardiorespiratory Fitness as a Strong and Consistent Predictor of Morbidity and Mortality’. </w:t>
      </w:r>
      <w:r w:rsidRPr="00342110">
        <w:rPr>
          <w:rFonts w:ascii="Aptos" w:hAnsi="Aptos" w:cstheme="majorHAnsi"/>
          <w:b w:val="0"/>
          <w:bCs w:val="0"/>
          <w:i/>
          <w:iCs/>
          <w:color w:val="000000" w:themeColor="text1"/>
          <w:sz w:val="24"/>
          <w:szCs w:val="24"/>
          <w:lang w:val="en-GB"/>
        </w:rPr>
        <w:t>British Journal of Sports Medicine</w:t>
      </w:r>
      <w:r w:rsidRPr="00342110">
        <w:rPr>
          <w:rFonts w:ascii="Aptos" w:hAnsi="Aptos" w:cstheme="majorHAnsi"/>
          <w:b w:val="0"/>
          <w:bCs w:val="0"/>
          <w:color w:val="000000" w:themeColor="text1"/>
          <w:sz w:val="24"/>
          <w:szCs w:val="24"/>
          <w:lang w:val="en-GB"/>
        </w:rPr>
        <w:t xml:space="preserve"> 58, no. 10 (2024): 556–562.</w:t>
      </w:r>
    </w:p>
    <w:p w14:paraId="5E201A6E"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Marković, G., D. Dizdar, I. Jukić and M. Cardinale. ‘Reliability and Factorial Validity of Squat and Countermovement Jump Tests’. </w:t>
      </w:r>
      <w:r w:rsidRPr="00342110">
        <w:rPr>
          <w:rFonts w:ascii="Aptos" w:hAnsi="Aptos" w:cstheme="majorHAnsi"/>
          <w:b w:val="0"/>
          <w:bCs w:val="0"/>
          <w:i/>
          <w:iCs/>
          <w:color w:val="000000" w:themeColor="text1"/>
          <w:sz w:val="24"/>
          <w:szCs w:val="24"/>
          <w:lang w:val="en-GB"/>
        </w:rPr>
        <w:t>Journal of Strength and Conditioning Research</w:t>
      </w:r>
      <w:r w:rsidRPr="00342110">
        <w:rPr>
          <w:rFonts w:ascii="Aptos" w:hAnsi="Aptos" w:cstheme="majorHAnsi"/>
          <w:b w:val="0"/>
          <w:bCs w:val="0"/>
          <w:color w:val="000000" w:themeColor="text1"/>
          <w:sz w:val="24"/>
          <w:szCs w:val="24"/>
          <w:lang w:val="en-GB"/>
        </w:rPr>
        <w:t xml:space="preserve"> 18, no. 3 (2004): 551–555.</w:t>
      </w:r>
    </w:p>
    <w:p w14:paraId="10A2E15B"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McArdle, W. D., F. I. Katch and V. L. Katch. </w:t>
      </w:r>
      <w:r w:rsidRPr="00342110">
        <w:rPr>
          <w:rFonts w:ascii="Aptos" w:hAnsi="Aptos" w:cstheme="majorHAnsi"/>
          <w:b w:val="0"/>
          <w:bCs w:val="0"/>
          <w:i/>
          <w:iCs/>
          <w:color w:val="000000" w:themeColor="text1"/>
          <w:sz w:val="24"/>
          <w:szCs w:val="24"/>
          <w:lang w:val="en-GB"/>
        </w:rPr>
        <w:t>Exercise Physiology: Nutrition, Energy, and Human Performance</w:t>
      </w:r>
      <w:r w:rsidRPr="00342110">
        <w:rPr>
          <w:rFonts w:ascii="Aptos" w:hAnsi="Aptos" w:cstheme="majorHAnsi"/>
          <w:b w:val="0"/>
          <w:bCs w:val="0"/>
          <w:color w:val="000000" w:themeColor="text1"/>
          <w:sz w:val="24"/>
          <w:szCs w:val="24"/>
          <w:lang w:val="en-GB"/>
        </w:rPr>
        <w:t xml:space="preserve">. 8th </w:t>
      </w:r>
      <w:proofErr w:type="spellStart"/>
      <w:r w:rsidRPr="00342110">
        <w:rPr>
          <w:rFonts w:ascii="Aptos" w:hAnsi="Aptos" w:cstheme="majorHAnsi"/>
          <w:b w:val="0"/>
          <w:bCs w:val="0"/>
          <w:color w:val="000000" w:themeColor="text1"/>
          <w:sz w:val="24"/>
          <w:szCs w:val="24"/>
          <w:lang w:val="en-GB"/>
        </w:rPr>
        <w:t>edn</w:t>
      </w:r>
      <w:proofErr w:type="spellEnd"/>
      <w:r w:rsidRPr="00342110">
        <w:rPr>
          <w:rFonts w:ascii="Aptos" w:hAnsi="Aptos" w:cstheme="majorHAnsi"/>
          <w:b w:val="0"/>
          <w:bCs w:val="0"/>
          <w:color w:val="000000" w:themeColor="text1"/>
          <w:sz w:val="24"/>
          <w:szCs w:val="24"/>
          <w:lang w:val="en-GB"/>
        </w:rPr>
        <w:t>. Philadelphia: Lippincott Williams &amp; Wilkins, 2015.</w:t>
      </w:r>
    </w:p>
    <w:p w14:paraId="53AC090B"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McMahon, J. J., G. P. Comfort and P. Jones. ‘Reliability of Five-, Ten-, and Twenty-Metre Sprint Times in Male Athletes’. </w:t>
      </w:r>
      <w:r w:rsidRPr="00342110">
        <w:rPr>
          <w:rFonts w:ascii="Aptos" w:hAnsi="Aptos" w:cstheme="majorHAnsi"/>
          <w:b w:val="0"/>
          <w:bCs w:val="0"/>
          <w:i/>
          <w:iCs/>
          <w:color w:val="000000" w:themeColor="text1"/>
          <w:sz w:val="24"/>
          <w:szCs w:val="24"/>
          <w:lang w:val="en-GB"/>
        </w:rPr>
        <w:t>Journal of Strength and Conditioning Research</w:t>
      </w:r>
      <w:r w:rsidRPr="00342110">
        <w:rPr>
          <w:rFonts w:ascii="Aptos" w:hAnsi="Aptos" w:cstheme="majorHAnsi"/>
          <w:b w:val="0"/>
          <w:bCs w:val="0"/>
          <w:color w:val="000000" w:themeColor="text1"/>
          <w:sz w:val="24"/>
          <w:szCs w:val="24"/>
          <w:lang w:val="en-GB"/>
        </w:rPr>
        <w:t xml:space="preserve"> 31, no. 3 (2017): 1–8.</w:t>
      </w:r>
    </w:p>
    <w:p w14:paraId="09E3D28D"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t xml:space="preserve">Midgley, A. W., L. R. McNaughton and D. Polman. ‘Criteria for Determination of Maximal Oxygen Uptake: A Brief Critique and Recommendations for Future Research’. </w:t>
      </w:r>
      <w:r w:rsidRPr="00342110">
        <w:rPr>
          <w:rFonts w:ascii="Aptos" w:hAnsi="Aptos" w:cstheme="majorHAnsi"/>
          <w:b w:val="0"/>
          <w:bCs w:val="0"/>
          <w:i/>
          <w:iCs/>
          <w:color w:val="000000" w:themeColor="text1"/>
          <w:sz w:val="24"/>
          <w:szCs w:val="24"/>
          <w:lang w:val="en-GB"/>
        </w:rPr>
        <w:t>Sports Medicine</w:t>
      </w:r>
      <w:r w:rsidRPr="00342110">
        <w:rPr>
          <w:rFonts w:ascii="Aptos" w:hAnsi="Aptos" w:cstheme="majorHAnsi"/>
          <w:b w:val="0"/>
          <w:bCs w:val="0"/>
          <w:color w:val="000000" w:themeColor="text1"/>
          <w:sz w:val="24"/>
          <w:szCs w:val="24"/>
          <w:lang w:val="en-GB"/>
        </w:rPr>
        <w:t xml:space="preserve"> 37, no. 12 (2007): 1019–1028.</w:t>
      </w:r>
    </w:p>
    <w:p w14:paraId="04111FC0" w14:textId="77777777" w:rsidR="00342110" w:rsidRPr="00342110" w:rsidRDefault="00342110" w:rsidP="00342110">
      <w:pPr>
        <w:pStyle w:val="Heading1"/>
        <w:rPr>
          <w:rFonts w:ascii="Aptos" w:hAnsi="Aptos" w:cstheme="majorHAnsi"/>
          <w:b w:val="0"/>
          <w:bCs w:val="0"/>
          <w:color w:val="000000" w:themeColor="text1"/>
          <w:sz w:val="24"/>
          <w:szCs w:val="24"/>
          <w:lang w:val="en-GB"/>
        </w:rPr>
      </w:pPr>
      <w:r w:rsidRPr="00342110">
        <w:rPr>
          <w:rFonts w:ascii="Aptos" w:hAnsi="Aptos" w:cstheme="majorHAnsi"/>
          <w:b w:val="0"/>
          <w:bCs w:val="0"/>
          <w:color w:val="000000" w:themeColor="text1"/>
          <w:sz w:val="24"/>
          <w:szCs w:val="24"/>
          <w:lang w:val="en-GB"/>
        </w:rPr>
        <w:lastRenderedPageBreak/>
        <w:t xml:space="preserve">Suchomel, T. J., S. Nimphius and M. H. Stone. ‘The Importance of Muscular Strength in Athletic Performance’. </w:t>
      </w:r>
      <w:r w:rsidRPr="00342110">
        <w:rPr>
          <w:rFonts w:ascii="Aptos" w:hAnsi="Aptos" w:cstheme="majorHAnsi"/>
          <w:b w:val="0"/>
          <w:bCs w:val="0"/>
          <w:i/>
          <w:iCs/>
          <w:color w:val="000000" w:themeColor="text1"/>
          <w:sz w:val="24"/>
          <w:szCs w:val="24"/>
          <w:lang w:val="en-GB"/>
        </w:rPr>
        <w:t>Sports Medicine</w:t>
      </w:r>
      <w:r w:rsidRPr="00342110">
        <w:rPr>
          <w:rFonts w:ascii="Aptos" w:hAnsi="Aptos" w:cstheme="majorHAnsi"/>
          <w:b w:val="0"/>
          <w:bCs w:val="0"/>
          <w:color w:val="000000" w:themeColor="text1"/>
          <w:sz w:val="24"/>
          <w:szCs w:val="24"/>
          <w:lang w:val="en-GB"/>
        </w:rPr>
        <w:t xml:space="preserve"> 46, no. 10 (2016): 1419–1449.</w:t>
      </w:r>
    </w:p>
    <w:p w14:paraId="3969F160" w14:textId="77777777" w:rsidR="005B7134" w:rsidRPr="008353A1" w:rsidRDefault="0022218A">
      <w:pPr>
        <w:pStyle w:val="Heading1"/>
        <w:rPr>
          <w:rFonts w:ascii="Aptos" w:hAnsi="Aptos" w:cstheme="majorHAnsi"/>
          <w:color w:val="000000" w:themeColor="text1"/>
          <w:sz w:val="24"/>
          <w:szCs w:val="24"/>
        </w:rPr>
      </w:pPr>
      <w:r w:rsidRPr="008353A1">
        <w:rPr>
          <w:rFonts w:ascii="Aptos" w:hAnsi="Aptos" w:cstheme="majorHAnsi"/>
          <w:color w:val="000000" w:themeColor="text1"/>
          <w:sz w:val="24"/>
          <w:szCs w:val="24"/>
        </w:rPr>
        <w:t>Appendix A: Statistical Notes</w:t>
      </w:r>
    </w:p>
    <w:p w14:paraId="305DB3FC" w14:textId="77777777" w:rsidR="005B7134" w:rsidRPr="008353A1" w:rsidRDefault="0022218A">
      <w:pPr>
        <w:rPr>
          <w:rFonts w:ascii="Aptos" w:hAnsi="Aptos" w:cstheme="majorHAnsi"/>
          <w:color w:val="000000" w:themeColor="text1"/>
          <w:sz w:val="24"/>
          <w:szCs w:val="24"/>
        </w:rPr>
      </w:pPr>
      <w:r w:rsidRPr="008353A1">
        <w:rPr>
          <w:rFonts w:ascii="Aptos" w:hAnsi="Aptos" w:cstheme="majorHAnsi"/>
          <w:color w:val="000000" w:themeColor="text1"/>
          <w:sz w:val="24"/>
          <w:szCs w:val="24"/>
        </w:rPr>
        <w:t>Descriptive statistics are reported as mean ± SD. Pearson’s correlation coefficient (r) was used to assess linear relationships between variables with α = 0.05.</w:t>
      </w:r>
    </w:p>
    <w:p w14:paraId="15CEA8A9" w14:textId="77777777" w:rsidR="005B7134" w:rsidRPr="008353A1" w:rsidRDefault="0022218A">
      <w:pPr>
        <w:pStyle w:val="Heading1"/>
        <w:rPr>
          <w:rFonts w:ascii="Aptos" w:hAnsi="Aptos" w:cstheme="majorHAnsi"/>
          <w:color w:val="000000" w:themeColor="text1"/>
          <w:sz w:val="24"/>
          <w:szCs w:val="24"/>
        </w:rPr>
      </w:pPr>
      <w:r w:rsidRPr="008353A1">
        <w:rPr>
          <w:rFonts w:ascii="Aptos" w:hAnsi="Aptos" w:cstheme="majorHAnsi"/>
          <w:color w:val="000000" w:themeColor="text1"/>
          <w:sz w:val="24"/>
          <w:szCs w:val="24"/>
        </w:rPr>
        <w:t>Appendix B: Data Sources</w:t>
      </w:r>
    </w:p>
    <w:p w14:paraId="34291444" w14:textId="77777777" w:rsidR="005B7134" w:rsidRPr="008353A1" w:rsidRDefault="0022218A">
      <w:pPr>
        <w:rPr>
          <w:rFonts w:ascii="Aptos" w:hAnsi="Aptos" w:cstheme="majorHAnsi"/>
          <w:color w:val="000000" w:themeColor="text1"/>
          <w:sz w:val="24"/>
          <w:szCs w:val="24"/>
        </w:rPr>
      </w:pPr>
      <w:r w:rsidRPr="008353A1">
        <w:rPr>
          <w:rFonts w:ascii="Aptos" w:hAnsi="Aptos" w:cstheme="majorHAnsi"/>
          <w:color w:val="000000" w:themeColor="text1"/>
          <w:sz w:val="24"/>
          <w:szCs w:val="24"/>
        </w:rPr>
        <w:t>Raw datasets were collected during laboratory practical sessions and compiled into group spreadsheets for individual analysis.</w:t>
      </w:r>
    </w:p>
    <w:sectPr w:rsidR="005B7134" w:rsidRPr="008353A1" w:rsidSect="00034616">
      <w:head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DA6E9" w14:textId="77777777" w:rsidR="00F03272" w:rsidRDefault="00F03272" w:rsidP="002D06F7">
      <w:pPr>
        <w:spacing w:after="0" w:line="240" w:lineRule="auto"/>
      </w:pPr>
      <w:r>
        <w:separator/>
      </w:r>
    </w:p>
  </w:endnote>
  <w:endnote w:type="continuationSeparator" w:id="0">
    <w:p w14:paraId="0DA069E2" w14:textId="77777777" w:rsidR="00F03272" w:rsidRDefault="00F03272" w:rsidP="002D0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2CE16" w14:textId="77777777" w:rsidR="00F03272" w:rsidRDefault="00F03272" w:rsidP="002D06F7">
      <w:pPr>
        <w:spacing w:after="0" w:line="240" w:lineRule="auto"/>
      </w:pPr>
      <w:r>
        <w:separator/>
      </w:r>
    </w:p>
  </w:footnote>
  <w:footnote w:type="continuationSeparator" w:id="0">
    <w:p w14:paraId="210C02B4" w14:textId="77777777" w:rsidR="00F03272" w:rsidRDefault="00F03272" w:rsidP="002D06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AF08E" w14:textId="77777777" w:rsidR="00BF34BB" w:rsidRPr="00A00E20" w:rsidRDefault="00BF34BB" w:rsidP="00BF34BB">
    <w:pPr>
      <w:pStyle w:val="Header"/>
      <w:rPr>
        <w:rFonts w:ascii="Aptos" w:hAnsi="Aptos"/>
        <w:sz w:val="24"/>
        <w:szCs w:val="24"/>
      </w:rPr>
    </w:pPr>
    <w:r w:rsidRPr="00A00E20">
      <w:rPr>
        <w:rFonts w:ascii="Aptos" w:hAnsi="Aptos"/>
        <w:sz w:val="24"/>
        <w:szCs w:val="24"/>
      </w:rPr>
      <w:t>Zac Ashburner, 2407497</w:t>
    </w:r>
  </w:p>
  <w:p w14:paraId="547B3ACC" w14:textId="77777777" w:rsidR="00BF34BB" w:rsidRPr="00A00E20" w:rsidRDefault="00BF34BB" w:rsidP="00BF34BB">
    <w:pPr>
      <w:pStyle w:val="Header"/>
      <w:rPr>
        <w:rFonts w:ascii="Aptos" w:hAnsi="Aptos"/>
        <w:sz w:val="24"/>
        <w:szCs w:val="24"/>
      </w:rPr>
    </w:pPr>
    <w:proofErr w:type="spellStart"/>
    <w:r w:rsidRPr="00A00E20">
      <w:rPr>
        <w:rFonts w:ascii="Aptos" w:hAnsi="Aptos"/>
        <w:sz w:val="24"/>
        <w:szCs w:val="24"/>
      </w:rPr>
      <w:t>Bsc</w:t>
    </w:r>
    <w:proofErr w:type="spellEnd"/>
    <w:r w:rsidRPr="00A00E20">
      <w:rPr>
        <w:rFonts w:ascii="Aptos" w:hAnsi="Aptos"/>
        <w:sz w:val="24"/>
        <w:szCs w:val="24"/>
      </w:rPr>
      <w:t xml:space="preserve"> Sport and Exercise</w:t>
    </w:r>
  </w:p>
  <w:p w14:paraId="302A54CB" w14:textId="2F510DFE" w:rsidR="00BF34BB" w:rsidRPr="00A00E20" w:rsidRDefault="00BF34BB" w:rsidP="00BF34BB">
    <w:pPr>
      <w:pStyle w:val="Header"/>
      <w:rPr>
        <w:rFonts w:ascii="Aptos" w:hAnsi="Aptos"/>
        <w:sz w:val="24"/>
        <w:szCs w:val="24"/>
      </w:rPr>
    </w:pPr>
    <w:r w:rsidRPr="00A00E20">
      <w:rPr>
        <w:rFonts w:ascii="Aptos" w:hAnsi="Aptos"/>
        <w:sz w:val="24"/>
        <w:szCs w:val="24"/>
      </w:rPr>
      <w:t>BMS500</w:t>
    </w:r>
    <w:r w:rsidRPr="00A00E20">
      <w:rPr>
        <w:rFonts w:ascii="Aptos" w:hAnsi="Aptos"/>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4506C07"/>
    <w:multiLevelType w:val="hybridMultilevel"/>
    <w:tmpl w:val="214CD64E"/>
    <w:lvl w:ilvl="0" w:tplc="085C3540">
      <w:start w:val="1"/>
      <w:numFmt w:val="bullet"/>
      <w:lvlText w:val=""/>
      <w:lvlPicBulletId w:val="0"/>
      <w:lvlJc w:val="left"/>
      <w:pPr>
        <w:tabs>
          <w:tab w:val="num" w:pos="720"/>
        </w:tabs>
        <w:ind w:left="720" w:hanging="360"/>
      </w:pPr>
      <w:rPr>
        <w:rFonts w:ascii="Symbol" w:hAnsi="Symbol" w:hint="default"/>
      </w:rPr>
    </w:lvl>
    <w:lvl w:ilvl="1" w:tplc="223EECE0" w:tentative="1">
      <w:start w:val="1"/>
      <w:numFmt w:val="bullet"/>
      <w:lvlText w:val=""/>
      <w:lvlJc w:val="left"/>
      <w:pPr>
        <w:tabs>
          <w:tab w:val="num" w:pos="1440"/>
        </w:tabs>
        <w:ind w:left="1440" w:hanging="360"/>
      </w:pPr>
      <w:rPr>
        <w:rFonts w:ascii="Symbol" w:hAnsi="Symbol" w:hint="default"/>
      </w:rPr>
    </w:lvl>
    <w:lvl w:ilvl="2" w:tplc="F2309A34" w:tentative="1">
      <w:start w:val="1"/>
      <w:numFmt w:val="bullet"/>
      <w:lvlText w:val=""/>
      <w:lvlJc w:val="left"/>
      <w:pPr>
        <w:tabs>
          <w:tab w:val="num" w:pos="2160"/>
        </w:tabs>
        <w:ind w:left="2160" w:hanging="360"/>
      </w:pPr>
      <w:rPr>
        <w:rFonts w:ascii="Symbol" w:hAnsi="Symbol" w:hint="default"/>
      </w:rPr>
    </w:lvl>
    <w:lvl w:ilvl="3" w:tplc="54B287F8" w:tentative="1">
      <w:start w:val="1"/>
      <w:numFmt w:val="bullet"/>
      <w:lvlText w:val=""/>
      <w:lvlJc w:val="left"/>
      <w:pPr>
        <w:tabs>
          <w:tab w:val="num" w:pos="2880"/>
        </w:tabs>
        <w:ind w:left="2880" w:hanging="360"/>
      </w:pPr>
      <w:rPr>
        <w:rFonts w:ascii="Symbol" w:hAnsi="Symbol" w:hint="default"/>
      </w:rPr>
    </w:lvl>
    <w:lvl w:ilvl="4" w:tplc="96CECE84" w:tentative="1">
      <w:start w:val="1"/>
      <w:numFmt w:val="bullet"/>
      <w:lvlText w:val=""/>
      <w:lvlJc w:val="left"/>
      <w:pPr>
        <w:tabs>
          <w:tab w:val="num" w:pos="3600"/>
        </w:tabs>
        <w:ind w:left="3600" w:hanging="360"/>
      </w:pPr>
      <w:rPr>
        <w:rFonts w:ascii="Symbol" w:hAnsi="Symbol" w:hint="default"/>
      </w:rPr>
    </w:lvl>
    <w:lvl w:ilvl="5" w:tplc="48683B3E" w:tentative="1">
      <w:start w:val="1"/>
      <w:numFmt w:val="bullet"/>
      <w:lvlText w:val=""/>
      <w:lvlJc w:val="left"/>
      <w:pPr>
        <w:tabs>
          <w:tab w:val="num" w:pos="4320"/>
        </w:tabs>
        <w:ind w:left="4320" w:hanging="360"/>
      </w:pPr>
      <w:rPr>
        <w:rFonts w:ascii="Symbol" w:hAnsi="Symbol" w:hint="default"/>
      </w:rPr>
    </w:lvl>
    <w:lvl w:ilvl="6" w:tplc="0386658A" w:tentative="1">
      <w:start w:val="1"/>
      <w:numFmt w:val="bullet"/>
      <w:lvlText w:val=""/>
      <w:lvlJc w:val="left"/>
      <w:pPr>
        <w:tabs>
          <w:tab w:val="num" w:pos="5040"/>
        </w:tabs>
        <w:ind w:left="5040" w:hanging="360"/>
      </w:pPr>
      <w:rPr>
        <w:rFonts w:ascii="Symbol" w:hAnsi="Symbol" w:hint="default"/>
      </w:rPr>
    </w:lvl>
    <w:lvl w:ilvl="7" w:tplc="C87E16A4" w:tentative="1">
      <w:start w:val="1"/>
      <w:numFmt w:val="bullet"/>
      <w:lvlText w:val=""/>
      <w:lvlJc w:val="left"/>
      <w:pPr>
        <w:tabs>
          <w:tab w:val="num" w:pos="5760"/>
        </w:tabs>
        <w:ind w:left="5760" w:hanging="360"/>
      </w:pPr>
      <w:rPr>
        <w:rFonts w:ascii="Symbol" w:hAnsi="Symbol" w:hint="default"/>
      </w:rPr>
    </w:lvl>
    <w:lvl w:ilvl="8" w:tplc="EDB2506E" w:tentative="1">
      <w:start w:val="1"/>
      <w:numFmt w:val="bullet"/>
      <w:lvlText w:val=""/>
      <w:lvlJc w:val="left"/>
      <w:pPr>
        <w:tabs>
          <w:tab w:val="num" w:pos="6480"/>
        </w:tabs>
        <w:ind w:left="6480" w:hanging="360"/>
      </w:pPr>
      <w:rPr>
        <w:rFonts w:ascii="Symbol" w:hAnsi="Symbol" w:hint="default"/>
      </w:rPr>
    </w:lvl>
  </w:abstractNum>
  <w:num w:numId="1" w16cid:durableId="1588345338">
    <w:abstractNumId w:val="8"/>
  </w:num>
  <w:num w:numId="2" w16cid:durableId="123933845">
    <w:abstractNumId w:val="6"/>
  </w:num>
  <w:num w:numId="3" w16cid:durableId="1800798522">
    <w:abstractNumId w:val="5"/>
  </w:num>
  <w:num w:numId="4" w16cid:durableId="2031451953">
    <w:abstractNumId w:val="4"/>
  </w:num>
  <w:num w:numId="5" w16cid:durableId="565723025">
    <w:abstractNumId w:val="7"/>
  </w:num>
  <w:num w:numId="6" w16cid:durableId="1075666934">
    <w:abstractNumId w:val="3"/>
  </w:num>
  <w:num w:numId="7" w16cid:durableId="1957523074">
    <w:abstractNumId w:val="2"/>
  </w:num>
  <w:num w:numId="8" w16cid:durableId="1487626881">
    <w:abstractNumId w:val="1"/>
  </w:num>
  <w:num w:numId="9" w16cid:durableId="1874881397">
    <w:abstractNumId w:val="0"/>
  </w:num>
  <w:num w:numId="10" w16cid:durableId="532387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0C0"/>
    <w:rsid w:val="00011414"/>
    <w:rsid w:val="00034616"/>
    <w:rsid w:val="00047702"/>
    <w:rsid w:val="0006063C"/>
    <w:rsid w:val="00072FB1"/>
    <w:rsid w:val="00077C08"/>
    <w:rsid w:val="00097B6D"/>
    <w:rsid w:val="000E7FB7"/>
    <w:rsid w:val="000F0D3B"/>
    <w:rsid w:val="00123CDE"/>
    <w:rsid w:val="00125BB9"/>
    <w:rsid w:val="00133C4B"/>
    <w:rsid w:val="001344D4"/>
    <w:rsid w:val="00147310"/>
    <w:rsid w:val="0015074B"/>
    <w:rsid w:val="001658A0"/>
    <w:rsid w:val="00190119"/>
    <w:rsid w:val="00190A04"/>
    <w:rsid w:val="00193524"/>
    <w:rsid w:val="001B4540"/>
    <w:rsid w:val="001D45B2"/>
    <w:rsid w:val="001E6FE6"/>
    <w:rsid w:val="00207069"/>
    <w:rsid w:val="002139E0"/>
    <w:rsid w:val="0022000E"/>
    <w:rsid w:val="0022218A"/>
    <w:rsid w:val="00233E57"/>
    <w:rsid w:val="00243683"/>
    <w:rsid w:val="00285B18"/>
    <w:rsid w:val="00286C35"/>
    <w:rsid w:val="0029639D"/>
    <w:rsid w:val="002A3F03"/>
    <w:rsid w:val="002C700F"/>
    <w:rsid w:val="002D06F7"/>
    <w:rsid w:val="002D72E3"/>
    <w:rsid w:val="002E0649"/>
    <w:rsid w:val="0030555E"/>
    <w:rsid w:val="00326F90"/>
    <w:rsid w:val="0033419D"/>
    <w:rsid w:val="00342110"/>
    <w:rsid w:val="00346B1B"/>
    <w:rsid w:val="00384815"/>
    <w:rsid w:val="0039702A"/>
    <w:rsid w:val="003A5961"/>
    <w:rsid w:val="003B0BCC"/>
    <w:rsid w:val="003B2B0E"/>
    <w:rsid w:val="003B4C8A"/>
    <w:rsid w:val="003B4EE2"/>
    <w:rsid w:val="003B6DDE"/>
    <w:rsid w:val="00400F1E"/>
    <w:rsid w:val="004250B1"/>
    <w:rsid w:val="00453773"/>
    <w:rsid w:val="004671C2"/>
    <w:rsid w:val="00475FB4"/>
    <w:rsid w:val="00497148"/>
    <w:rsid w:val="004C070C"/>
    <w:rsid w:val="004C3451"/>
    <w:rsid w:val="004D193E"/>
    <w:rsid w:val="00510D5C"/>
    <w:rsid w:val="005119BD"/>
    <w:rsid w:val="005148F4"/>
    <w:rsid w:val="00532176"/>
    <w:rsid w:val="00542376"/>
    <w:rsid w:val="00543CA5"/>
    <w:rsid w:val="00560D0F"/>
    <w:rsid w:val="005B3691"/>
    <w:rsid w:val="005B7134"/>
    <w:rsid w:val="005C039F"/>
    <w:rsid w:val="005E2EB8"/>
    <w:rsid w:val="00614C73"/>
    <w:rsid w:val="0063048E"/>
    <w:rsid w:val="0067190D"/>
    <w:rsid w:val="006813AA"/>
    <w:rsid w:val="006A730C"/>
    <w:rsid w:val="006D099C"/>
    <w:rsid w:val="006E6709"/>
    <w:rsid w:val="006F0519"/>
    <w:rsid w:val="006F25F2"/>
    <w:rsid w:val="0071431E"/>
    <w:rsid w:val="007445C0"/>
    <w:rsid w:val="00782AFC"/>
    <w:rsid w:val="00797961"/>
    <w:rsid w:val="007A18D1"/>
    <w:rsid w:val="007A7890"/>
    <w:rsid w:val="007B1A4C"/>
    <w:rsid w:val="007D69B8"/>
    <w:rsid w:val="00812884"/>
    <w:rsid w:val="008353A1"/>
    <w:rsid w:val="00844292"/>
    <w:rsid w:val="00850CC7"/>
    <w:rsid w:val="00850F03"/>
    <w:rsid w:val="00866535"/>
    <w:rsid w:val="00871E85"/>
    <w:rsid w:val="00876F85"/>
    <w:rsid w:val="00887806"/>
    <w:rsid w:val="008C4C4A"/>
    <w:rsid w:val="008D6742"/>
    <w:rsid w:val="009068B9"/>
    <w:rsid w:val="00936EF0"/>
    <w:rsid w:val="00987AFD"/>
    <w:rsid w:val="00995A55"/>
    <w:rsid w:val="009B2505"/>
    <w:rsid w:val="009B2BC7"/>
    <w:rsid w:val="009B46E6"/>
    <w:rsid w:val="00A00E20"/>
    <w:rsid w:val="00A05428"/>
    <w:rsid w:val="00A62CF9"/>
    <w:rsid w:val="00A67BB2"/>
    <w:rsid w:val="00A76C87"/>
    <w:rsid w:val="00A76EBE"/>
    <w:rsid w:val="00A824EB"/>
    <w:rsid w:val="00A97E68"/>
    <w:rsid w:val="00AA1D8D"/>
    <w:rsid w:val="00AA7A72"/>
    <w:rsid w:val="00AF2DB3"/>
    <w:rsid w:val="00B13F6C"/>
    <w:rsid w:val="00B22ACB"/>
    <w:rsid w:val="00B35A14"/>
    <w:rsid w:val="00B45188"/>
    <w:rsid w:val="00B47730"/>
    <w:rsid w:val="00B5496B"/>
    <w:rsid w:val="00B90D80"/>
    <w:rsid w:val="00BA373B"/>
    <w:rsid w:val="00BD19B2"/>
    <w:rsid w:val="00BF34BB"/>
    <w:rsid w:val="00C42031"/>
    <w:rsid w:val="00C43AAF"/>
    <w:rsid w:val="00C56C8B"/>
    <w:rsid w:val="00C627BA"/>
    <w:rsid w:val="00C73DC0"/>
    <w:rsid w:val="00C80876"/>
    <w:rsid w:val="00C83017"/>
    <w:rsid w:val="00C94167"/>
    <w:rsid w:val="00CB0664"/>
    <w:rsid w:val="00CC1906"/>
    <w:rsid w:val="00CD09A9"/>
    <w:rsid w:val="00CE3532"/>
    <w:rsid w:val="00D031EB"/>
    <w:rsid w:val="00D43B00"/>
    <w:rsid w:val="00D67DF7"/>
    <w:rsid w:val="00D80FBC"/>
    <w:rsid w:val="00DA61FC"/>
    <w:rsid w:val="00DC2402"/>
    <w:rsid w:val="00DC35FF"/>
    <w:rsid w:val="00DD7F6D"/>
    <w:rsid w:val="00DF2013"/>
    <w:rsid w:val="00E03F26"/>
    <w:rsid w:val="00E21DAF"/>
    <w:rsid w:val="00E3545F"/>
    <w:rsid w:val="00EB0460"/>
    <w:rsid w:val="00EB569B"/>
    <w:rsid w:val="00EB749E"/>
    <w:rsid w:val="00EC5035"/>
    <w:rsid w:val="00EC5CC0"/>
    <w:rsid w:val="00EC620F"/>
    <w:rsid w:val="00ED12C6"/>
    <w:rsid w:val="00EE6DCA"/>
    <w:rsid w:val="00F03272"/>
    <w:rsid w:val="00F10BC3"/>
    <w:rsid w:val="00F1189C"/>
    <w:rsid w:val="00F14127"/>
    <w:rsid w:val="00F4568A"/>
    <w:rsid w:val="00F50298"/>
    <w:rsid w:val="00F518F6"/>
    <w:rsid w:val="00F52D04"/>
    <w:rsid w:val="00F92FF8"/>
    <w:rsid w:val="00FA67C7"/>
    <w:rsid w:val="00FB55DC"/>
    <w:rsid w:val="00FC693F"/>
    <w:rsid w:val="00FD397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71BE53"/>
  <w14:defaultImageDpi w14:val="300"/>
  <w15:docId w15:val="{A2460649-69D8-4033-BDB6-5017C10FD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F2DB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14163</TotalTime>
  <Pages>15</Pages>
  <Words>2871</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Zac Ashburner</cp:lastModifiedBy>
  <cp:revision>151</cp:revision>
  <dcterms:created xsi:type="dcterms:W3CDTF">2026-02-19T01:22:00Z</dcterms:created>
  <dcterms:modified xsi:type="dcterms:W3CDTF">2026-03-06T14:55:00Z</dcterms:modified>
  <cp:category/>
</cp:coreProperties>
</file>