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CF8EA41" w:rsidP="1432D052" w:rsidRDefault="6CF8EA41" w14:paraId="10FCEF45" w14:textId="45E58768">
      <w:pPr>
        <w:spacing w:before="240" w:beforeAutospacing="off" w:after="240" w:afterAutospacing="off"/>
        <w:jc w:val="cente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A CRITICAL EVALUATION OF PERSON-CENTRED CARE AND PARTNERSHIP WORKING IN COMMUNITY CARE</w:t>
      </w:r>
    </w:p>
    <w:p w:rsidR="1432D052" w:rsidP="1432D052" w:rsidRDefault="1432D052" w14:paraId="551F63A5" w14:textId="06578480">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CF8EA41" w:rsidP="1432D052" w:rsidRDefault="6CF8EA41" w14:paraId="4A049FB7" w14:textId="73B58BA9">
      <w:pPr>
        <w:spacing w:before="240" w:beforeAutospacing="off" w:after="240" w:afterAutospacing="off"/>
        <w:jc w:val="cente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STUDENT NAME: SALMA SULTAN</w:t>
      </w:r>
    </w:p>
    <w:p w:rsidR="6CF8EA41" w:rsidP="1432D052" w:rsidRDefault="6CF8EA41" w14:paraId="384AEBAD" w14:textId="57EB2385">
      <w:pPr>
        <w:spacing w:before="240" w:beforeAutospacing="off" w:after="240" w:afterAutospacing="off"/>
        <w:jc w:val="cente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STUDENT ID: 2431994</w:t>
      </w:r>
    </w:p>
    <w:p w:rsidR="144E8335" w:rsidP="1432D052" w:rsidRDefault="144E8335" w14:paraId="7764553C" w14:textId="3D35C914">
      <w:pPr>
        <w:spacing w:before="240" w:beforeAutospacing="off" w:after="240" w:afterAutospacing="off"/>
        <w:jc w:val="center"/>
      </w:pPr>
      <w:r w:rsidRPr="1432D052" w:rsidR="144E8335">
        <w:rPr>
          <w:rFonts w:ascii="Arial" w:hAnsi="Arial" w:eastAsia="Arial" w:cs="Arial"/>
          <w:b w:val="1"/>
          <w:bCs w:val="1"/>
          <w:i w:val="0"/>
          <w:iCs w:val="0"/>
          <w:caps w:val="0"/>
          <w:smallCaps w:val="0"/>
          <w:noProof w:val="0"/>
          <w:color w:val="000000" w:themeColor="text1" w:themeTint="FF" w:themeShade="FF"/>
          <w:sz w:val="22"/>
          <w:szCs w:val="22"/>
          <w:lang w:val="en-GB"/>
        </w:rPr>
        <w:t>LECTURER: RIZWAN NADEEM</w:t>
      </w:r>
    </w:p>
    <w:p w:rsidR="6CF8EA41" w:rsidP="1432D052" w:rsidRDefault="6CF8EA41" w14:paraId="142D25D9" w14:textId="32085BBF">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MODULE: PRINCIPLES OF HEALTH AND SOCIAL CARE PRACTICE</w:t>
      </w:r>
    </w:p>
    <w:p w:rsidR="6CF8EA41" w:rsidP="1432D052" w:rsidRDefault="6CF8EA41" w14:paraId="1889F395" w14:textId="2E5EAD41">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MODULE CODE: BMHP5016</w:t>
      </w:r>
    </w:p>
    <w:p w:rsidR="6CF8EA41" w:rsidP="1432D052" w:rsidRDefault="6CF8EA41" w14:paraId="5A696A40" w14:textId="60B8F171">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COMPONENT 2: WRITTEN ASSIGNMENT (REPORT</w:t>
      </w:r>
    </w:p>
    <w:p w:rsidR="6CF8EA41" w:rsidP="1432D052" w:rsidRDefault="6CF8EA41" w14:paraId="013448C5" w14:textId="526CDE3A">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UNIVERSITY OF WALES TRINITY SAINT DAVID</w:t>
      </w:r>
    </w:p>
    <w:p w:rsidR="6CF8EA41" w:rsidP="1432D052" w:rsidRDefault="6CF8EA41" w14:paraId="79F433FB" w14:textId="52D76CC7">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6CF8EA41">
        <w:rPr>
          <w:rFonts w:ascii="Arial" w:hAnsi="Arial" w:eastAsia="Arial" w:cs="Arial"/>
          <w:b w:val="1"/>
          <w:bCs w:val="1"/>
          <w:i w:val="0"/>
          <w:iCs w:val="0"/>
          <w:caps w:val="0"/>
          <w:smallCaps w:val="0"/>
          <w:noProof w:val="0"/>
          <w:color w:val="000000" w:themeColor="text1" w:themeTint="FF" w:themeShade="FF"/>
          <w:sz w:val="22"/>
          <w:szCs w:val="22"/>
          <w:lang w:val="en-GB"/>
        </w:rPr>
        <w:t>SUBMISSION DATE: JULY 26TH, 2026</w:t>
      </w:r>
    </w:p>
    <w:p w:rsidR="1432D052" w:rsidP="1432D052" w:rsidRDefault="1432D052" w14:paraId="76EA2FC7" w14:textId="5981BF08">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p>
    <w:p w:rsidR="1432D052" w:rsidRDefault="1432D052" w14:paraId="0D8C93CA" w14:textId="1576177A">
      <w:r>
        <w:br w:type="page"/>
      </w:r>
    </w:p>
    <w:p w:rsidR="036ECB42" w:rsidP="1432D052" w:rsidRDefault="036ECB42" w14:paraId="4D618BCA" w14:textId="36A9D875">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036ECB42">
        <w:rPr>
          <w:rFonts w:ascii="Arial" w:hAnsi="Arial" w:eastAsia="Arial" w:cs="Arial"/>
          <w:b w:val="1"/>
          <w:bCs w:val="1"/>
          <w:noProof w:val="0"/>
          <w:sz w:val="22"/>
          <w:szCs w:val="22"/>
          <w:lang w:val="en-GB"/>
        </w:rPr>
        <w:t>Abstract</w:t>
      </w:r>
    </w:p>
    <w:p w:rsidR="036ECB42" w:rsidP="1432D052" w:rsidRDefault="036ECB42" w14:paraId="62D6CFD7" w14:textId="691B98B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036ECB42">
        <w:rPr>
          <w:rFonts w:ascii="Arial" w:hAnsi="Arial" w:eastAsia="Arial" w:cs="Arial"/>
          <w:b w:val="0"/>
          <w:bCs w:val="0"/>
          <w:i w:val="0"/>
          <w:iCs w:val="0"/>
          <w:caps w:val="0"/>
          <w:smallCaps w:val="0"/>
          <w:noProof w:val="0"/>
          <w:color w:val="000000" w:themeColor="text1" w:themeTint="FF" w:themeShade="FF"/>
          <w:sz w:val="22"/>
          <w:szCs w:val="22"/>
          <w:lang w:val="en-GB"/>
        </w:rPr>
        <w:t>This report critically examines person-centred care (PCC) and partnership working (PW) in community care, drawing the conclusion that both are more clearly defined as a policy principle than as a provision in resourcing dispersed, home-based practice. The report draws on the social model of disability as a theoretical framework to demonstrate that a social and environmental approach to disability, rather than the clinical approach, is the most likely to restrict the ability of community practitioners to be truly person-centred. It uses principles and a relational ethics of care to explore a realistic issue of refused visits and a safeguarding duty within a homecare setting and considers Integrated Care Systems as the main mechanism in partnership working from 2022 onwards. The Care Act 2014 and Health and Care Act 2022 show that there has been a longstanding discrepancy between the statutory personalisation requirements and practice currently driven by eligibility requirements, and a shortage of qualified staff. The report ends with two evidence-based recommendations for staff capacity and better accountability for community-based teams in Integrated Care Systems.</w:t>
      </w:r>
    </w:p>
    <w:p w:rsidR="1432D052" w:rsidP="1432D052" w:rsidRDefault="1432D052" w14:paraId="0E3679EC" w14:textId="0AA2942E">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p>
    <w:p w:rsidR="1432D052" w:rsidP="1432D052" w:rsidRDefault="1432D052" w14:paraId="25DB78EC" w14:textId="50BC9A0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432D052" w:rsidRDefault="1432D052" w14:paraId="3497466F" w14:textId="0C7F9AA6">
      <w:r>
        <w:br w:type="page"/>
      </w:r>
    </w:p>
    <w:p w:rsidR="7E4F4C87" w:rsidP="1432D052" w:rsidRDefault="7E4F4C87" w14:paraId="74C027C0" w14:textId="5A94CDBC">
      <w:pPr>
        <w:pStyle w:val="Normal"/>
      </w:pPr>
      <w:r w:rsidRPr="1432D052" w:rsidR="7E4F4C87">
        <w:rPr>
          <w:rFonts w:ascii="Arial" w:hAnsi="Arial" w:eastAsia="Arial" w:cs="Arial"/>
          <w:b w:val="0"/>
          <w:bCs w:val="0"/>
          <w:i w:val="0"/>
          <w:iCs w:val="0"/>
          <w:caps w:val="0"/>
          <w:smallCaps w:val="0"/>
          <w:noProof w:val="0"/>
          <w:color w:val="000000" w:themeColor="text1" w:themeTint="FF" w:themeShade="FF"/>
          <w:sz w:val="22"/>
          <w:szCs w:val="22"/>
          <w:lang w:val="en-GB"/>
        </w:rPr>
        <w:t>Table of contents</w:t>
      </w:r>
    </w:p>
    <w:p w:rsidR="7E4F4C87" w:rsidP="1432D052" w:rsidRDefault="7E4F4C87" w14:paraId="48DE03E2" w14:textId="38451FC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7E4F4C87">
        <w:rPr>
          <w:rFonts w:ascii="Arial" w:hAnsi="Arial" w:eastAsia="Arial" w:cs="Arial"/>
          <w:b w:val="1"/>
          <w:bCs w:val="1"/>
          <w:i w:val="0"/>
          <w:iCs w:val="0"/>
          <w:caps w:val="0"/>
          <w:smallCaps w:val="0"/>
          <w:noProof w:val="0"/>
          <w:color w:val="000000" w:themeColor="text1" w:themeTint="FF" w:themeShade="FF"/>
          <w:sz w:val="22"/>
          <w:szCs w:val="22"/>
          <w:lang w:val="en-GB"/>
        </w:rPr>
        <w:t>Abstract..................................................................................................................................2 introduction............................................................................................................................4 Definition of Person-</w:t>
      </w:r>
      <w:r w:rsidRPr="1432D052" w:rsidR="41FEB891">
        <w:rPr>
          <w:rFonts w:ascii="Arial" w:hAnsi="Arial" w:eastAsia="Arial" w:cs="Arial"/>
          <w:b w:val="1"/>
          <w:bCs w:val="1"/>
          <w:i w:val="0"/>
          <w:iCs w:val="0"/>
          <w:caps w:val="0"/>
          <w:smallCaps w:val="0"/>
          <w:noProof w:val="0"/>
          <w:color w:val="000000" w:themeColor="text1" w:themeTint="FF" w:themeShade="FF"/>
          <w:sz w:val="22"/>
          <w:szCs w:val="22"/>
          <w:lang w:val="en-GB"/>
        </w:rPr>
        <w:t>Centred</w:t>
      </w:r>
      <w:r w:rsidRPr="1432D052" w:rsidR="7E4F4C87">
        <w:rPr>
          <w:rFonts w:ascii="Arial" w:hAnsi="Arial" w:eastAsia="Arial" w:cs="Arial"/>
          <w:b w:val="1"/>
          <w:bCs w:val="1"/>
          <w:i w:val="0"/>
          <w:iCs w:val="0"/>
          <w:caps w:val="0"/>
          <w:smallCaps w:val="0"/>
          <w:noProof w:val="0"/>
          <w:color w:val="000000" w:themeColor="text1" w:themeTint="FF" w:themeShade="FF"/>
          <w:sz w:val="22"/>
          <w:szCs w:val="22"/>
          <w:lang w:val="en-GB"/>
        </w:rPr>
        <w:t xml:space="preserve"> Car</w:t>
      </w:r>
      <w:r w:rsidRPr="1432D052" w:rsidR="24D20C0C">
        <w:rPr>
          <w:rFonts w:ascii="Arial" w:hAnsi="Arial" w:eastAsia="Arial" w:cs="Arial"/>
          <w:b w:val="1"/>
          <w:bCs w:val="1"/>
          <w:i w:val="0"/>
          <w:iCs w:val="0"/>
          <w:caps w:val="0"/>
          <w:smallCaps w:val="0"/>
          <w:noProof w:val="0"/>
          <w:color w:val="000000" w:themeColor="text1" w:themeTint="FF" w:themeShade="FF"/>
          <w:sz w:val="22"/>
          <w:szCs w:val="22"/>
          <w:lang w:val="en-GB"/>
        </w:rPr>
        <w:t>e...................................................................</w:t>
      </w:r>
      <w:r w:rsidRPr="1432D052" w:rsidR="00C100AA">
        <w:rPr>
          <w:rFonts w:ascii="Arial" w:hAnsi="Arial" w:eastAsia="Arial" w:cs="Arial"/>
          <w:b w:val="1"/>
          <w:bCs w:val="1"/>
          <w:i w:val="0"/>
          <w:iCs w:val="0"/>
          <w:caps w:val="0"/>
          <w:smallCaps w:val="0"/>
          <w:noProof w:val="0"/>
          <w:color w:val="000000" w:themeColor="text1" w:themeTint="FF" w:themeShade="FF"/>
          <w:sz w:val="22"/>
          <w:szCs w:val="22"/>
          <w:lang w:val="en-GB"/>
        </w:rPr>
        <w:t>..</w:t>
      </w:r>
      <w:r w:rsidRPr="1432D052" w:rsidR="24D20C0C">
        <w:rPr>
          <w:rFonts w:ascii="Arial" w:hAnsi="Arial" w:eastAsia="Arial" w:cs="Arial"/>
          <w:b w:val="1"/>
          <w:bCs w:val="1"/>
          <w:i w:val="0"/>
          <w:iCs w:val="0"/>
          <w:caps w:val="0"/>
          <w:smallCaps w:val="0"/>
          <w:noProof w:val="0"/>
          <w:color w:val="000000" w:themeColor="text1" w:themeTint="FF" w:themeShade="FF"/>
          <w:sz w:val="22"/>
          <w:szCs w:val="22"/>
          <w:lang w:val="en-GB"/>
        </w:rPr>
        <w:t>..................4</w:t>
      </w:r>
      <w:r w:rsidRPr="1432D052" w:rsidR="40E32491">
        <w:rPr>
          <w:rFonts w:ascii="Arial" w:hAnsi="Arial" w:eastAsia="Arial" w:cs="Arial"/>
          <w:b w:val="1"/>
          <w:bCs w:val="1"/>
          <w:i w:val="0"/>
          <w:iCs w:val="0"/>
          <w:caps w:val="0"/>
          <w:smallCaps w:val="0"/>
          <w:noProof w:val="0"/>
          <w:color w:val="000000" w:themeColor="text1" w:themeTint="FF" w:themeShade="FF"/>
          <w:sz w:val="22"/>
          <w:szCs w:val="22"/>
          <w:lang w:val="en-GB"/>
        </w:rPr>
        <w:t xml:space="preserve"> Relevant Theory: The Social Model of Disability................................................................4 E</w:t>
      </w:r>
      <w:r w:rsidRPr="1432D052" w:rsidR="73F77DDB">
        <w:rPr>
          <w:rFonts w:ascii="Arial" w:hAnsi="Arial" w:eastAsia="Arial" w:cs="Arial"/>
          <w:b w:val="1"/>
          <w:bCs w:val="1"/>
          <w:i w:val="0"/>
          <w:iCs w:val="0"/>
          <w:caps w:val="0"/>
          <w:smallCaps w:val="0"/>
          <w:noProof w:val="0"/>
          <w:color w:val="000000" w:themeColor="text1" w:themeTint="FF" w:themeShade="FF"/>
          <w:sz w:val="22"/>
          <w:szCs w:val="22"/>
          <w:lang w:val="en-GB"/>
        </w:rPr>
        <w:t>thical Fundamental..............................................................................................................5 Partnership Working..............................................................................................................</w:t>
      </w:r>
      <w:r w:rsidRPr="1432D052" w:rsidR="0E63A83C">
        <w:rPr>
          <w:rFonts w:ascii="Arial" w:hAnsi="Arial" w:eastAsia="Arial" w:cs="Arial"/>
          <w:b w:val="1"/>
          <w:bCs w:val="1"/>
          <w:i w:val="0"/>
          <w:iCs w:val="0"/>
          <w:caps w:val="0"/>
          <w:smallCaps w:val="0"/>
          <w:noProof w:val="0"/>
          <w:color w:val="000000" w:themeColor="text1" w:themeTint="FF" w:themeShade="FF"/>
          <w:sz w:val="22"/>
          <w:szCs w:val="22"/>
          <w:lang w:val="en-GB"/>
        </w:rPr>
        <w:t>6 Policy and Legislation...........................................................................................................6 Recommendations.................................................................................................................7</w:t>
      </w:r>
      <w:r w:rsidRPr="1432D052" w:rsidR="6A0FE4D1">
        <w:rPr>
          <w:rFonts w:ascii="Arial" w:hAnsi="Arial" w:eastAsia="Arial" w:cs="Arial"/>
          <w:b w:val="1"/>
          <w:bCs w:val="1"/>
          <w:i w:val="0"/>
          <w:iCs w:val="0"/>
          <w:caps w:val="0"/>
          <w:smallCaps w:val="0"/>
          <w:noProof w:val="0"/>
          <w:color w:val="000000" w:themeColor="text1" w:themeTint="FF" w:themeShade="FF"/>
          <w:sz w:val="22"/>
          <w:szCs w:val="22"/>
          <w:lang w:val="en-GB"/>
        </w:rPr>
        <w:t xml:space="preserve"> Conclusion.............................................................................................................................7 References..............................................................................................................................8</w:t>
      </w:r>
    </w:p>
    <w:p w:rsidR="1432D052" w:rsidRDefault="1432D052" w14:paraId="1A08D819" w14:textId="27BDFEC0">
      <w:r>
        <w:br w:type="page"/>
      </w:r>
    </w:p>
    <w:p w:rsidR="16286C27" w:rsidP="1432D052" w:rsidRDefault="16286C27" w14:paraId="1EBB9FFF" w14:textId="38672265">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Introduction</w:t>
      </w:r>
    </w:p>
    <w:p w:rsidR="16286C27" w:rsidP="1432D052" w:rsidRDefault="16286C27" w14:paraId="793E468F" w14:textId="23BB953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This report critically examines person-centred care (PCC) and partnership working (PW) within health and social care practice in the UK. Community care is selected as the test case because it is extremely challenging for both principles: care is provided in widely scattered private residences (not the same supervised "ward") and care is provided at irregular intervals (not 24 hours a day); the results are tied closely to the person's environment and support networks. The social model of disability is then explored as a useful underpinning theory, then the ethical principles underpinning practice are analysed, partnership working is explored through the lens of the Integrated Care Systems, and the policy and legislative landscape underpinning both are discussed. The argument that follows is that PCC and PW are easily communicated as principles, but more difficult to implement when the rigours of real community resourcing needs are considered, and this tension is explored through each section before recommendations are made.</w:t>
      </w:r>
    </w:p>
    <w:p w:rsidR="16286C27" w:rsidP="1432D052" w:rsidRDefault="16286C27" w14:paraId="018BB417" w14:textId="11EA9BFD">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Definition of Person-Centred Care</w:t>
      </w:r>
    </w:p>
    <w:p w:rsidR="16286C27" w:rsidP="1432D052" w:rsidRDefault="16286C27" w14:paraId="552AB3ED" w14:textId="26DC9CE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McCance and McCormack (2025) describe person-centred care as an approach that has been developed through relationships between practitioners, those receiving care, and other people who are important to them, based on respect for the person's values, self-determination, and life circumstances. Kelsall-Knight and Stevens (2023) also emphasize the need to shift from condition-based service provision to provision of care based on the person's own priorities. Relationship-building is a core element of PCC, and this aspect of PCC is key to its strengths as well as its limitations. However, when sustained relationships can be created, Ahmed et al. (2022) report that satisfaction increases and self-reported outcomes improve, as a practitioner familiar with a person’s life can make decisions based on what the person would prefer rather than a generic pathway. But when resourcing is limited, the same relational process used becomes a barrier: Marulappa et al (2022), focusing on implementation in outpatient and home/community settings, point to barriers such as staffing pressure and limited contact time, which impede the development of a meaningful relationship-based PCC. Whereas in community care, this tension becomes tangible when the community nurse has pre-arranged a fixed time for a home visit of 15 minutes, from which the relationship quality and relational knowledge person-centred practice presupposes is not possible, no matter how skilful and caring they are. It is important to note that in a community context, PCC is not a static milestone but rather an ability that is cultivated and developed over time and continuity.</w:t>
      </w:r>
    </w:p>
    <w:p w:rsidR="16286C27" w:rsidP="1432D052" w:rsidRDefault="16286C27" w14:paraId="755CB6F8" w14:textId="6931BEAC">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Relevant Theory: The Social Model of Disability</w:t>
      </w:r>
    </w:p>
    <w:p w:rsidR="16286C27" w:rsidP="1432D052" w:rsidRDefault="16286C27" w14:paraId="58C1889E" w14:textId="51992E0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The social model of disability is helpful as a theoretical framework when thinking about person-centred care in community settings because it moves the focus of disadvantage away from the impairment, and towards the structures around the person and their environment (Oliver, 1996). For community care, this is important because elements like inaccessible housing, unreliable transport, or rigid visit scheduling by the provider could be seen as barriers created by society, not a natural outcome of a person's health status. The relevance between the model and PCC is mediated: both call into question the professional-led and deficit-oriented description of the person, and instead state that the environment of the person must be a primary focus for intervention, rather than the person's diagnosis. Applied to community care, it redirects focus from the clinical "illness" and focuses on practical, environmental barriers, which can be more easily realised within the home than the hospital and which are already a part of the workplace for community care practitioners.</w:t>
      </w:r>
    </w:p>
    <w:p w:rsidR="16286C27" w:rsidP="1432D052" w:rsidRDefault="16286C27" w14:paraId="4AFDC016" w14:textId="5ECB7DD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There has been some backlash on this approach, however. The social model should not be a full or final account of disability, says Lawson and Beckett (2021), and should be seen as complementary to a model based on human rights, rather than an alternative, as a shift from "removing barriers" involves recognising entitlements the person has, as a rights-holder, which also has implications for how community services should be resourced, not simply rearranged. A more strident objection is from Adam and Koutsoklenis (2023), who point to differences in disability models and doubt if the social model is enough to compensate, as whilst the setting may become more accessible, the needs of the person at an impairment level, such as needing clinical treatment or personal care, may still remain. As a whole, these critiques indicate that despite the value of the social model as a critique of deficit-based practice, it cannot be the sole basis for community care - that is because there are other needs that are impairment-related which are better addressed in the environment, rather than in the social model.</w:t>
      </w:r>
    </w:p>
    <w:p w:rsidR="16286C27" w:rsidP="1432D052" w:rsidRDefault="16286C27" w14:paraId="0BF7F764" w14:textId="1FFF34F6">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Ethical Fundamentals</w:t>
      </w:r>
    </w:p>
    <w:p w:rsidR="16286C27" w:rsidP="1432D052" w:rsidRDefault="16286C27" w14:paraId="1E21B790" w14:textId="0744A6B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After 40 years, Beauchamp and Childress's framework of four principles of autonomy, beneficence, non-</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maleficence</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and justice </w:t>
      </w:r>
      <w:r w:rsidRPr="1432D052" w:rsidR="587F2BCD">
        <w:rPr>
          <w:rFonts w:ascii="Arial" w:hAnsi="Arial" w:eastAsia="Arial" w:cs="Arial"/>
          <w:b w:val="0"/>
          <w:bCs w:val="0"/>
          <w:i w:val="0"/>
          <w:iCs w:val="0"/>
          <w:caps w:val="0"/>
          <w:smallCaps w:val="0"/>
          <w:noProof w:val="0"/>
          <w:color w:val="000000" w:themeColor="text1" w:themeTint="FF" w:themeShade="FF"/>
          <w:sz w:val="22"/>
          <w:szCs w:val="22"/>
          <w:lang w:val="en-GB"/>
        </w:rPr>
        <w:t>remain</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the predominant approach to ethical thinking in health and social care and continues to influence health and social care professionals when making decisions (Shea, 2020). These principles are directly relevant for PCC and PW because both involve balancing the person's preferences with what practitioners believe is in the person's best interests, often in conjunction with others; not in isolation. A community care scenario in which these two principles are brought into tension is the case where a person has declined a planned home visit, but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subsequently</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fails to</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meet the needs for which the care was proposed, including administering medication, such that safeguarding</w:t>
      </w:r>
    </w:p>
    <w:p w:rsidR="16286C27" w:rsidP="1432D052" w:rsidRDefault="16286C27" w14:paraId="33899C2B" w14:textId="4B1CD3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concerns arise. At the same time, this conflict isn't easily complexed by a single word or term; this is how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Principism</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can be applied to name this conflict but doesn't, in itself, resolve what </w:t>
      </w:r>
      <w:r w:rsidRPr="1432D052" w:rsidR="267C6329">
        <w:rPr>
          <w:rFonts w:ascii="Arial" w:hAnsi="Arial" w:eastAsia="Arial" w:cs="Arial"/>
          <w:b w:val="0"/>
          <w:bCs w:val="0"/>
          <w:i w:val="0"/>
          <w:iCs w:val="0"/>
          <w:caps w:val="0"/>
          <w:smallCaps w:val="0"/>
          <w:noProof w:val="0"/>
          <w:color w:val="000000" w:themeColor="text1" w:themeTint="FF" w:themeShade="FF"/>
          <w:sz w:val="22"/>
          <w:szCs w:val="22"/>
          <w:lang w:val="en-GB"/>
        </w:rPr>
        <w:t>principal</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takes precedence, especially when tackling other contested areas of practice (Allen et al. 2025). In contrast,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Selvakumar</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and Kenny's (2023) "relational ethics of care" focuses on the quality and continuity of the care relationship, and trust is at the heart of ethical practice rather than a single overarching principle which leads to truly person-centred solutions. A relational approach to the dilemma is more likely to be successful than a principled one – which would inevitably risk harm to the person's autonomy by assuming a ‘safeguarding override’ – because if the practitioner is able to establish a longer-term pattern of communication and get to know the person's reasons for refusal, this will provide a way for the practitioner to work around the autonomy issue (or not override it, as it were) while still reducing the risk. In the community sector, where one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doesn't</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need to wait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long periods</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of time for the overlay and where trust is the single most powerful tool the practitioner has at her disposal, a relational lens does more of the ethical work.</w:t>
      </w:r>
    </w:p>
    <w:p w:rsidR="1432D052" w:rsidP="1432D052" w:rsidRDefault="1432D052" w14:paraId="5897D281" w14:textId="3CF19C7C">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p>
    <w:p w:rsidR="16286C27" w:rsidP="1432D052" w:rsidRDefault="16286C27" w14:paraId="4E296CE3" w14:textId="7E12BFF7">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Partnership Working</w:t>
      </w:r>
    </w:p>
    <w:p w:rsidR="16286C27" w:rsidP="1432D052" w:rsidRDefault="16286C27" w14:paraId="273C63AA" w14:textId="1109587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Partnership working is about organisations within health, social care and the voluntary sectors working together towards outcomes for the population they serve and is important as no one organisation has the capacity to address all of the needs a person in community care is likely to present. The British government also introduced a new integrated health structure in England, called Integrated Care Systems (ICS), which were made statutory in April 2022, and this effectively became the new framework for partnership working in England (Thomson and Chatterjee, 2023). Davis et al. (2025) give a practical example of how the intended benefits would materialise in their case, through an integrated community partnership model which enabled co-ordinated input from health, social care and community organisations to better enable older people with complex health conditions to access social and health opportunities that were more equitable than fragmented single agency provision would have delivered. This is contrasted by Thomson and Chatterjee (2023), who give examples of ongoing problems in practice such as organisations with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different cultures</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varying data-sharing arrangements and ambiguous accountability between statutory and voluntary sector partners hindering coordination at the point where community care requires it. When applied to community care, however, partnership working can be seen daily by district nurses, social workers, general practitioners and voluntary agencies, and where it fails – not at a strategic level at boards, but at the operational level between agencies – it is most likely to be seen in the form of a delayed referral or an unshared care plan between agencies, which can have a direct impact on the person-centred continuity that had been discussed earlier in this report. Overall, the evidence points to improved governance arrangements and formal accountability mechanisms, but</w:t>
      </w:r>
      <w:r w:rsidRPr="1432D052" w:rsidR="71CB02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whether this has yet resulted in better day-to-day outcomes for people receiving community care is less clear; there is a lot more to do before ICS is achieved, as Thomson and Chatterjee's (2023) findings suggest.</w:t>
      </w:r>
    </w:p>
    <w:p w:rsidR="16286C27" w:rsidP="1432D052" w:rsidRDefault="16286C27" w14:paraId="2586C07A" w14:textId="000CB735">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Policy and Legislation</w:t>
      </w:r>
    </w:p>
    <w:p w:rsidR="16286C27" w:rsidP="1432D052" w:rsidRDefault="16286C27" w14:paraId="760C655B" w14:textId="17E553A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The Care Act 2014 has a statutory duty to promote the wellbeing of adults and adults with learning disabilities and promotes personalisation and integration as key principles of adult social care </w:t>
      </w:r>
      <w:r w:rsidRPr="1432D052" w:rsidR="4DF3940D">
        <w:rPr>
          <w:rFonts w:ascii="Arial" w:hAnsi="Arial" w:eastAsia="Arial" w:cs="Arial"/>
          <w:b w:val="0"/>
          <w:bCs w:val="0"/>
          <w:i w:val="0"/>
          <w:iCs w:val="0"/>
          <w:caps w:val="0"/>
          <w:smallCaps w:val="0"/>
          <w:noProof w:val="0"/>
          <w:color w:val="000000" w:themeColor="text1" w:themeTint="FF" w:themeShade="FF"/>
          <w:sz w:val="22"/>
          <w:szCs w:val="22"/>
          <w:lang w:val="en-GB"/>
        </w:rPr>
        <w:t>to</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put the outcomes of the individual at the heart of provision. </w:t>
      </w:r>
      <w:r w:rsidRPr="1432D052" w:rsidR="0B93F2B7">
        <w:rPr>
          <w:rFonts w:ascii="Arial" w:hAnsi="Arial" w:eastAsia="Arial" w:cs="Arial"/>
          <w:b w:val="0"/>
          <w:bCs w:val="0"/>
          <w:i w:val="0"/>
          <w:iCs w:val="0"/>
          <w:caps w:val="0"/>
          <w:smallCaps w:val="0"/>
          <w:noProof w:val="0"/>
          <w:color w:val="000000" w:themeColor="text1" w:themeTint="FF" w:themeShade="FF"/>
          <w:sz w:val="22"/>
          <w:szCs w:val="22"/>
          <w:lang w:val="en-GB"/>
        </w:rPr>
        <w:t>However</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Bark (2025) suggests, the concept of personalisation as outlined in the Act has been significantly transformed by its requirement for eligibility based on resources, and the talk of personal choice often becomes personal need and limited eligibility in practice. The community nursing sector was then given a central role in the Health and Care Act 2022, which establishes Integrated Care Systems as a statutory entity and has implications for these services beyond the planning and accountability of the organisation, including at system level (Dowie, 2025). Mixed in here is the twin tension between the twin Acts: the Health and Care Act's process of integration at a systems level is predominantly community-based and will shift community provision toward standardised support pathways and shared resources allocation within a more connected and integrated system, which will limit the flexibility ensured by the Care Act's personalisation ideal; and the Care Act's emphasis on personalisation, while primarily focused on individual, person-led decision making, will push toward individualised services for those accessing provision in the community, which may be at odds with the standardised support pathways and shared resources allocation at a more integrated systems level enshrined in the Health and Care Act. In the context of the Care Act duty on carers, local authorities have responded to the statutory requirement to support carers in </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different ways</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across England with local funding levels, providing direct evidence of this gap (Marczak et al., 2022). The most obvious finding from the policy evidence is therefore that community care legislation lays out an ambitious agenda of personalising and integrating services on paper and many of these services continue to be delivered in a way influenced by resourcing pressures in the local area, as identified by Bark (2025) and by Marczak et al. (2022).</w:t>
      </w:r>
    </w:p>
    <w:p w:rsidR="16286C27" w:rsidP="1432D052" w:rsidRDefault="16286C27" w14:paraId="21124EB0" w14:textId="58287872">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Recommendations</w:t>
      </w:r>
    </w:p>
    <w:p w:rsidR="16286C27" w:rsidP="1432D052" w:rsidRDefault="16286C27" w14:paraId="08E7746A" w14:textId="15AAECA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The limitations listed above lead to two recommendations. First, staffing and time pressures are identified by Marulappa et al. (2022) as limiting relationship-based PCC in home and community settings, so commissioners should provide dedicated time in community care contracts for building the relationship, with care not to be driven by the completion of tasks only, so that practitioners would have the continuity that the person-centred and relational ethics evidence discussed earlier suggests is needed for trust to build; and A realistic obstacle</w:t>
      </w:r>
    </w:p>
    <w:p w:rsidR="16286C27" w:rsidP="1432D052" w:rsidRDefault="16286C27" w14:paraId="20A7D2F4" w14:textId="7FEAC96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to this is funding: budgets for community care are already very tight and the provision of protected relational time is a direct cost and will need either extra funding, or a clear demonstration of a migration from a less valuable way of spending resources. Second, as highlighted by Thomson and Chatterjee (2023) in their review of ICS approaches to accountability, the governance structures of ICS should have a named accountability for community-based teams at ICS, and not just at acute/strategic system level, allowing for the identification and review of failures when they happen, for example within the Partnership Working section of this report. The actual challenge is workforce and organisational capacity: community services are often the least developed and/or least involved at the ICS decision-making level; developing and maintaining accountability mechanisms for community services will need a change in system-level priority-setting, which competing acute-sector pressures</w:t>
      </w: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32D052" w:rsidR="12710C13">
        <w:rPr>
          <w:rFonts w:ascii="Arial" w:hAnsi="Arial" w:eastAsia="Arial" w:cs="Arial"/>
          <w:b w:val="0"/>
          <w:bCs w:val="0"/>
          <w:i w:val="0"/>
          <w:iCs w:val="0"/>
          <w:caps w:val="0"/>
          <w:smallCaps w:val="0"/>
          <w:noProof w:val="0"/>
          <w:color w:val="000000" w:themeColor="text1" w:themeTint="FF" w:themeShade="FF"/>
          <w:sz w:val="22"/>
          <w:szCs w:val="22"/>
          <w:lang w:val="en-GB"/>
        </w:rPr>
        <w:t>may make difficult to stick with.</w:t>
      </w:r>
    </w:p>
    <w:p w:rsidR="16286C27" w:rsidP="1432D052" w:rsidRDefault="16286C27" w14:paraId="54B836FF" w14:textId="1484ACBF">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16286C27">
        <w:rPr>
          <w:rFonts w:ascii="Arial" w:hAnsi="Arial" w:eastAsia="Arial" w:cs="Arial"/>
          <w:b w:val="1"/>
          <w:bCs w:val="1"/>
          <w:noProof w:val="0"/>
          <w:sz w:val="22"/>
          <w:szCs w:val="22"/>
          <w:lang w:val="en-GB"/>
        </w:rPr>
        <w:t>Conclusion</w:t>
      </w:r>
    </w:p>
    <w:p w:rsidR="16286C27" w:rsidP="1432D052" w:rsidRDefault="16286C27" w14:paraId="22A694DE" w14:textId="5567E7B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432D052" w:rsidR="16286C27">
        <w:rPr>
          <w:rFonts w:ascii="Arial" w:hAnsi="Arial" w:eastAsia="Arial" w:cs="Arial"/>
          <w:b w:val="0"/>
          <w:bCs w:val="0"/>
          <w:i w:val="0"/>
          <w:iCs w:val="0"/>
          <w:caps w:val="0"/>
          <w:smallCaps w:val="0"/>
          <w:noProof w:val="0"/>
          <w:color w:val="000000" w:themeColor="text1" w:themeTint="FF" w:themeShade="FF"/>
          <w:sz w:val="22"/>
          <w:szCs w:val="22"/>
          <w:lang w:val="en-GB"/>
        </w:rPr>
        <w:t>This report has revealed how relational ethic of care is often constrained by investing in resourcing for relationship building, how the social model has effectively repurposed challenges as environmental and demanded, in addition, attention to the need at the level of impairment, how the relational model of care ethic usefully reframes everyday community dilemmas in a more workable way than the principlistic approach, and how governance is well enhanced but not yet clearly shown to be strongly related to a significant improvement in outcomes in the context of Integrated Care Systems. All this helps to reinforce the central tenet of the report that PCC and PW are not as easily practised as they are laid out as principles in the community care environment. Meeting the identified staffing and accountability gaps would put both principles into practice towards their stated aim.</w:t>
      </w:r>
    </w:p>
    <w:p w:rsidR="1432D052" w:rsidP="1432D052" w:rsidRDefault="1432D052" w14:paraId="3A3FB13E" w14:textId="02ADF45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2B4A97" w:rsidP="1432D052" w:rsidRDefault="772B4A97" w14:paraId="684FB0E8" w14:textId="3D48C80B">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r w:rsidRPr="1432D052" w:rsidR="772B4A97">
        <w:rPr>
          <w:rFonts w:ascii="Arial" w:hAnsi="Arial" w:eastAsia="Arial" w:cs="Arial"/>
          <w:b w:val="1"/>
          <w:bCs w:val="1"/>
          <w:noProof w:val="0"/>
          <w:sz w:val="22"/>
          <w:szCs w:val="22"/>
          <w:lang w:val="en-GB"/>
        </w:rPr>
        <w:t>Reference List</w:t>
      </w:r>
    </w:p>
    <w:p w:rsidR="772B4A97" w:rsidP="1432D052" w:rsidRDefault="772B4A97" w14:paraId="39D13816" w14:textId="5A94BDA6">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Adam, S. and Koutsoklenis, A. (2023) 'Who needs the social model of disability?', Frontiers in Sociology, 8, p.1305301. </w:t>
      </w:r>
      <w:hyperlink r:id="R4a7442569dbc4a0c">
        <w:r w:rsidRPr="1432D052" w:rsidR="772B4A97">
          <w:rPr>
            <w:rStyle w:val="Hyperlink"/>
            <w:rFonts w:ascii="Arial" w:hAnsi="Arial" w:eastAsia="Arial" w:cs="Arial"/>
            <w:b w:val="0"/>
            <w:bCs w:val="0"/>
            <w:i w:val="0"/>
            <w:iCs w:val="0"/>
            <w:caps w:val="0"/>
            <w:smallCaps w:val="0"/>
            <w:noProof w:val="0"/>
            <w:sz w:val="22"/>
            <w:szCs w:val="22"/>
            <w:lang w:val="en-GB"/>
          </w:rPr>
          <w:t>https://www.frontiersin.org/journals/sociology/articles/10.3389/fsoc.2023.1305301/full</w:t>
        </w:r>
      </w:hyperlink>
    </w:p>
    <w:p w:rsidR="772B4A97" w:rsidP="1432D052" w:rsidRDefault="772B4A97" w14:paraId="255F1213" w14:textId="5B1589AB">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Ahmed, A., van den Muijsenbergh, M.E.T.C. and Vrijhoef, H.J.M. (2022) 'Person-centred care in primary care: What works for whom, how and in what circumstances?', Health &amp; Social Care in the Community, 30, pp.e3328–e3341. </w:t>
      </w:r>
      <w:hyperlink r:id="R458dffd3bf4c4cf6">
        <w:r w:rsidRPr="1432D052" w:rsidR="772B4A97">
          <w:rPr>
            <w:rStyle w:val="Hyperlink"/>
            <w:rFonts w:ascii="Arial" w:hAnsi="Arial" w:eastAsia="Arial" w:cs="Arial"/>
            <w:b w:val="0"/>
            <w:bCs w:val="0"/>
            <w:i w:val="0"/>
            <w:iCs w:val="0"/>
            <w:caps w:val="0"/>
            <w:smallCaps w:val="0"/>
            <w:noProof w:val="0"/>
            <w:sz w:val="22"/>
            <w:szCs w:val="22"/>
            <w:lang w:val="en-GB"/>
          </w:rPr>
          <w:t>https://doi.org/10.1111/hsc.13913</w:t>
        </w:r>
      </w:hyperlink>
    </w:p>
    <w:p w:rsidR="772B4A97" w:rsidP="1432D052" w:rsidRDefault="772B4A97" w14:paraId="3B3CA493" w14:textId="50518053">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Allen, L.R. et al. (2025) 'Principlism and contemporary ethical considerations for providers of transgender health care', International Journal of Transgender Health, 26(3), pp.611–629. </w:t>
      </w:r>
      <w:hyperlink r:id="R3a7a5debfd714df0">
        <w:r w:rsidRPr="1432D052" w:rsidR="772B4A97">
          <w:rPr>
            <w:rStyle w:val="Hyperlink"/>
            <w:rFonts w:ascii="Arial" w:hAnsi="Arial" w:eastAsia="Arial" w:cs="Arial"/>
            <w:b w:val="0"/>
            <w:bCs w:val="0"/>
            <w:i w:val="0"/>
            <w:iCs w:val="0"/>
            <w:caps w:val="0"/>
            <w:smallCaps w:val="0"/>
            <w:noProof w:val="0"/>
            <w:sz w:val="22"/>
            <w:szCs w:val="22"/>
            <w:lang w:val="en-GB"/>
          </w:rPr>
          <w:t>https://www.tandfonline.com/doi/pdf/10.1080/26895269.2024.2303462</w:t>
        </w:r>
      </w:hyperlink>
    </w:p>
    <w:p w:rsidR="772B4A97" w:rsidP="1432D052" w:rsidRDefault="772B4A97" w14:paraId="4AA394CC" w14:textId="01A59693">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Bark, H. (2025) 'Social work, personalisation, and the Care Act 2014: A Bourdieusian analysis', The British Journal of Social Work, 55(3), pp.1161–1177. </w:t>
      </w:r>
      <w:hyperlink r:id="R896381ff1fe04c3f">
        <w:r w:rsidRPr="1432D052" w:rsidR="772B4A97">
          <w:rPr>
            <w:rStyle w:val="Hyperlink"/>
            <w:rFonts w:ascii="Arial" w:hAnsi="Arial" w:eastAsia="Arial" w:cs="Arial"/>
            <w:b w:val="0"/>
            <w:bCs w:val="0"/>
            <w:i w:val="0"/>
            <w:iCs w:val="0"/>
            <w:caps w:val="0"/>
            <w:smallCaps w:val="0"/>
            <w:noProof w:val="0"/>
            <w:sz w:val="22"/>
            <w:szCs w:val="22"/>
            <w:lang w:val="en-GB"/>
          </w:rPr>
          <w:t>https://academic.oup.com/bjsw/article-pdf/55/3/1161/60773644/bcae180.pdf</w:t>
        </w:r>
      </w:hyperlink>
    </w:p>
    <w:p w:rsidR="772B4A97" w:rsidP="1432D052" w:rsidRDefault="772B4A97" w14:paraId="42D7EDC2" w14:textId="3639BCDA">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Davis, J., Bingham, K.S., Easson-Bruno, S. and Horgan, S.A. (2025) 'Integrated care and community partnerships: promoting equitable social health opportunities for older adults living with complex health conditions', Journal of Integrated Care, 33(3), pp.241–259. </w:t>
      </w:r>
      <w:hyperlink r:id="Rda67fff57a444f29">
        <w:r w:rsidRPr="1432D052" w:rsidR="772B4A97">
          <w:rPr>
            <w:rStyle w:val="Hyperlink"/>
            <w:rFonts w:ascii="Arial" w:hAnsi="Arial" w:eastAsia="Arial" w:cs="Arial"/>
            <w:b w:val="0"/>
            <w:bCs w:val="0"/>
            <w:i w:val="0"/>
            <w:iCs w:val="0"/>
            <w:caps w:val="0"/>
            <w:smallCaps w:val="0"/>
            <w:noProof w:val="0"/>
            <w:sz w:val="22"/>
            <w:szCs w:val="22"/>
            <w:lang w:val="en-GB"/>
          </w:rPr>
          <w:t>https://www.emerald.com/jica/article/33/3/241/1265221</w:t>
        </w:r>
      </w:hyperlink>
    </w:p>
    <w:p w:rsidR="772B4A97" w:rsidP="1432D052" w:rsidRDefault="772B4A97" w14:paraId="4D9321A6" w14:textId="06FE70E9">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Dowie, I. (2025) 'The Health and Care Act 2022 and community nursing', British Journal of Community Nursing. </w:t>
      </w:r>
      <w:hyperlink r:id="R38eb0cdaec444b9f">
        <w:r w:rsidRPr="1432D052" w:rsidR="772B4A97">
          <w:rPr>
            <w:rStyle w:val="Hyperlink"/>
            <w:rFonts w:ascii="Arial" w:hAnsi="Arial" w:eastAsia="Arial" w:cs="Arial"/>
            <w:b w:val="0"/>
            <w:bCs w:val="0"/>
            <w:i w:val="0"/>
            <w:iCs w:val="0"/>
            <w:caps w:val="0"/>
            <w:smallCaps w:val="0"/>
            <w:noProof w:val="0"/>
            <w:sz w:val="22"/>
            <w:szCs w:val="22"/>
            <w:lang w:val="en-GB"/>
          </w:rPr>
          <w:t>https://www.britishjournalofcommunitynursing.com/content/policy/the-health-and-care-act-2022-and-community-nursing</w:t>
        </w:r>
      </w:hyperlink>
    </w:p>
    <w:p w:rsidR="772B4A97" w:rsidP="1432D052" w:rsidRDefault="772B4A97" w14:paraId="2CF986AD" w14:textId="4101E313">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Kelsall-Knight, L. and Stevens, R. (2023) 'Exploring the implementation of person-centred care in nursing practice', Nursing Standard. </w:t>
      </w:r>
      <w:hyperlink r:id="Rf6b101f8baa14f2a">
        <w:r w:rsidRPr="1432D052" w:rsidR="772B4A97">
          <w:rPr>
            <w:rStyle w:val="Hyperlink"/>
            <w:rFonts w:ascii="Arial" w:hAnsi="Arial" w:eastAsia="Arial" w:cs="Arial"/>
            <w:b w:val="0"/>
            <w:bCs w:val="0"/>
            <w:i w:val="0"/>
            <w:iCs w:val="0"/>
            <w:caps w:val="0"/>
            <w:smallCaps w:val="0"/>
            <w:noProof w:val="0"/>
            <w:sz w:val="22"/>
            <w:szCs w:val="22"/>
            <w:lang w:val="en-GB"/>
          </w:rPr>
          <w:t>https://journals.rcni.com/nursing-standard/evidence-and-practice/exploring-the-implementation-of-personcentred-care-in-nursing-practice-ns.2023.e12190/abs</w:t>
        </w:r>
      </w:hyperlink>
    </w:p>
    <w:p w:rsidR="772B4A97" w:rsidP="1432D052" w:rsidRDefault="772B4A97" w14:paraId="2BADE6BA" w14:textId="5E51F98A">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Lawson, A. and Beckett, A.E. (2021) 'The social and human rights models of disability: towards a complementarity thesis', The International Journal of Human Rights, 25(2), pp.348–379. </w:t>
      </w:r>
      <w:hyperlink r:id="R2342e509948a40ee">
        <w:r w:rsidRPr="1432D052" w:rsidR="772B4A97">
          <w:rPr>
            <w:rStyle w:val="Hyperlink"/>
            <w:rFonts w:ascii="Arial" w:hAnsi="Arial" w:eastAsia="Arial" w:cs="Arial"/>
            <w:b w:val="0"/>
            <w:bCs w:val="0"/>
            <w:i w:val="0"/>
            <w:iCs w:val="0"/>
            <w:caps w:val="0"/>
            <w:smallCaps w:val="0"/>
            <w:noProof w:val="0"/>
            <w:sz w:val="22"/>
            <w:szCs w:val="22"/>
            <w:lang w:val="en-GB"/>
          </w:rPr>
          <w:t>https://doi.org/10.1080/13642987.2020.1783533</w:t>
        </w:r>
      </w:hyperlink>
    </w:p>
    <w:p w:rsidR="772B4A97" w:rsidP="1432D052" w:rsidRDefault="772B4A97" w14:paraId="19F9D2D1" w14:textId="0DD88207">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Marczak, J., Fernandez, J.L., Manthorpe, J., Brimblecombe, N., Moriarty, J., Knapp, M. and Snell, T. (2022) 'How have the Care Act 2014 ambitions to support carers translated into local practice?', Health &amp; Social Care in the Community, 30(5), pp.e1711–e1720. </w:t>
      </w:r>
      <w:hyperlink r:id="Rb253a2d520ce47bb">
        <w:r w:rsidRPr="1432D052" w:rsidR="772B4A97">
          <w:rPr>
            <w:rStyle w:val="Hyperlink"/>
            <w:rFonts w:ascii="Arial" w:hAnsi="Arial" w:eastAsia="Arial" w:cs="Arial"/>
            <w:b w:val="0"/>
            <w:bCs w:val="0"/>
            <w:i w:val="0"/>
            <w:iCs w:val="0"/>
            <w:caps w:val="0"/>
            <w:smallCaps w:val="0"/>
            <w:noProof w:val="0"/>
            <w:sz w:val="22"/>
            <w:szCs w:val="22"/>
            <w:lang w:val="en-GB"/>
          </w:rPr>
          <w:t>https://eprints.lse.ac.uk/112228/1/Support_for_unpaid_carers_post_Care_Act_Views_of_local_stakeholders_September_2021.pdf</w:t>
        </w:r>
      </w:hyperlink>
    </w:p>
    <w:p w:rsidR="772B4A97" w:rsidP="1432D052" w:rsidRDefault="772B4A97" w14:paraId="7703D4C1" w14:textId="42BC4432">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Marulappa, N., Anderson, N.N., Bethell, J., Bourbonnais, A., Kelly, F., McMurray, J., Rogers, H.L., Vedel, I. and Gagliardi, A.R. (2022) 'How to implement person-centred care and support for dementia in outpatient and home/community settings: Scoping review', BMC Health Services Research, 22(1), p.541. </w:t>
      </w:r>
      <w:hyperlink r:id="R4dd805a6f2c24ed6">
        <w:r w:rsidRPr="1432D052" w:rsidR="772B4A97">
          <w:rPr>
            <w:rStyle w:val="Hyperlink"/>
            <w:rFonts w:ascii="Arial" w:hAnsi="Arial" w:eastAsia="Arial" w:cs="Arial"/>
            <w:b w:val="0"/>
            <w:bCs w:val="0"/>
            <w:i w:val="0"/>
            <w:iCs w:val="0"/>
            <w:caps w:val="0"/>
            <w:smallCaps w:val="0"/>
            <w:noProof w:val="0"/>
            <w:sz w:val="22"/>
            <w:szCs w:val="22"/>
            <w:lang w:val="en-GB"/>
          </w:rPr>
          <w:t>https://link.springer.com/content/pdf/10.1186/s12913-022-07875-w.pdf</w:t>
        </w:r>
      </w:hyperlink>
    </w:p>
    <w:p w:rsidR="772B4A97" w:rsidP="1432D052" w:rsidRDefault="772B4A97" w14:paraId="7DDEB41B" w14:textId="5A700F44">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McCance, T. and McCormack, B. (2025) 'The Person-centred Nursing Framework: a mid-range theory for nursing practice', Journal of Research in Nursing, 30(1), pp.47–60. </w:t>
      </w:r>
      <w:hyperlink r:id="R013f3f61c1274358">
        <w:r w:rsidRPr="1432D052" w:rsidR="772B4A97">
          <w:rPr>
            <w:rStyle w:val="Hyperlink"/>
            <w:rFonts w:ascii="Arial" w:hAnsi="Arial" w:eastAsia="Arial" w:cs="Arial"/>
            <w:b w:val="0"/>
            <w:bCs w:val="0"/>
            <w:i w:val="0"/>
            <w:iCs w:val="0"/>
            <w:caps w:val="0"/>
            <w:smallCaps w:val="0"/>
            <w:noProof w:val="0"/>
            <w:sz w:val="22"/>
            <w:szCs w:val="22"/>
            <w:lang w:val="en-GB"/>
          </w:rPr>
          <w:t>https://journals.sagepub.com/doi/pdf/10.1177/17449871241281428</w:t>
        </w:r>
      </w:hyperlink>
    </w:p>
    <w:p w:rsidR="772B4A97" w:rsidP="1432D052" w:rsidRDefault="772B4A97" w14:paraId="6904E36F" w14:textId="353E067D">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Oliver, M. (1996) The Individual and Social Models of Disability. Leeds: University of Leeds, Centre for Disability Studies. </w:t>
      </w:r>
      <w:hyperlink r:id="R663a59add54b4589">
        <w:r w:rsidRPr="1432D052" w:rsidR="772B4A97">
          <w:rPr>
            <w:rStyle w:val="Hyperlink"/>
            <w:rFonts w:ascii="Arial" w:hAnsi="Arial" w:eastAsia="Arial" w:cs="Arial"/>
            <w:b w:val="0"/>
            <w:bCs w:val="0"/>
            <w:i w:val="0"/>
            <w:iCs w:val="0"/>
            <w:caps w:val="0"/>
            <w:smallCaps w:val="0"/>
            <w:noProof w:val="0"/>
            <w:sz w:val="22"/>
            <w:szCs w:val="22"/>
            <w:lang w:val="en-GB"/>
          </w:rPr>
          <w:t>https://disability-studies.leeds.ac.uk/wp-content/uploads/sites/40/library/Oliver-in-soc-dis.pdf</w:t>
        </w:r>
      </w:hyperlink>
    </w:p>
    <w:p w:rsidR="772B4A97" w:rsidP="1432D052" w:rsidRDefault="772B4A97" w14:paraId="24D618BD" w14:textId="2FC6C5B4">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Selvakumar, S. and Kenny, B. (2023) 'Ethics of care and moral resilience in health care practice: A scoping review', Clinical Ethics. </w:t>
      </w:r>
      <w:hyperlink r:id="Rc9e3e604c6764241">
        <w:r w:rsidRPr="1432D052" w:rsidR="772B4A97">
          <w:rPr>
            <w:rStyle w:val="Hyperlink"/>
            <w:rFonts w:ascii="Arial" w:hAnsi="Arial" w:eastAsia="Arial" w:cs="Arial"/>
            <w:b w:val="0"/>
            <w:bCs w:val="0"/>
            <w:i w:val="0"/>
            <w:iCs w:val="0"/>
            <w:caps w:val="0"/>
            <w:smallCaps w:val="0"/>
            <w:noProof w:val="0"/>
            <w:sz w:val="22"/>
            <w:szCs w:val="22"/>
            <w:lang w:val="en-GB"/>
          </w:rPr>
          <w:t>https://journals.sagepub.com/doi/10.1177/14777509211061845</w:t>
        </w:r>
      </w:hyperlink>
    </w:p>
    <w:p w:rsidR="772B4A97" w:rsidP="1432D052" w:rsidRDefault="772B4A97" w14:paraId="65F3018B" w14:textId="39731223">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Shea, M. (2020) 'Forty years of the four principles: Enduring themes from Beauchamp and Childress', The Journal of Medicine and Philosophy, 45(4–5), pp.387–395. </w:t>
      </w:r>
      <w:hyperlink r:id="R2930eed48322473e">
        <w:r w:rsidRPr="1432D052" w:rsidR="772B4A97">
          <w:rPr>
            <w:rStyle w:val="Hyperlink"/>
            <w:rFonts w:ascii="Arial" w:hAnsi="Arial" w:eastAsia="Arial" w:cs="Arial"/>
            <w:b w:val="0"/>
            <w:bCs w:val="0"/>
            <w:i w:val="0"/>
            <w:iCs w:val="0"/>
            <w:caps w:val="0"/>
            <w:smallCaps w:val="0"/>
            <w:noProof w:val="0"/>
            <w:sz w:val="22"/>
            <w:szCs w:val="22"/>
            <w:lang w:val="en-GB"/>
          </w:rPr>
          <w:t>https://bioethics.pitt.edu/sites/default/files/VanDyke,%20Forty%20Years%20of%20the%20Four%20Principles.pdf</w:t>
        </w:r>
      </w:hyperlink>
    </w:p>
    <w:p w:rsidR="772B4A97" w:rsidP="1432D052" w:rsidRDefault="772B4A97" w14:paraId="619AC608" w14:textId="4B58A75B">
      <w:pPr>
        <w:spacing w:before="240" w:beforeAutospacing="off" w:after="240" w:afterAutospacing="off"/>
        <w:rPr>
          <w:rFonts w:ascii="Arial" w:hAnsi="Arial" w:eastAsia="Arial" w:cs="Arial"/>
          <w:sz w:val="22"/>
          <w:szCs w:val="22"/>
        </w:rPr>
      </w:pPr>
      <w:r w:rsidRPr="1432D052" w:rsidR="772B4A97">
        <w:rPr>
          <w:rFonts w:ascii="Arial" w:hAnsi="Arial" w:eastAsia="Arial" w:cs="Arial"/>
          <w:b w:val="0"/>
          <w:bCs w:val="0"/>
          <w:i w:val="0"/>
          <w:iCs w:val="0"/>
          <w:caps w:val="0"/>
          <w:smallCaps w:val="0"/>
          <w:noProof w:val="0"/>
          <w:color w:val="000000" w:themeColor="text1" w:themeTint="FF" w:themeShade="FF"/>
          <w:sz w:val="22"/>
          <w:szCs w:val="22"/>
          <w:lang w:val="en-GB"/>
        </w:rPr>
        <w:t xml:space="preserve">Thomson, L.J.M. and Chatterjee, H.J. (2023) 'Barriers and enablers of integrated care in the UK', Frontiers in Public Health. </w:t>
      </w:r>
      <w:hyperlink r:id="Rd053002a9af24028">
        <w:r w:rsidRPr="1432D052" w:rsidR="772B4A97">
          <w:rPr>
            <w:rStyle w:val="Hyperlink"/>
            <w:rFonts w:ascii="Arial" w:hAnsi="Arial" w:eastAsia="Arial" w:cs="Arial"/>
            <w:b w:val="0"/>
            <w:bCs w:val="0"/>
            <w:i w:val="0"/>
            <w:iCs w:val="0"/>
            <w:caps w:val="0"/>
            <w:smallCaps w:val="0"/>
            <w:noProof w:val="0"/>
            <w:sz w:val="22"/>
            <w:szCs w:val="22"/>
            <w:lang w:val="en-GB"/>
          </w:rPr>
          <w:t>https://www.frontiersin.org/journals/public-health/articles/10.3389/fpubh.2023.1286479/full</w:t>
        </w:r>
      </w:hyperlink>
    </w:p>
    <w:p w:rsidR="1432D052" w:rsidP="1432D052" w:rsidRDefault="1432D052" w14:paraId="00094971" w14:textId="19171A1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B26C70"/>
    <w:rsid w:val="00C100AA"/>
    <w:rsid w:val="010233D8"/>
    <w:rsid w:val="021276EC"/>
    <w:rsid w:val="021E4269"/>
    <w:rsid w:val="036ECB42"/>
    <w:rsid w:val="08925487"/>
    <w:rsid w:val="09456389"/>
    <w:rsid w:val="0A2DBC20"/>
    <w:rsid w:val="0B93F2B7"/>
    <w:rsid w:val="0BB25D5D"/>
    <w:rsid w:val="0E63A83C"/>
    <w:rsid w:val="0F347989"/>
    <w:rsid w:val="0F907D8A"/>
    <w:rsid w:val="0FECC643"/>
    <w:rsid w:val="121FD4AD"/>
    <w:rsid w:val="12710C13"/>
    <w:rsid w:val="1354DA23"/>
    <w:rsid w:val="1376C181"/>
    <w:rsid w:val="1432D052"/>
    <w:rsid w:val="144E8335"/>
    <w:rsid w:val="16286C27"/>
    <w:rsid w:val="174EACC6"/>
    <w:rsid w:val="17CCE339"/>
    <w:rsid w:val="1A3048E5"/>
    <w:rsid w:val="1CEFFC7F"/>
    <w:rsid w:val="1DB26C70"/>
    <w:rsid w:val="1F7267B4"/>
    <w:rsid w:val="21151878"/>
    <w:rsid w:val="231CD1C4"/>
    <w:rsid w:val="24D20C0C"/>
    <w:rsid w:val="2612E692"/>
    <w:rsid w:val="267C6329"/>
    <w:rsid w:val="2A75145F"/>
    <w:rsid w:val="2C7397F8"/>
    <w:rsid w:val="2F39FAE0"/>
    <w:rsid w:val="33583CF6"/>
    <w:rsid w:val="38DFBDD7"/>
    <w:rsid w:val="3D74F5C1"/>
    <w:rsid w:val="3F3E9056"/>
    <w:rsid w:val="4029E16E"/>
    <w:rsid w:val="40E32491"/>
    <w:rsid w:val="40FED2A0"/>
    <w:rsid w:val="41D09400"/>
    <w:rsid w:val="41FEB891"/>
    <w:rsid w:val="42833742"/>
    <w:rsid w:val="43699E0D"/>
    <w:rsid w:val="4433A82A"/>
    <w:rsid w:val="453321A4"/>
    <w:rsid w:val="46423A5B"/>
    <w:rsid w:val="4ADD3F06"/>
    <w:rsid w:val="4DD3EC58"/>
    <w:rsid w:val="4DF3940D"/>
    <w:rsid w:val="4EE2C14E"/>
    <w:rsid w:val="4FEA269F"/>
    <w:rsid w:val="50219CDA"/>
    <w:rsid w:val="511C05B3"/>
    <w:rsid w:val="5605E2A0"/>
    <w:rsid w:val="570A36B2"/>
    <w:rsid w:val="57629D97"/>
    <w:rsid w:val="587F2BCD"/>
    <w:rsid w:val="5AF536E1"/>
    <w:rsid w:val="5DE8B929"/>
    <w:rsid w:val="5F8ED8E5"/>
    <w:rsid w:val="60A4A760"/>
    <w:rsid w:val="6424BD60"/>
    <w:rsid w:val="677710F6"/>
    <w:rsid w:val="679B07B4"/>
    <w:rsid w:val="68337FB2"/>
    <w:rsid w:val="6A0FE4D1"/>
    <w:rsid w:val="6A6F3FFA"/>
    <w:rsid w:val="6AD16569"/>
    <w:rsid w:val="6CF8EA41"/>
    <w:rsid w:val="7124BA48"/>
    <w:rsid w:val="71CB02F6"/>
    <w:rsid w:val="73F77DDB"/>
    <w:rsid w:val="743E388C"/>
    <w:rsid w:val="772B4A97"/>
    <w:rsid w:val="7D6ED052"/>
    <w:rsid w:val="7E4F4C87"/>
    <w:rsid w:val="7E61EBC9"/>
    <w:rsid w:val="7EEF6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7024"/>
  <w15:chartTrackingRefBased/>
  <w15:docId w15:val="{4562670B-259B-47FF-AFF1-6FDF7714BD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432D052"/>
    <w:rPr>
      <w:color w:val="467886"/>
      <w:u w:val="single"/>
    </w:rPr>
  </w:style>
  <w:style w:type="paragraph" w:styleId="TOC1">
    <w:uiPriority w:val="39"/>
    <w:name w:val="toc 1"/>
    <w:basedOn w:val="Normal"/>
    <w:next w:val="Normal"/>
    <w:unhideWhenUsed/>
    <w:rsid w:val="1432D052"/>
    <w:pPr>
      <w:spacing w:after="100"/>
    </w:pPr>
  </w:style>
  <w:style w:type="paragraph" w:styleId="Heading1">
    <w:uiPriority w:val="9"/>
    <w:name w:val="heading 1"/>
    <w:basedOn w:val="Normal"/>
    <w:next w:val="Normal"/>
    <w:qFormat/>
    <w:rsid w:val="1432D05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rontiersin.org/journals/sociology/articles/10.3389/fsoc.2023.1305301/full" TargetMode="External" Id="R4a7442569dbc4a0c" /><Relationship Type="http://schemas.openxmlformats.org/officeDocument/2006/relationships/hyperlink" Target="https://doi.org/10.1111/hsc.13913" TargetMode="External" Id="R458dffd3bf4c4cf6" /><Relationship Type="http://schemas.openxmlformats.org/officeDocument/2006/relationships/hyperlink" Target="https://www.tandfonline.com/doi/pdf/10.1080/26895269.2024.2303462" TargetMode="External" Id="R3a7a5debfd714df0" /><Relationship Type="http://schemas.openxmlformats.org/officeDocument/2006/relationships/hyperlink" Target="https://academic.oup.com/bjsw/article-pdf/55/3/1161/60773644/bcae180.pdf" TargetMode="External" Id="R896381ff1fe04c3f" /><Relationship Type="http://schemas.openxmlformats.org/officeDocument/2006/relationships/hyperlink" Target="https://www.emerald.com/jica/article/33/3/241/1265221" TargetMode="External" Id="Rda67fff57a444f29" /><Relationship Type="http://schemas.openxmlformats.org/officeDocument/2006/relationships/hyperlink" Target="https://www.britishjournalofcommunitynursing.com/content/policy/the-health-and-care-act-2022-and-community-nursing" TargetMode="External" Id="R38eb0cdaec444b9f" /><Relationship Type="http://schemas.openxmlformats.org/officeDocument/2006/relationships/hyperlink" Target="https://journals.rcni.com/nursing-standard/evidence-and-practice/exploring-the-implementation-of-personcentred-care-in-nursing-practice-ns.2023.e12190/abs" TargetMode="External" Id="Rf6b101f8baa14f2a" /><Relationship Type="http://schemas.openxmlformats.org/officeDocument/2006/relationships/hyperlink" Target="https://doi.org/10.1080/13642987.2020.1783533" TargetMode="External" Id="R2342e509948a40ee" /><Relationship Type="http://schemas.openxmlformats.org/officeDocument/2006/relationships/hyperlink" Target="https://eprints.lse.ac.uk/112228/1/Support_for_unpaid_carers_post_Care_Act_Views_of_local_stakeholders_September_2021.pdf" TargetMode="External" Id="Rb253a2d520ce47bb" /><Relationship Type="http://schemas.openxmlformats.org/officeDocument/2006/relationships/hyperlink" Target="https://link.springer.com/content/pdf/10.1186/s12913-022-07875-w.pdf" TargetMode="External" Id="R4dd805a6f2c24ed6" /><Relationship Type="http://schemas.openxmlformats.org/officeDocument/2006/relationships/hyperlink" Target="https://journals.sagepub.com/doi/pdf/10.1177/17449871241281428" TargetMode="External" Id="R013f3f61c1274358" /><Relationship Type="http://schemas.openxmlformats.org/officeDocument/2006/relationships/hyperlink" Target="https://disability-studies.leeds.ac.uk/wp-content/uploads/sites/40/library/Oliver-in-soc-dis.pdf" TargetMode="External" Id="R663a59add54b4589" /><Relationship Type="http://schemas.openxmlformats.org/officeDocument/2006/relationships/hyperlink" Target="https://journals.sagepub.com/doi/10.1177/14777509211061845" TargetMode="External" Id="Rc9e3e604c6764241" /><Relationship Type="http://schemas.openxmlformats.org/officeDocument/2006/relationships/hyperlink" Target="https://bioethics.pitt.edu/sites/default/files/VanDyke,%20Forty%20Years%20of%20the%20Four%20Principles.pdf" TargetMode="External" Id="R2930eed48322473e" /><Relationship Type="http://schemas.openxmlformats.org/officeDocument/2006/relationships/hyperlink" Target="https://www.frontiersin.org/journals/public-health/articles/10.3389/fpubh.2023.1286479/full" TargetMode="External" Id="Rd053002a9af240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 Sultan (2431994)</dc:creator>
  <keywords/>
  <dc:description/>
  <lastModifiedBy>Salma Sultan (2431994)</lastModifiedBy>
  <revision>2</revision>
  <dcterms:created xsi:type="dcterms:W3CDTF">2026-07-21T20:44:53.0270107Z</dcterms:created>
  <dcterms:modified xsi:type="dcterms:W3CDTF">2026-07-21T21:29:13.2751906Z</dcterms:modified>
</coreProperties>
</file>