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08345602"/>
        <w:docPartObj>
          <w:docPartGallery w:val="Cover Pages"/>
          <w:docPartUnique/>
        </w:docPartObj>
      </w:sdtPr>
      <w:sdtEndPr/>
      <w:sdtContent>
        <w:p w14:paraId="43B4864A" w14:textId="7725C0B7" w:rsidR="00FF6B0F" w:rsidRDefault="005E27CF">
          <w:r>
            <w:rPr>
              <w:noProof/>
              <w:lang w:eastAsia="en-GB"/>
            </w:rPr>
            <w:drawing>
              <wp:inline distT="0" distB="0" distL="0" distR="0" wp14:anchorId="7E5F20B1" wp14:editId="68324088">
                <wp:extent cx="5638800" cy="4591050"/>
                <wp:effectExtent l="76200" t="76200" r="13335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38800" cy="4591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FF6B0F">
            <w:rPr>
              <w:noProof/>
              <w:lang w:eastAsia="en-GB"/>
            </w:rPr>
            <mc:AlternateContent>
              <mc:Choice Requires="wps">
                <w:drawing>
                  <wp:anchor distT="0" distB="0" distL="114300" distR="114300" simplePos="0" relativeHeight="251661312" behindDoc="0" locked="0" layoutInCell="1" allowOverlap="1" wp14:anchorId="7F90A2C4" wp14:editId="2201A9B2">
                    <wp:simplePos x="0" y="0"/>
                    <wp:positionH relativeFrom="page">
                      <wp:align>left</wp:align>
                    </wp:positionH>
                    <wp:positionV relativeFrom="page">
                      <wp:align>bottom</wp:align>
                    </wp:positionV>
                    <wp:extent cx="5534025" cy="2724912"/>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28E0523B" w14:textId="2F7F6588" w:rsidR="00FF6B0F" w:rsidRPr="005E27CF" w:rsidRDefault="00FF6B0F" w:rsidP="005E27CF">
                                <w:pPr>
                                  <w:pStyle w:val="NoSpacing"/>
                                  <w:spacing w:after="480"/>
                                  <w:rPr>
                                    <w:i/>
                                    <w:color w:val="262626" w:themeColor="text1" w:themeTint="D9"/>
                                    <w:sz w:val="32"/>
                                    <w:szCs w:val="32"/>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F90A2C4"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p w14:paraId="28E0523B" w14:textId="2F7F6588" w:rsidR="00FF6B0F" w:rsidRPr="005E27CF" w:rsidRDefault="00FF6B0F" w:rsidP="005E27CF">
                          <w:pPr>
                            <w:pStyle w:val="NoSpacing"/>
                            <w:spacing w:after="480"/>
                            <w:rPr>
                              <w:i/>
                              <w:color w:val="262626" w:themeColor="text1" w:themeTint="D9"/>
                              <w:sz w:val="32"/>
                              <w:szCs w:val="32"/>
                            </w:rPr>
                          </w:pPr>
                        </w:p>
                      </w:txbxContent>
                    </v:textbox>
                    <w10:wrap anchorx="page" anchory="page"/>
                  </v:shape>
                </w:pict>
              </mc:Fallback>
            </mc:AlternateContent>
          </w:r>
          <w:r w:rsidR="00FF6B0F">
            <w:rPr>
              <w:noProof/>
              <w:lang w:eastAsia="en-GB"/>
            </w:rPr>
            <mc:AlternateContent>
              <mc:Choice Requires="wps">
                <w:drawing>
                  <wp:anchor distT="0" distB="0" distL="114300" distR="114300" simplePos="0" relativeHeight="251659264" behindDoc="0" locked="0" layoutInCell="1" allowOverlap="1" wp14:anchorId="66CFC0A8" wp14:editId="13BF356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0CD518A2" w14:textId="25119215" w:rsidR="00FF6B0F" w:rsidRPr="005E27CF" w:rsidRDefault="00FF6B0F" w:rsidP="005E27CF">
                                <w:pPr>
                                  <w:pStyle w:val="NoSpacing"/>
                                  <w:spacing w:after="900"/>
                                  <w:rPr>
                                    <w:rFonts w:asciiTheme="majorHAnsi" w:hAnsiTheme="majorHAnsi"/>
                                    <w:i/>
                                    <w:caps/>
                                    <w:color w:val="262626" w:themeColor="text1" w:themeTint="D9"/>
                                    <w:sz w:val="120"/>
                                    <w:szCs w:val="120"/>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6CFC0A8"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" filled="f" stroked="f" strokeweight=".5pt">
                    <v:textbox style="mso-fit-shape-to-text:t" inset="93.6pt,,0">
                      <w:txbxContent>
                        <w:p w14:paraId="0CD518A2" w14:textId="25119215" w:rsidR="00FF6B0F" w:rsidRPr="005E27CF" w:rsidRDefault="00FF6B0F" w:rsidP="005E27CF">
                          <w:pPr>
                            <w:pStyle w:val="NoSpacing"/>
                            <w:spacing w:after="900"/>
                            <w:rPr>
                              <w:rFonts w:asciiTheme="majorHAnsi" w:hAnsiTheme="majorHAnsi"/>
                              <w:i/>
                              <w:caps/>
                              <w:color w:val="262626" w:themeColor="text1" w:themeTint="D9"/>
                              <w:sz w:val="120"/>
                              <w:szCs w:val="120"/>
                            </w:rPr>
                          </w:pPr>
                        </w:p>
                      </w:txbxContent>
                    </v:textbox>
                    <w10:wrap anchorx="page" anchory="page"/>
                  </v:shape>
                </w:pict>
              </mc:Fallback>
            </mc:AlternateContent>
          </w:r>
        </w:p>
        <w:p w14:paraId="31D224DA" w14:textId="77777777" w:rsidR="005E27CF" w:rsidRPr="00CA6BE7" w:rsidRDefault="005E27CF" w:rsidP="005E27CF">
          <w:pPr>
            <w:spacing w:after="0" w:line="240" w:lineRule="auto"/>
            <w:jc w:val="center"/>
            <w:rPr>
              <w:rFonts w:cs="Arial"/>
              <w:b/>
              <w:sz w:val="44"/>
              <w:szCs w:val="44"/>
            </w:rPr>
          </w:pPr>
          <w:r w:rsidRPr="00CA6BE7">
            <w:rPr>
              <w:rFonts w:cs="Arial"/>
              <w:b/>
              <w:sz w:val="44"/>
              <w:szCs w:val="44"/>
            </w:rPr>
            <w:t>Managing People</w:t>
          </w:r>
        </w:p>
        <w:p w14:paraId="65DC815B" w14:textId="77777777" w:rsidR="005E27CF" w:rsidRDefault="005E27CF" w:rsidP="005E27CF">
          <w:pPr>
            <w:spacing w:after="0" w:line="240" w:lineRule="auto"/>
            <w:jc w:val="center"/>
            <w:rPr>
              <w:rFonts w:cs="Arial"/>
              <w:sz w:val="28"/>
              <w:szCs w:val="28"/>
            </w:rPr>
          </w:pPr>
          <w:r w:rsidRPr="00CA6BE7">
            <w:rPr>
              <w:rFonts w:cs="Arial"/>
              <w:sz w:val="28"/>
              <w:szCs w:val="28"/>
            </w:rPr>
            <w:t xml:space="preserve">LCBB5004-Assessement 2 </w:t>
          </w:r>
        </w:p>
        <w:p w14:paraId="575B68CF" w14:textId="77777777" w:rsidR="005E27CF" w:rsidRDefault="005E27CF" w:rsidP="005E27CF">
          <w:pPr>
            <w:spacing w:after="0" w:line="240" w:lineRule="auto"/>
            <w:jc w:val="center"/>
            <w:rPr>
              <w:rFonts w:cs="Arial"/>
              <w:sz w:val="28"/>
              <w:szCs w:val="28"/>
            </w:rPr>
          </w:pPr>
        </w:p>
        <w:p w14:paraId="68D0A47D" w14:textId="77777777" w:rsidR="005E27CF" w:rsidRPr="00CA6BE7" w:rsidRDefault="005E27CF" w:rsidP="005E27CF">
          <w:pPr>
            <w:spacing w:after="0" w:line="240" w:lineRule="auto"/>
            <w:jc w:val="center"/>
            <w:rPr>
              <w:rFonts w:cs="Arial"/>
              <w:sz w:val="28"/>
              <w:szCs w:val="28"/>
            </w:rPr>
          </w:pPr>
        </w:p>
        <w:p w14:paraId="274340B4" w14:textId="77777777" w:rsidR="005E27CF" w:rsidRPr="00CA6BE7" w:rsidRDefault="005E27CF" w:rsidP="005E27CF">
          <w:pPr>
            <w:spacing w:after="0" w:line="240" w:lineRule="auto"/>
            <w:jc w:val="center"/>
            <w:rPr>
              <w:rFonts w:cs="Arial"/>
              <w:sz w:val="28"/>
              <w:szCs w:val="28"/>
            </w:rPr>
          </w:pPr>
        </w:p>
        <w:p w14:paraId="5A160571" w14:textId="77777777" w:rsidR="005E27CF" w:rsidRDefault="005E27CF" w:rsidP="005E27CF">
          <w:pPr>
            <w:spacing w:after="0" w:line="240" w:lineRule="auto"/>
          </w:pPr>
        </w:p>
        <w:p w14:paraId="19DBA7E7" w14:textId="77777777" w:rsidR="005E27CF" w:rsidRDefault="005E27CF" w:rsidP="005E27CF">
          <w:pPr>
            <w:tabs>
              <w:tab w:val="left" w:pos="480"/>
            </w:tabs>
            <w:rPr>
              <w:szCs w:val="24"/>
            </w:rPr>
          </w:pPr>
          <w:r w:rsidRPr="00E12012">
            <w:rPr>
              <w:b/>
              <w:szCs w:val="24"/>
            </w:rPr>
            <w:t>Tutor Name:</w:t>
          </w:r>
          <w:r>
            <w:rPr>
              <w:szCs w:val="24"/>
            </w:rPr>
            <w:t xml:space="preserve"> </w:t>
          </w:r>
          <w:r>
            <w:rPr>
              <w:i/>
              <w:szCs w:val="24"/>
            </w:rPr>
            <w:t xml:space="preserve">Ms. </w:t>
          </w:r>
          <w:proofErr w:type="spellStart"/>
          <w:r>
            <w:rPr>
              <w:i/>
              <w:szCs w:val="24"/>
            </w:rPr>
            <w:t>Zainab</w:t>
          </w:r>
          <w:proofErr w:type="spellEnd"/>
          <w:r>
            <w:rPr>
              <w:i/>
              <w:szCs w:val="24"/>
            </w:rPr>
            <w:t xml:space="preserve"> Atta</w:t>
          </w:r>
        </w:p>
        <w:p w14:paraId="1AC51952" w14:textId="77777777" w:rsidR="005E27CF" w:rsidRDefault="005E27CF" w:rsidP="005E27CF">
          <w:pPr>
            <w:tabs>
              <w:tab w:val="left" w:pos="480"/>
            </w:tabs>
            <w:rPr>
              <w:szCs w:val="24"/>
            </w:rPr>
          </w:pPr>
          <w:r w:rsidRPr="00E12012">
            <w:rPr>
              <w:b/>
              <w:szCs w:val="24"/>
            </w:rPr>
            <w:t>Student Name:</w:t>
          </w:r>
          <w:r>
            <w:rPr>
              <w:szCs w:val="24"/>
            </w:rPr>
            <w:t xml:space="preserve"> </w:t>
          </w:r>
          <w:proofErr w:type="spellStart"/>
          <w:r w:rsidRPr="00E12012">
            <w:rPr>
              <w:i/>
              <w:szCs w:val="24"/>
            </w:rPr>
            <w:t>Radoslav</w:t>
          </w:r>
          <w:proofErr w:type="spellEnd"/>
          <w:r w:rsidRPr="00E12012">
            <w:rPr>
              <w:i/>
              <w:szCs w:val="24"/>
            </w:rPr>
            <w:t xml:space="preserve"> Ivanov</w:t>
          </w:r>
        </w:p>
        <w:p w14:paraId="16690E72" w14:textId="77777777" w:rsidR="005E27CF" w:rsidRDefault="005E27CF" w:rsidP="005E27CF">
          <w:pPr>
            <w:tabs>
              <w:tab w:val="left" w:pos="480"/>
            </w:tabs>
            <w:rPr>
              <w:szCs w:val="24"/>
            </w:rPr>
          </w:pPr>
          <w:r w:rsidRPr="00E12012">
            <w:rPr>
              <w:b/>
              <w:szCs w:val="24"/>
            </w:rPr>
            <w:t xml:space="preserve">Student ID: </w:t>
          </w:r>
          <w:r w:rsidRPr="00E12012">
            <w:rPr>
              <w:i/>
              <w:szCs w:val="24"/>
            </w:rPr>
            <w:t>1909208</w:t>
          </w:r>
        </w:p>
        <w:p w14:paraId="5F07A873" w14:textId="7A666C1D" w:rsidR="00FF6B0F" w:rsidRDefault="00FF6B0F">
          <w:pPr>
            <w:spacing w:after="0" w:line="240" w:lineRule="auto"/>
          </w:pPr>
          <w:r>
            <w:br w:type="page"/>
          </w:r>
        </w:p>
      </w:sdtContent>
    </w:sdt>
    <w:sdt>
      <w:sdtPr>
        <w:rPr>
          <w:rFonts w:ascii="Arial" w:eastAsiaTheme="minorHAnsi" w:hAnsi="Arial" w:cstheme="minorBidi"/>
          <w:b w:val="0"/>
          <w:bCs w:val="0"/>
          <w:color w:val="auto"/>
          <w:sz w:val="24"/>
          <w:szCs w:val="22"/>
          <w:lang w:val="en-GB"/>
        </w:rPr>
        <w:id w:val="-1618293587"/>
        <w:docPartObj>
          <w:docPartGallery w:val="Table of Contents"/>
          <w:docPartUnique/>
        </w:docPartObj>
      </w:sdtPr>
      <w:sdtEndPr>
        <w:rPr>
          <w:noProof/>
        </w:rPr>
      </w:sdtEndPr>
      <w:sdtContent>
        <w:p w14:paraId="1CB2DCB1" w14:textId="28689915" w:rsidR="00B4779E" w:rsidRDefault="00B4779E">
          <w:pPr>
            <w:pStyle w:val="TOCHeading"/>
          </w:pPr>
          <w:r>
            <w:t>Table of Contents</w:t>
          </w:r>
        </w:p>
        <w:p w14:paraId="5A246686" w14:textId="7BFD8039" w:rsidR="00B4779E" w:rsidRDefault="00B4779E">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2293071" w:history="1">
            <w:r w:rsidRPr="003C294F">
              <w:rPr>
                <w:rStyle w:val="Hyperlink"/>
                <w:noProof/>
              </w:rPr>
              <w:t>Introduction</w:t>
            </w:r>
            <w:r>
              <w:rPr>
                <w:noProof/>
                <w:webHidden/>
              </w:rPr>
              <w:tab/>
            </w:r>
            <w:r>
              <w:rPr>
                <w:noProof/>
                <w:webHidden/>
              </w:rPr>
              <w:fldChar w:fldCharType="begin"/>
            </w:r>
            <w:r>
              <w:rPr>
                <w:noProof/>
                <w:webHidden/>
              </w:rPr>
              <w:instrText xml:space="preserve"> PAGEREF _Toc92293071 \h </w:instrText>
            </w:r>
            <w:r>
              <w:rPr>
                <w:noProof/>
                <w:webHidden/>
              </w:rPr>
            </w:r>
            <w:r>
              <w:rPr>
                <w:noProof/>
                <w:webHidden/>
              </w:rPr>
              <w:fldChar w:fldCharType="separate"/>
            </w:r>
            <w:r>
              <w:rPr>
                <w:noProof/>
                <w:webHidden/>
              </w:rPr>
              <w:t>2</w:t>
            </w:r>
            <w:r>
              <w:rPr>
                <w:noProof/>
                <w:webHidden/>
              </w:rPr>
              <w:fldChar w:fldCharType="end"/>
            </w:r>
          </w:hyperlink>
        </w:p>
        <w:p w14:paraId="417E12B3" w14:textId="7AB7CBFB" w:rsidR="00B4779E" w:rsidRDefault="00E36DA8">
          <w:pPr>
            <w:pStyle w:val="TOC1"/>
            <w:tabs>
              <w:tab w:val="right" w:leader="dot" w:pos="9016"/>
            </w:tabs>
            <w:rPr>
              <w:noProof/>
            </w:rPr>
          </w:pPr>
          <w:hyperlink w:anchor="_Toc92293072" w:history="1">
            <w:r w:rsidR="00B4779E" w:rsidRPr="003C294F">
              <w:rPr>
                <w:rStyle w:val="Hyperlink"/>
                <w:noProof/>
              </w:rPr>
              <w:t>Literature Review and Critical Analysis</w:t>
            </w:r>
            <w:r w:rsidR="00B4779E">
              <w:rPr>
                <w:noProof/>
                <w:webHidden/>
              </w:rPr>
              <w:tab/>
            </w:r>
            <w:r w:rsidR="00B4779E">
              <w:rPr>
                <w:noProof/>
                <w:webHidden/>
              </w:rPr>
              <w:fldChar w:fldCharType="begin"/>
            </w:r>
            <w:r w:rsidR="00B4779E">
              <w:rPr>
                <w:noProof/>
                <w:webHidden/>
              </w:rPr>
              <w:instrText xml:space="preserve"> PAGEREF _Toc92293072 \h </w:instrText>
            </w:r>
            <w:r w:rsidR="00B4779E">
              <w:rPr>
                <w:noProof/>
                <w:webHidden/>
              </w:rPr>
            </w:r>
            <w:r w:rsidR="00B4779E">
              <w:rPr>
                <w:noProof/>
                <w:webHidden/>
              </w:rPr>
              <w:fldChar w:fldCharType="separate"/>
            </w:r>
            <w:r w:rsidR="00B4779E">
              <w:rPr>
                <w:noProof/>
                <w:webHidden/>
              </w:rPr>
              <w:t>2</w:t>
            </w:r>
            <w:r w:rsidR="00B4779E">
              <w:rPr>
                <w:noProof/>
                <w:webHidden/>
              </w:rPr>
              <w:fldChar w:fldCharType="end"/>
            </w:r>
          </w:hyperlink>
        </w:p>
        <w:p w14:paraId="1CA025B6" w14:textId="57C893AE" w:rsidR="00B4779E" w:rsidRDefault="00E36DA8">
          <w:pPr>
            <w:pStyle w:val="TOC1"/>
            <w:tabs>
              <w:tab w:val="right" w:leader="dot" w:pos="9016"/>
            </w:tabs>
            <w:rPr>
              <w:noProof/>
            </w:rPr>
          </w:pPr>
          <w:hyperlink w:anchor="_Toc92293073" w:history="1">
            <w:r w:rsidR="00B4779E" w:rsidRPr="003C294F">
              <w:rPr>
                <w:rStyle w:val="Hyperlink"/>
                <w:noProof/>
              </w:rPr>
              <w:t>Conclusions and Recommendations</w:t>
            </w:r>
            <w:r w:rsidR="00B4779E">
              <w:rPr>
                <w:noProof/>
                <w:webHidden/>
              </w:rPr>
              <w:tab/>
            </w:r>
            <w:r w:rsidR="00B4779E">
              <w:rPr>
                <w:noProof/>
                <w:webHidden/>
              </w:rPr>
              <w:fldChar w:fldCharType="begin"/>
            </w:r>
            <w:r w:rsidR="00B4779E">
              <w:rPr>
                <w:noProof/>
                <w:webHidden/>
              </w:rPr>
              <w:instrText xml:space="preserve"> PAGEREF _Toc92293073 \h </w:instrText>
            </w:r>
            <w:r w:rsidR="00B4779E">
              <w:rPr>
                <w:noProof/>
                <w:webHidden/>
              </w:rPr>
            </w:r>
            <w:r w:rsidR="00B4779E">
              <w:rPr>
                <w:noProof/>
                <w:webHidden/>
              </w:rPr>
              <w:fldChar w:fldCharType="separate"/>
            </w:r>
            <w:r w:rsidR="00B4779E">
              <w:rPr>
                <w:noProof/>
                <w:webHidden/>
              </w:rPr>
              <w:t>5</w:t>
            </w:r>
            <w:r w:rsidR="00B4779E">
              <w:rPr>
                <w:noProof/>
                <w:webHidden/>
              </w:rPr>
              <w:fldChar w:fldCharType="end"/>
            </w:r>
          </w:hyperlink>
        </w:p>
        <w:p w14:paraId="46D371F0" w14:textId="4DC7C49D" w:rsidR="00B4779E" w:rsidRDefault="00E36DA8">
          <w:pPr>
            <w:pStyle w:val="TOC1"/>
            <w:tabs>
              <w:tab w:val="right" w:leader="dot" w:pos="9016"/>
            </w:tabs>
            <w:rPr>
              <w:noProof/>
            </w:rPr>
          </w:pPr>
          <w:hyperlink w:anchor="_Toc92293074" w:history="1">
            <w:r w:rsidR="00B4779E" w:rsidRPr="003C294F">
              <w:rPr>
                <w:rStyle w:val="Hyperlink"/>
                <w:noProof/>
              </w:rPr>
              <w:t>References</w:t>
            </w:r>
            <w:r w:rsidR="00B4779E">
              <w:rPr>
                <w:noProof/>
                <w:webHidden/>
              </w:rPr>
              <w:tab/>
            </w:r>
            <w:r w:rsidR="00B4779E">
              <w:rPr>
                <w:noProof/>
                <w:webHidden/>
              </w:rPr>
              <w:fldChar w:fldCharType="begin"/>
            </w:r>
            <w:r w:rsidR="00B4779E">
              <w:rPr>
                <w:noProof/>
                <w:webHidden/>
              </w:rPr>
              <w:instrText xml:space="preserve"> PAGEREF _Toc92293074 \h </w:instrText>
            </w:r>
            <w:r w:rsidR="00B4779E">
              <w:rPr>
                <w:noProof/>
                <w:webHidden/>
              </w:rPr>
            </w:r>
            <w:r w:rsidR="00B4779E">
              <w:rPr>
                <w:noProof/>
                <w:webHidden/>
              </w:rPr>
              <w:fldChar w:fldCharType="separate"/>
            </w:r>
            <w:r w:rsidR="00B4779E">
              <w:rPr>
                <w:noProof/>
                <w:webHidden/>
              </w:rPr>
              <w:t>7</w:t>
            </w:r>
            <w:r w:rsidR="00B4779E">
              <w:rPr>
                <w:noProof/>
                <w:webHidden/>
              </w:rPr>
              <w:fldChar w:fldCharType="end"/>
            </w:r>
          </w:hyperlink>
        </w:p>
        <w:p w14:paraId="14C93F71" w14:textId="03CE9CF8" w:rsidR="00B4779E" w:rsidRDefault="00B4779E">
          <w:r>
            <w:rPr>
              <w:b/>
              <w:bCs/>
              <w:noProof/>
            </w:rPr>
            <w:fldChar w:fldCharType="end"/>
          </w:r>
        </w:p>
      </w:sdtContent>
    </w:sdt>
    <w:p w14:paraId="7B794AFC" w14:textId="10D02E8C" w:rsidR="00FE6EE1" w:rsidRDefault="00E36DA8"/>
    <w:p w14:paraId="1D966FF4" w14:textId="2F5194DF" w:rsidR="00FF6B0F" w:rsidRDefault="00FF6B0F"/>
    <w:p w14:paraId="67C8EF73" w14:textId="2296F0B6" w:rsidR="00FF6B0F" w:rsidRDefault="00FF6B0F"/>
    <w:p w14:paraId="139D391B" w14:textId="11A48320" w:rsidR="00FF6B0F" w:rsidRDefault="00FF6B0F"/>
    <w:p w14:paraId="6F470C95" w14:textId="13BAA58B" w:rsidR="00FF6B0F" w:rsidRDefault="00FF6B0F"/>
    <w:p w14:paraId="7A6D913F" w14:textId="586A103A" w:rsidR="00FF6B0F" w:rsidRDefault="00FF6B0F"/>
    <w:p w14:paraId="77FD6219" w14:textId="4EA961E7" w:rsidR="00FF6B0F" w:rsidRDefault="00FF6B0F"/>
    <w:p w14:paraId="531DA878" w14:textId="33D4DD5C" w:rsidR="00FF6B0F" w:rsidRDefault="00FF6B0F"/>
    <w:p w14:paraId="083CDD21" w14:textId="21FBF223" w:rsidR="00FF6B0F" w:rsidRDefault="00FF6B0F"/>
    <w:p w14:paraId="5984F690" w14:textId="5CF3E7F3" w:rsidR="00FF6B0F" w:rsidRDefault="00FF6B0F"/>
    <w:p w14:paraId="141635DD" w14:textId="331D17EF" w:rsidR="00FF6B0F" w:rsidRDefault="00FF6B0F"/>
    <w:p w14:paraId="7E2BEB96" w14:textId="75F9C96F" w:rsidR="00FF6B0F" w:rsidRDefault="00FF6B0F"/>
    <w:p w14:paraId="0AB18F8E" w14:textId="58DCE12C" w:rsidR="00FF6B0F" w:rsidRDefault="00FF6B0F"/>
    <w:p w14:paraId="2CB743BB" w14:textId="0DAE223F" w:rsidR="00FF6B0F" w:rsidRDefault="00FF6B0F"/>
    <w:p w14:paraId="6C647F09" w14:textId="666A664B" w:rsidR="00FF6B0F" w:rsidRDefault="00FF6B0F"/>
    <w:p w14:paraId="1AE325FD" w14:textId="17350D1D" w:rsidR="00FF6B0F" w:rsidRDefault="00FF6B0F"/>
    <w:p w14:paraId="6944DFD5" w14:textId="124BE777" w:rsidR="00FF6B0F" w:rsidRDefault="00FF6B0F"/>
    <w:p w14:paraId="04FB8817" w14:textId="40A09540" w:rsidR="00FF6B0F" w:rsidRDefault="00FF6B0F"/>
    <w:p w14:paraId="6B8A893F" w14:textId="3CC01D4A" w:rsidR="00FF6B0F" w:rsidRDefault="00FF6B0F"/>
    <w:p w14:paraId="31306CD6" w14:textId="29CC1620" w:rsidR="00FF6B0F" w:rsidRDefault="00FF6B0F"/>
    <w:p w14:paraId="0FE11241" w14:textId="48860CEC" w:rsidR="00FF6B0F" w:rsidRDefault="00FF6B0F"/>
    <w:p w14:paraId="76E52034" w14:textId="03D46938" w:rsidR="00FF6B0F" w:rsidRDefault="00FF6B0F" w:rsidP="00FF6B0F">
      <w:pPr>
        <w:pStyle w:val="Heading1"/>
      </w:pPr>
      <w:bookmarkStart w:id="0" w:name="_Toc92293071"/>
      <w:r>
        <w:lastRenderedPageBreak/>
        <w:t>Introduction</w:t>
      </w:r>
      <w:bookmarkEnd w:id="0"/>
    </w:p>
    <w:p w14:paraId="633B289B" w14:textId="4117C3CF" w:rsidR="00B4779E" w:rsidRPr="00236FC3" w:rsidRDefault="00236FC3" w:rsidP="005E27CF">
      <w:pPr>
        <w:jc w:val="both"/>
      </w:pPr>
      <w:r w:rsidRPr="00236FC3">
        <w:t xml:space="preserve">The agent responsibility alludes to the state wherein the </w:t>
      </w:r>
      <w:proofErr w:type="spellStart"/>
      <w:r w:rsidRPr="00236FC3">
        <w:t>laborers</w:t>
      </w:r>
      <w:proofErr w:type="spellEnd"/>
      <w:r w:rsidRPr="00236FC3">
        <w:t xml:space="preserve"> of an affiliation awaken to work all the more energetically to accomplish the put forth objectives. This is a state wherein delegates of the affiliation are engaged in their work, work longer than anticipated, work more enthusiastically to accomplish their work objectives and are versatile in taking on extra errands and callings (Linley, Harrington and </w:t>
      </w:r>
      <w:proofErr w:type="spellStart"/>
      <w:r w:rsidRPr="00236FC3">
        <w:t>Garcea</w:t>
      </w:r>
      <w:proofErr w:type="spellEnd"/>
      <w:r w:rsidRPr="00236FC3">
        <w:t xml:space="preserve"> 2010). Worker commitment is a deciding component in the association's accomplishments and as such ought to be noted for better outcomes and results. The responsibility of </w:t>
      </w:r>
      <w:proofErr w:type="spellStart"/>
      <w:r w:rsidRPr="00236FC3">
        <w:t>laborers</w:t>
      </w:r>
      <w:proofErr w:type="spellEnd"/>
      <w:r w:rsidRPr="00236FC3">
        <w:t xml:space="preserve"> is fundamentally impacted by the agent execution of their callings. Along these lines, worker </w:t>
      </w:r>
      <w:r w:rsidR="005E27CF" w:rsidRPr="00236FC3">
        <w:t>fulfilment</w:t>
      </w:r>
      <w:r w:rsidRPr="00236FC3">
        <w:t xml:space="preserve"> demonstrates how fulfilled or fulfilled the delegates are with their work. Regardless of the way that agent execution influences the commitment of </w:t>
      </w:r>
      <w:proofErr w:type="spellStart"/>
      <w:r w:rsidRPr="00236FC3">
        <w:t>laborers</w:t>
      </w:r>
      <w:proofErr w:type="spellEnd"/>
      <w:r w:rsidRPr="00236FC3">
        <w:t xml:space="preserve">, there will never be an assurance that the specialists performed are occupied with their work. The exhibition of the </w:t>
      </w:r>
      <w:proofErr w:type="spellStart"/>
      <w:r w:rsidRPr="00236FC3">
        <w:t>laborers</w:t>
      </w:r>
      <w:proofErr w:type="spellEnd"/>
      <w:r w:rsidRPr="00236FC3">
        <w:t xml:space="preserve"> assists with holding agents in the affiliation, while the association of the specialists assists with accomplishing the put forth objectives corresponding to the objectives of the association (Albrecht, 2010).</w:t>
      </w:r>
    </w:p>
    <w:p w14:paraId="6A464977" w14:textId="6EED6C7A" w:rsidR="00FF6B0F" w:rsidRDefault="00B4779E" w:rsidP="005E27CF">
      <w:pPr>
        <w:jc w:val="both"/>
      </w:pPr>
      <w:r>
        <w:t>Representative commitment is usually the result of a person's inner responsibility to make valiant efforts at work (</w:t>
      </w:r>
      <w:proofErr w:type="spellStart"/>
      <w:r>
        <w:t>Sarlak</w:t>
      </w:r>
      <w:proofErr w:type="spellEnd"/>
      <w:r>
        <w:t xml:space="preserve"> 2010). In this capacity, workers' commitment must be acquired through passionate and social care, not through actual care. From past reviews, employee engagement is clearly primarily designed by how they care for the representatives in an association and how they relate to each other in the association. From this point of view, it is obvious that the climate in which workers are locked up affects their commitment to their work. In the same way, commitment can be dictated by beliefs and goals close to home. Several representatives are confident to try sincerely and convey results, while some need the supervision of some authority to participate in the work. Accordingly, employee engagement is both an important but uncertain thing to achieve in any authoritative agreement with different people (Linley, Harrington and </w:t>
      </w:r>
      <w:proofErr w:type="spellStart"/>
      <w:r>
        <w:t>Garcea</w:t>
      </w:r>
      <w:proofErr w:type="spellEnd"/>
      <w:r>
        <w:t xml:space="preserve"> 2010).</w:t>
      </w:r>
    </w:p>
    <w:p w14:paraId="256774CA" w14:textId="77777777" w:rsidR="005E27CF" w:rsidRDefault="005E27CF" w:rsidP="005E27CF">
      <w:pPr>
        <w:jc w:val="both"/>
      </w:pPr>
    </w:p>
    <w:p w14:paraId="503D7CF5" w14:textId="6EF68EE2" w:rsidR="00FF6B0F" w:rsidRDefault="00FF6B0F" w:rsidP="005E27CF">
      <w:pPr>
        <w:pStyle w:val="Heading1"/>
        <w:jc w:val="both"/>
      </w:pPr>
      <w:bookmarkStart w:id="1" w:name="_Toc92293072"/>
      <w:r>
        <w:t>Literature Review and Critical Analysis</w:t>
      </w:r>
      <w:bookmarkEnd w:id="1"/>
    </w:p>
    <w:p w14:paraId="551D247C" w14:textId="1F0C39C8" w:rsidR="00B4779E" w:rsidRPr="00236FC3" w:rsidRDefault="00236FC3" w:rsidP="005E27CF">
      <w:pPr>
        <w:jc w:val="both"/>
      </w:pPr>
      <w:r w:rsidRPr="00236FC3">
        <w:t xml:space="preserve">As demonstrated by a survey drove by </w:t>
      </w:r>
      <w:proofErr w:type="spellStart"/>
      <w:r w:rsidRPr="00236FC3">
        <w:t>Blazey</w:t>
      </w:r>
      <w:proofErr w:type="spellEnd"/>
      <w:r w:rsidRPr="00236FC3">
        <w:t xml:space="preserve"> (2013), representative commitment is a mix of numerous components that should be viewed as independently to grow commitment. </w:t>
      </w:r>
      <w:r>
        <w:t>The author</w:t>
      </w:r>
      <w:r w:rsidRPr="00236FC3">
        <w:t xml:space="preserve"> accentuates that affiliations should assess every factor that chooses commitment and work on each unreservedly to perceive worker commitment. In one more survey of Cook (2008), agent commitment is obviously a bunch of individual and legitimate convictions.</w:t>
      </w:r>
      <w:r w:rsidR="00B4779E" w:rsidRPr="00236FC3">
        <w:t xml:space="preserve"> Accordingly, both individual and hierarchical beliefs must be fundamentally assessed and corrective action taken to help further develop employee engagement. Cook added that workers' involvement was like a fire that must continue to be ignited by adding the necessary data sources. He added that the inability to introduce the necessary sources of information could lead to a firefight. He argues that the most ideal way for organizations to further develop the engagement </w:t>
      </w:r>
      <w:r w:rsidR="00B4779E" w:rsidRPr="00236FC3">
        <w:lastRenderedPageBreak/>
        <w:t xml:space="preserve">of their representatives is through a comparative analysis of their contribution to a better organization. In this way, representatives will understand that they have not given their best in the association, which encourages commitment (Linley, Harrington and </w:t>
      </w:r>
      <w:proofErr w:type="spellStart"/>
      <w:r w:rsidR="00B4779E" w:rsidRPr="00236FC3">
        <w:t>Garcea</w:t>
      </w:r>
      <w:proofErr w:type="spellEnd"/>
      <w:r w:rsidR="00B4779E" w:rsidRPr="00236FC3">
        <w:t xml:space="preserve"> 2010).</w:t>
      </w:r>
    </w:p>
    <w:p w14:paraId="0AE12D3E" w14:textId="5BCBFA9F" w:rsidR="00FF6B0F" w:rsidRPr="00236FC3" w:rsidRDefault="00236FC3" w:rsidP="005E27CF">
      <w:pPr>
        <w:jc w:val="both"/>
      </w:pPr>
      <w:r w:rsidRPr="00236FC3">
        <w:t xml:space="preserve">Along these lines, agents will comprehend that they have not given their best in the affiliation, which empowers responsibility (Linley, Harrington and </w:t>
      </w:r>
      <w:proofErr w:type="spellStart"/>
      <w:r w:rsidRPr="00236FC3">
        <w:t>Garcea</w:t>
      </w:r>
      <w:proofErr w:type="spellEnd"/>
      <w:r w:rsidRPr="00236FC3">
        <w:t xml:space="preserve"> 2010). One more concentrate by </w:t>
      </w:r>
      <w:proofErr w:type="spellStart"/>
      <w:r w:rsidRPr="00236FC3">
        <w:t>Sarlak</w:t>
      </w:r>
      <w:proofErr w:type="spellEnd"/>
      <w:r w:rsidRPr="00236FC3">
        <w:t xml:space="preserve"> (2010) recommends that delegate commitment is impacted by essential request and abilities. The author contends that lining up with the association's objectives helps an individual spotlight on what is generally anticipated of him while at work and along these lines take an interest in the work. Poor legitimate frameworks lead to a powerless course of action of agents with the affiliation, which over the long haul prompts an absence of responsibility from </w:t>
      </w:r>
      <w:proofErr w:type="spellStart"/>
      <w:r w:rsidRPr="00236FC3">
        <w:t>laborers</w:t>
      </w:r>
      <w:proofErr w:type="spellEnd"/>
      <w:r w:rsidRPr="00236FC3">
        <w:t xml:space="preserve">. </w:t>
      </w:r>
      <w:proofErr w:type="spellStart"/>
      <w:r w:rsidRPr="00236FC3">
        <w:t>Sarlak</w:t>
      </w:r>
      <w:proofErr w:type="spellEnd"/>
      <w:r w:rsidRPr="00236FC3">
        <w:t xml:space="preserve"> further adds that the expertise in one's work will assist an individual with putting forth courageous attempts in his work and in this way to show responsibility in the work. Messy agents will show indifference in their work and consequently will show powerless commitment in their work.</w:t>
      </w:r>
    </w:p>
    <w:p w14:paraId="60F65D3A" w14:textId="4DF42B7D" w:rsidR="00B4779E" w:rsidRPr="00236FC3" w:rsidRDefault="00236FC3" w:rsidP="005E27CF">
      <w:pPr>
        <w:jc w:val="both"/>
      </w:pPr>
      <w:r w:rsidRPr="00236FC3">
        <w:t xml:space="preserve">The factor that further develops agent commitment is the relationship with the director. Managers' associations with agents can cause dread, certainty, difficult work, certainty and even laziness (Albrecht, 2010). The organization is the focal component in how delegates act and how they take part in their activities at work. Making sensible yet troublesome associations with agents is a good technique for showing </w:t>
      </w:r>
      <w:proofErr w:type="spellStart"/>
      <w:r w:rsidRPr="00236FC3">
        <w:t>laborers</w:t>
      </w:r>
      <w:proofErr w:type="spellEnd"/>
      <w:r w:rsidRPr="00236FC3">
        <w:t xml:space="preserve"> that work is a significant issue. In this limit, the delegates will assume liability and exhibit the truth displayed to them in their work. Moreover, making a wonderful connection with workers further assists with growing the agent responsibility. Grounded connections assist agents with understanding that the working environment is a fair environment for their world and afterward work without inspecting their shoulder. This raises the obligation and responsibility that successes the work (Garber 2013).</w:t>
      </w:r>
    </w:p>
    <w:p w14:paraId="666372A1" w14:textId="312B9EDD" w:rsidR="00B4779E" w:rsidRPr="00236FC3" w:rsidRDefault="00B4779E" w:rsidP="005E27CF">
      <w:pPr>
        <w:jc w:val="both"/>
        <w:rPr>
          <w:color w:val="FF0000"/>
        </w:rPr>
      </w:pPr>
      <w:r>
        <w:t xml:space="preserve">Another component that decides the commitment of workers to work is the trust in the initiative of higher and hierarchical culture (Albrecht, 2010). Trust the administration of the Association of Workers' Assistants with the following requests and take care of their </w:t>
      </w:r>
      <w:r w:rsidR="005E27CF">
        <w:t>endeavours</w:t>
      </w:r>
      <w:r>
        <w:t xml:space="preserve"> without worries. This increases efficiency and therefore work commitment. Moreover, the way in which the administration performs its work determines the commitment of the workers. Representatives believe that their bosses will set the pace as they follow. In this capacity, the administration must show commitment and hard work in its duties before anticipating something very similar from the representatives. </w:t>
      </w:r>
      <w:r w:rsidR="00236FC3" w:rsidRPr="00236FC3">
        <w:t xml:space="preserve">Various </w:t>
      </w:r>
      <w:r w:rsidR="005E27CF" w:rsidRPr="00236FC3">
        <w:t>levelled</w:t>
      </w:r>
      <w:bookmarkStart w:id="2" w:name="_GoBack"/>
      <w:bookmarkEnd w:id="2"/>
      <w:r w:rsidR="00236FC3" w:rsidRPr="00236FC3">
        <w:t xml:space="preserve"> culture is additionally critical to guarantee worker </w:t>
      </w:r>
      <w:r w:rsidR="005E27CF" w:rsidRPr="00236FC3">
        <w:t>fulfilment</w:t>
      </w:r>
      <w:r w:rsidR="00236FC3" w:rsidRPr="00236FC3">
        <w:t xml:space="preserve"> and commitment. A legitimate culture can stir agents to be better experts or impact them to be slow specialists. The objections, the vision, the mission and the fundamental convictions of the association are the primary determinants of the level of liability and responsibility presented by the delegates in their work. These are the most captivating things that </w:t>
      </w:r>
      <w:proofErr w:type="spellStart"/>
      <w:r w:rsidR="00236FC3" w:rsidRPr="00236FC3">
        <w:t>laborers</w:t>
      </w:r>
      <w:proofErr w:type="spellEnd"/>
      <w:r w:rsidR="00236FC3" w:rsidRPr="00236FC3">
        <w:t xml:space="preserve"> really look at when joining an organization, and should be possible by devoted or aloof delegates.</w:t>
      </w:r>
    </w:p>
    <w:p w14:paraId="10316E4C" w14:textId="1DACA03C" w:rsidR="00B4779E" w:rsidRDefault="00B4779E" w:rsidP="005E27CF">
      <w:pPr>
        <w:jc w:val="both"/>
      </w:pPr>
      <w:r>
        <w:lastRenderedPageBreak/>
        <w:t>Another element that affects employee engagement is representative recognition. The administration must be prepared to notice the efforts of each representative in the work and to reward the person in question in a similar way (Garber 2013). The administration must devise a scale for giving commissions and gifts to workers in the event that a representative has performed excellently. This will not only give them the determination to carry out their tasks in an exemplary manner, but will also persuade various representatives to make a solid effort to achieve something similar. The administration should disseminate information about such benefits to representatives in order for them to start working with them.</w:t>
      </w:r>
      <w:r w:rsidRPr="00236FC3">
        <w:rPr>
          <w:color w:val="FF0000"/>
        </w:rPr>
        <w:t xml:space="preserve"> </w:t>
      </w:r>
      <w:r w:rsidR="00236FC3" w:rsidRPr="00236FC3">
        <w:t xml:space="preserve">This will extend the opposition in the work and will likewise help the hierarchical picture among the agents. Being excited with regards to the advancement of the agents in the work will likewise show that the organization is searching for quality work and will uphold the speed and nature of the work moved by all </w:t>
      </w:r>
      <w:proofErr w:type="spellStart"/>
      <w:r w:rsidR="00236FC3" w:rsidRPr="00236FC3">
        <w:t>laborers</w:t>
      </w:r>
      <w:proofErr w:type="spellEnd"/>
      <w:r w:rsidR="00236FC3" w:rsidRPr="00236FC3">
        <w:t xml:space="preserve"> (Albrecht, 2010).</w:t>
      </w:r>
    </w:p>
    <w:p w14:paraId="30156373" w14:textId="553DF697" w:rsidR="00B4779E" w:rsidRPr="00236FC3" w:rsidRDefault="00B4779E" w:rsidP="005E27CF">
      <w:pPr>
        <w:jc w:val="both"/>
      </w:pPr>
      <w:r>
        <w:t xml:space="preserve">In addition, the support of the profession is also another important thing that supports the involvement of workers in their work </w:t>
      </w:r>
      <w:r w:rsidRPr="00B4779E">
        <w:t xml:space="preserve">(Wayne and </w:t>
      </w:r>
      <w:proofErr w:type="spellStart"/>
      <w:r w:rsidRPr="00B4779E">
        <w:t>Martocchio</w:t>
      </w:r>
      <w:proofErr w:type="spellEnd"/>
      <w:r w:rsidRPr="00B4779E">
        <w:t>, 2016)</w:t>
      </w:r>
      <w:r>
        <w:t xml:space="preserve">. Directing experiential training and conducting representative courses is an important method of supporting employee engagement. </w:t>
      </w:r>
      <w:r w:rsidR="00236FC3" w:rsidRPr="00236FC3">
        <w:t xml:space="preserve">Preparing gives agents more abilities in their work, which causes them to do their occupation significantly more productively and rapidly. It is additionally verification that the organization needs them to work better compared to they are doing right now, and this will help their trust in their work and furthermore support their responsibility. Similarly, enabling </w:t>
      </w:r>
      <w:proofErr w:type="spellStart"/>
      <w:r w:rsidR="00236FC3" w:rsidRPr="00236FC3">
        <w:t>laborers</w:t>
      </w:r>
      <w:proofErr w:type="spellEnd"/>
      <w:r w:rsidR="00236FC3" w:rsidRPr="00236FC3">
        <w:t xml:space="preserve"> to assist them with creating and advance their bits of knowledge and capacities further aides commitment. Such assignments challenge them to see that there are numerous things they need to learn and consequently make them more predictable in their present undertakings to find more (Linley, Harrington and </w:t>
      </w:r>
      <w:proofErr w:type="spellStart"/>
      <w:r w:rsidR="00236FC3" w:rsidRPr="00236FC3">
        <w:t>Garcea</w:t>
      </w:r>
      <w:proofErr w:type="spellEnd"/>
      <w:r w:rsidR="00236FC3" w:rsidRPr="00236FC3">
        <w:t xml:space="preserve"> 2010). It additionally gives them the inclination that they can without a doubt be progressed in these lines, compelling them to comply and be committed to their work.</w:t>
      </w:r>
    </w:p>
    <w:p w14:paraId="3AC29562" w14:textId="63E6A724" w:rsidR="00B4779E" w:rsidRDefault="00B4779E" w:rsidP="005E27CF">
      <w:pPr>
        <w:jc w:val="both"/>
      </w:pPr>
      <w:r>
        <w:t xml:space="preserve">In addition, peer culture is another important factor in employee engagement. Representatives quite often copy what their quick colleagues does while working </w:t>
      </w:r>
      <w:r w:rsidRPr="00B4779E">
        <w:t>(Carbonara, 2013)</w:t>
      </w:r>
      <w:r>
        <w:t xml:space="preserve">. All things considered, representatives with a lot of apathy will influence another worker to become lethargic, regardless of whether he was stubborn in the beginning. In general, there is a stronger relationship between workers than between representatives and the administration. Given all this, individual representatives can influence a worker if we assume that he is obviously apathetic or makes a helpless contribution to the association. In addition, workers spend more time together than directors. Accordingly, they affect their partners more than the administration. According to this view, it is reasonable for the administration to ensure that there are representatives who take care of the organization's destinations and presence </w:t>
      </w:r>
      <w:r w:rsidRPr="00B4779E">
        <w:t>(</w:t>
      </w:r>
      <w:proofErr w:type="spellStart"/>
      <w:r w:rsidRPr="00B4779E">
        <w:t>Yaneva</w:t>
      </w:r>
      <w:proofErr w:type="spellEnd"/>
      <w:r w:rsidRPr="00B4779E">
        <w:t>, 2018)</w:t>
      </w:r>
      <w:r>
        <w:t>. Such representatives can be used to pass on data to workers, to make them cooperate by mutual consent, without regard to superiors (Albrecht, 2010).</w:t>
      </w:r>
    </w:p>
    <w:p w14:paraId="52AA8B3C" w14:textId="7F0EB04C" w:rsidR="00B4779E" w:rsidRDefault="00B4779E" w:rsidP="005E27CF">
      <w:pPr>
        <w:jc w:val="both"/>
      </w:pPr>
      <w:r>
        <w:lastRenderedPageBreak/>
        <w:t>Another component that determines the commitment of representatives in the work is a reasonable contribution. A reasonable contribution is central to deciding on representative fidelity, performance, commitment and progress. Representatives usually look for better contributions to compensate for their hard work. Thus, if we assume that the contribution is not reasonable in terms of commitments made, the representatives will show lethargy at work and in the long run will leave the association when they improve the compensatory professions. The large contributions make the representatives think about the need to look for a better business and as such move to give the best of themselves to their current place of work in order to keep it certain. This increases commitment and responsibility in the work, which leads to better results (Garber 2013).</w:t>
      </w:r>
    </w:p>
    <w:p w14:paraId="24528D2D" w14:textId="6A8DF692" w:rsidR="00FF6B0F" w:rsidRDefault="00B4779E" w:rsidP="005E27CF">
      <w:pPr>
        <w:jc w:val="both"/>
      </w:pPr>
      <w:r w:rsidRPr="00B4779E">
        <w:t>Another element that encourages employee engagement is the accessibility of progress. All representatives must move from one job position to another. Taking all things into account, offering representatives a chance to progress will build their commitment to their work. Such freedoms will provoke them to give their best in association to give them a chance to create and progress. Such freedoms keep representatives focused on their work and make them work harder to demonstrate the ability to take care of additional difficult tasks (</w:t>
      </w:r>
      <w:proofErr w:type="spellStart"/>
      <w:r w:rsidRPr="00B4779E">
        <w:t>Sarlak</w:t>
      </w:r>
      <w:proofErr w:type="spellEnd"/>
      <w:r w:rsidRPr="00B4779E">
        <w:t xml:space="preserve"> 2010).</w:t>
      </w:r>
    </w:p>
    <w:p w14:paraId="633938DF" w14:textId="5BA9B58B" w:rsidR="005E27CF" w:rsidRDefault="005E27CF" w:rsidP="005E27CF">
      <w:pPr>
        <w:jc w:val="both"/>
      </w:pPr>
    </w:p>
    <w:p w14:paraId="18A66A64" w14:textId="77777777" w:rsidR="005E27CF" w:rsidRDefault="005E27CF" w:rsidP="005E27CF">
      <w:pPr>
        <w:jc w:val="both"/>
      </w:pPr>
    </w:p>
    <w:p w14:paraId="0DFEAF66" w14:textId="46A0B533" w:rsidR="00FF6B0F" w:rsidRDefault="00FF6B0F" w:rsidP="005E27CF">
      <w:pPr>
        <w:pStyle w:val="Heading1"/>
        <w:jc w:val="both"/>
      </w:pPr>
      <w:bookmarkStart w:id="3" w:name="_Toc92293073"/>
      <w:r>
        <w:t>Conclusions and Recommendations</w:t>
      </w:r>
      <w:bookmarkEnd w:id="3"/>
    </w:p>
    <w:p w14:paraId="6FB403DE" w14:textId="32899B3D" w:rsidR="00B4779E" w:rsidRDefault="00B4779E" w:rsidP="005E27CF">
      <w:pPr>
        <w:jc w:val="both"/>
      </w:pPr>
      <w:r>
        <w:t>The above conversation assumes that organizations ensure that they provide their representatives with great jobs, better contributions, opening up to progress, support for the profession, recognition of workers and a great authority for further development of representative engagement.</w:t>
      </w:r>
    </w:p>
    <w:p w14:paraId="2B48869A" w14:textId="77777777" w:rsidR="00BA2937" w:rsidRPr="00BA2937" w:rsidRDefault="00BA2937" w:rsidP="005E27CF">
      <w:pPr>
        <w:pStyle w:val="ListParagraph"/>
        <w:numPr>
          <w:ilvl w:val="0"/>
          <w:numId w:val="1"/>
        </w:numPr>
        <w:jc w:val="both"/>
      </w:pPr>
      <w:r w:rsidRPr="00BA2937">
        <w:t>Associations are relied upon to additionally guarantee that their delegates are occupied with their work to construct results and work on the idea of their results.</w:t>
      </w:r>
    </w:p>
    <w:p w14:paraId="18607A85" w14:textId="77777777" w:rsidR="00BA2937" w:rsidRPr="00BA2937" w:rsidRDefault="00BA2937" w:rsidP="005E27CF">
      <w:pPr>
        <w:pStyle w:val="ListParagraph"/>
        <w:numPr>
          <w:ilvl w:val="0"/>
          <w:numId w:val="1"/>
        </w:numPr>
        <w:jc w:val="both"/>
      </w:pPr>
      <w:r w:rsidRPr="00BA2937">
        <w:t>Associations are additionally expected to evaluate the factors that characterize worker commitment to guarantee that they give their best to delegates for responsibility and obligation to their work.</w:t>
      </w:r>
    </w:p>
    <w:p w14:paraId="1513893F" w14:textId="4848F91D" w:rsidR="00B4779E" w:rsidRPr="00BA2937" w:rsidRDefault="00BA2937" w:rsidP="005E27CF">
      <w:pPr>
        <w:pStyle w:val="ListParagraph"/>
        <w:numPr>
          <w:ilvl w:val="0"/>
          <w:numId w:val="1"/>
        </w:numPr>
        <w:jc w:val="both"/>
      </w:pPr>
      <w:r w:rsidRPr="00BA2937">
        <w:t xml:space="preserve">Associations are additionally expected to lead worker evaluations and give gifts to devoted and dedicated agents. This will uphold the obligation of </w:t>
      </w:r>
      <w:proofErr w:type="spellStart"/>
      <w:r w:rsidRPr="00BA2937">
        <w:t>laborers</w:t>
      </w:r>
      <w:proofErr w:type="spellEnd"/>
      <w:r w:rsidRPr="00BA2937">
        <w:t xml:space="preserve"> and consequently support the idea of the outcomes.</w:t>
      </w:r>
    </w:p>
    <w:p w14:paraId="38E596DA" w14:textId="77777777" w:rsidR="00BA2937" w:rsidRPr="00BA2937" w:rsidRDefault="00B4779E" w:rsidP="005E27CF">
      <w:pPr>
        <w:jc w:val="both"/>
      </w:pPr>
      <w:r>
        <w:t xml:space="preserve">In general, it is obvious that employee engagement is a key element in business achievement. The commitment of the workers helps the representatives to perform quality work in the shortest possible time, which in turn gives more results. Moreover, the commitment of the workers enables the representatives to be loyal to the association. This helps them to have a well-being for the organization at the most </w:t>
      </w:r>
      <w:r>
        <w:lastRenderedPageBreak/>
        <w:t xml:space="preserve">fundamental level and therefore to </w:t>
      </w:r>
      <w:r w:rsidRPr="00BA2937">
        <w:t xml:space="preserve">present themselves as great organizational specialists wherever they are. </w:t>
      </w:r>
      <w:r w:rsidR="00BA2937" w:rsidRPr="00BA2937">
        <w:t xml:space="preserve">Worker commitment is showed when agents are occupied with their work, </w:t>
      </w:r>
      <w:proofErr w:type="spellStart"/>
      <w:r w:rsidR="00BA2937" w:rsidRPr="00BA2937">
        <w:t>endeavor</w:t>
      </w:r>
      <w:proofErr w:type="spellEnd"/>
      <w:r w:rsidR="00BA2937" w:rsidRPr="00BA2937">
        <w:t xml:space="preserve"> to accomplish objectives and destinations, are versatile in taking on extra requests and assignments, show endurance to the association, work longer hours than anticipated, accomplish their objectives. timetable and adjust to the rules and rules of the affiliation (Albrecht, 2010).</w:t>
      </w:r>
    </w:p>
    <w:p w14:paraId="05DCAB50" w14:textId="5AD8EBBB" w:rsidR="00FF6B0F" w:rsidRPr="00BA2937" w:rsidRDefault="00BA2937" w:rsidP="005E27CF">
      <w:pPr>
        <w:jc w:val="both"/>
      </w:pPr>
      <w:r w:rsidRPr="00BA2937">
        <w:t>Components that impact delegate commitment incorporate commitments, vocation support, openings for development, key positioning of workers in the hierarchical culture, trust in authoritative specialists, chief's associations with representatives, peer culture, individual impact and acknowledgment of representatives. Every one of them ought to be assessed and improved now and again, accepting that the association needs to additionally foster its result.</w:t>
      </w:r>
    </w:p>
    <w:p w14:paraId="3D011C2B" w14:textId="27DDE590" w:rsidR="00FF6B0F" w:rsidRDefault="00FF6B0F" w:rsidP="005E27CF">
      <w:pPr>
        <w:jc w:val="both"/>
      </w:pPr>
    </w:p>
    <w:p w14:paraId="06BC8934" w14:textId="09E832BC" w:rsidR="00B4779E" w:rsidRDefault="00B4779E" w:rsidP="005E27CF">
      <w:pPr>
        <w:jc w:val="both"/>
      </w:pPr>
    </w:p>
    <w:p w14:paraId="2BEF1B88" w14:textId="0F0003F4" w:rsidR="00B4779E" w:rsidRDefault="00B4779E" w:rsidP="005E27CF">
      <w:pPr>
        <w:jc w:val="both"/>
      </w:pPr>
    </w:p>
    <w:p w14:paraId="0EA46F6D" w14:textId="55535C86" w:rsidR="00B4779E" w:rsidRDefault="00B4779E" w:rsidP="005E27CF">
      <w:pPr>
        <w:jc w:val="both"/>
      </w:pPr>
    </w:p>
    <w:p w14:paraId="7A1155CC" w14:textId="06155A24" w:rsidR="00B4779E" w:rsidRDefault="00B4779E" w:rsidP="005E27CF">
      <w:pPr>
        <w:jc w:val="both"/>
      </w:pPr>
    </w:p>
    <w:p w14:paraId="7C2FC142" w14:textId="4F160B4B" w:rsidR="00B4779E" w:rsidRDefault="00B4779E" w:rsidP="005E27CF">
      <w:pPr>
        <w:jc w:val="both"/>
      </w:pPr>
    </w:p>
    <w:p w14:paraId="1BBC2214" w14:textId="1B7406F9" w:rsidR="00B4779E" w:rsidRDefault="00B4779E" w:rsidP="005E27CF">
      <w:pPr>
        <w:jc w:val="both"/>
      </w:pPr>
    </w:p>
    <w:p w14:paraId="4D3C50A7" w14:textId="1DEEFA7A" w:rsidR="00B4779E" w:rsidRDefault="00B4779E" w:rsidP="005E27CF">
      <w:pPr>
        <w:jc w:val="both"/>
      </w:pPr>
    </w:p>
    <w:p w14:paraId="740BCBB2" w14:textId="03926068" w:rsidR="00B4779E" w:rsidRDefault="00B4779E" w:rsidP="005E27CF">
      <w:pPr>
        <w:jc w:val="both"/>
      </w:pPr>
    </w:p>
    <w:p w14:paraId="21892942" w14:textId="26009AA6" w:rsidR="00B4779E" w:rsidRDefault="00B4779E" w:rsidP="005E27CF">
      <w:pPr>
        <w:jc w:val="both"/>
      </w:pPr>
    </w:p>
    <w:p w14:paraId="0039ABB3" w14:textId="3F7C99E4" w:rsidR="00B4779E" w:rsidRDefault="00B4779E" w:rsidP="005E27CF">
      <w:pPr>
        <w:jc w:val="both"/>
      </w:pPr>
    </w:p>
    <w:p w14:paraId="2A288B95" w14:textId="707FAD7D" w:rsidR="00B4779E" w:rsidRDefault="00B4779E" w:rsidP="005E27CF">
      <w:pPr>
        <w:jc w:val="both"/>
      </w:pPr>
    </w:p>
    <w:p w14:paraId="6D2F96DC" w14:textId="55BB58E7" w:rsidR="00B4779E" w:rsidRDefault="00B4779E" w:rsidP="005E27CF">
      <w:pPr>
        <w:jc w:val="both"/>
      </w:pPr>
    </w:p>
    <w:p w14:paraId="0F4E6DD0" w14:textId="4ED77A83" w:rsidR="00B4779E" w:rsidRDefault="00B4779E" w:rsidP="005E27CF">
      <w:pPr>
        <w:jc w:val="both"/>
      </w:pPr>
    </w:p>
    <w:p w14:paraId="3B83C50A" w14:textId="492AD51E" w:rsidR="00B4779E" w:rsidRDefault="00B4779E" w:rsidP="005E27CF">
      <w:pPr>
        <w:jc w:val="both"/>
      </w:pPr>
    </w:p>
    <w:p w14:paraId="0B3EBA7E" w14:textId="0085180B" w:rsidR="00B4779E" w:rsidRDefault="00B4779E" w:rsidP="005E27CF">
      <w:pPr>
        <w:jc w:val="both"/>
      </w:pPr>
    </w:p>
    <w:p w14:paraId="0CF80E2E" w14:textId="2344A653" w:rsidR="00B4779E" w:rsidRDefault="00B4779E" w:rsidP="005E27CF">
      <w:pPr>
        <w:jc w:val="both"/>
      </w:pPr>
    </w:p>
    <w:p w14:paraId="1BAD7231" w14:textId="68028E30" w:rsidR="00B4779E" w:rsidRDefault="00B4779E" w:rsidP="005E27CF">
      <w:pPr>
        <w:jc w:val="both"/>
      </w:pPr>
    </w:p>
    <w:p w14:paraId="4515BB77" w14:textId="6DC5954D" w:rsidR="00B4779E" w:rsidRDefault="00B4779E" w:rsidP="005E27CF">
      <w:pPr>
        <w:jc w:val="both"/>
      </w:pPr>
    </w:p>
    <w:p w14:paraId="4FFD9957" w14:textId="77777777" w:rsidR="00B4779E" w:rsidRDefault="00B4779E" w:rsidP="005E27CF">
      <w:pPr>
        <w:jc w:val="both"/>
      </w:pPr>
    </w:p>
    <w:p w14:paraId="73D789E8" w14:textId="3123ADBE" w:rsidR="00FF6B0F" w:rsidRDefault="00FF6B0F" w:rsidP="005E27CF">
      <w:pPr>
        <w:pStyle w:val="Heading1"/>
        <w:jc w:val="both"/>
      </w:pPr>
      <w:bookmarkStart w:id="4" w:name="_Toc92293074"/>
      <w:r>
        <w:t>References</w:t>
      </w:r>
      <w:bookmarkEnd w:id="4"/>
    </w:p>
    <w:p w14:paraId="28222A9E" w14:textId="65F94422" w:rsidR="00B4779E" w:rsidRDefault="00B4779E" w:rsidP="005E27CF">
      <w:pPr>
        <w:jc w:val="both"/>
      </w:pPr>
      <w:r>
        <w:t xml:space="preserve">Albrecht, S. L. (2010). </w:t>
      </w:r>
      <w:r w:rsidRPr="00B4779E">
        <w:rPr>
          <w:i/>
          <w:iCs/>
        </w:rPr>
        <w:t>Handbook of employee engagement: perspectives, issues, research and practice</w:t>
      </w:r>
      <w:r>
        <w:t>. Cheltenham: Edward Elgar.</w:t>
      </w:r>
    </w:p>
    <w:p w14:paraId="41C9CA70" w14:textId="0C303FE5" w:rsidR="00B4779E" w:rsidRDefault="00B4779E" w:rsidP="005E27CF">
      <w:pPr>
        <w:jc w:val="both"/>
      </w:pPr>
      <w:r>
        <w:t xml:space="preserve">Armstrong, M. (2007). </w:t>
      </w:r>
      <w:r w:rsidRPr="00B4779E">
        <w:rPr>
          <w:i/>
          <w:iCs/>
        </w:rPr>
        <w:t>A handbook of employee reward management and practice</w:t>
      </w:r>
      <w:r>
        <w:t xml:space="preserve">. Philadelphia: </w:t>
      </w:r>
      <w:proofErr w:type="spellStart"/>
      <w:r>
        <w:t>Kogan</w:t>
      </w:r>
      <w:proofErr w:type="spellEnd"/>
      <w:r>
        <w:t xml:space="preserve"> Page.</w:t>
      </w:r>
    </w:p>
    <w:p w14:paraId="7FB70635" w14:textId="17B60447" w:rsidR="00B4779E" w:rsidRDefault="00B4779E" w:rsidP="005E27CF">
      <w:pPr>
        <w:jc w:val="both"/>
      </w:pPr>
      <w:proofErr w:type="spellStart"/>
      <w:r>
        <w:t>Blazey</w:t>
      </w:r>
      <w:proofErr w:type="spellEnd"/>
      <w:r>
        <w:t xml:space="preserve">, M. L. (2013). </w:t>
      </w:r>
      <w:r w:rsidRPr="00B4779E">
        <w:rPr>
          <w:i/>
          <w:iCs/>
        </w:rPr>
        <w:t xml:space="preserve">Insights to performance excellence, 2013-2014: understanding the integrated management system and the </w:t>
      </w:r>
      <w:proofErr w:type="spellStart"/>
      <w:r w:rsidRPr="00B4779E">
        <w:rPr>
          <w:i/>
          <w:iCs/>
        </w:rPr>
        <w:t>Baldridge</w:t>
      </w:r>
      <w:proofErr w:type="spellEnd"/>
      <w:r w:rsidRPr="00B4779E">
        <w:rPr>
          <w:i/>
          <w:iCs/>
        </w:rPr>
        <w:t xml:space="preserve"> criteria</w:t>
      </w:r>
      <w:r>
        <w:t xml:space="preserve">. Milwaukee: Quality Press. </w:t>
      </w:r>
    </w:p>
    <w:p w14:paraId="06E54F32" w14:textId="3CE10E19" w:rsidR="00B4779E" w:rsidRDefault="00B4779E" w:rsidP="005E27CF">
      <w:pPr>
        <w:jc w:val="both"/>
      </w:pPr>
      <w:r w:rsidRPr="00B4779E">
        <w:t xml:space="preserve">Carbonara, S. (2013). </w:t>
      </w:r>
      <w:r w:rsidRPr="00B4779E">
        <w:rPr>
          <w:i/>
          <w:iCs/>
        </w:rPr>
        <w:t>Manager’s Guide to Employee Engagement</w:t>
      </w:r>
      <w:r w:rsidRPr="00B4779E">
        <w:t xml:space="preserve">. New York: </w:t>
      </w:r>
      <w:proofErr w:type="spellStart"/>
      <w:r w:rsidRPr="00B4779E">
        <w:t>Mcgraw-Hill</w:t>
      </w:r>
      <w:proofErr w:type="spellEnd"/>
      <w:r w:rsidRPr="00B4779E">
        <w:t>.</w:t>
      </w:r>
    </w:p>
    <w:p w14:paraId="5C009ABB" w14:textId="77777777" w:rsidR="00B4779E" w:rsidRDefault="00B4779E" w:rsidP="005E27CF">
      <w:pPr>
        <w:jc w:val="both"/>
      </w:pPr>
      <w:r>
        <w:t xml:space="preserve">Garber, P. R. (2013). </w:t>
      </w:r>
      <w:r w:rsidRPr="00B4779E">
        <w:rPr>
          <w:i/>
          <w:iCs/>
        </w:rPr>
        <w:t>The manager's employee engagement toolbox</w:t>
      </w:r>
      <w:r>
        <w:t xml:space="preserve">. Alexandria: ASTD Press. Linley, P. A., </w:t>
      </w:r>
    </w:p>
    <w:p w14:paraId="30BF3505" w14:textId="5531FF82" w:rsidR="00B4779E" w:rsidRDefault="00B4779E" w:rsidP="005E27CF">
      <w:pPr>
        <w:jc w:val="both"/>
      </w:pPr>
      <w:r>
        <w:t xml:space="preserve">Harrington, S. &amp; </w:t>
      </w:r>
      <w:proofErr w:type="spellStart"/>
      <w:r>
        <w:t>Garcea</w:t>
      </w:r>
      <w:proofErr w:type="spellEnd"/>
      <w:r>
        <w:t xml:space="preserve">, N. (2010). </w:t>
      </w:r>
      <w:r w:rsidRPr="00B4779E">
        <w:rPr>
          <w:i/>
          <w:iCs/>
        </w:rPr>
        <w:t>Oxford handbook of positive psychology and work</w:t>
      </w:r>
      <w:r>
        <w:t>. Oxford: Oxford University Press.</w:t>
      </w:r>
    </w:p>
    <w:p w14:paraId="74C7A2CB" w14:textId="4452ED21" w:rsidR="00B4779E" w:rsidRDefault="00B4779E" w:rsidP="005E27CF">
      <w:pPr>
        <w:jc w:val="both"/>
      </w:pPr>
      <w:r>
        <w:t xml:space="preserve">Macey, W. H., Schneider, B., </w:t>
      </w:r>
      <w:proofErr w:type="spellStart"/>
      <w:r>
        <w:t>Barbera</w:t>
      </w:r>
      <w:proofErr w:type="spellEnd"/>
      <w:r>
        <w:t xml:space="preserve">, K. M. &amp; Young, S. A. (2011). </w:t>
      </w:r>
      <w:r w:rsidRPr="00B4779E">
        <w:rPr>
          <w:i/>
          <w:iCs/>
        </w:rPr>
        <w:t>Employee Engagement: Tools for Analysis, Practice, and Competitive Advantage</w:t>
      </w:r>
      <w:r>
        <w:t xml:space="preserve">. Hoboken: John Wiley &amp; Sons. </w:t>
      </w:r>
    </w:p>
    <w:p w14:paraId="40CD0DD1" w14:textId="3DA2C149" w:rsidR="00FF6B0F" w:rsidRDefault="00B4779E" w:rsidP="005E27CF">
      <w:pPr>
        <w:jc w:val="both"/>
      </w:pPr>
      <w:proofErr w:type="spellStart"/>
      <w:r>
        <w:t>Sarlak</w:t>
      </w:r>
      <w:proofErr w:type="spellEnd"/>
      <w:r>
        <w:t xml:space="preserve">, M. A. (2010). </w:t>
      </w:r>
      <w:r w:rsidRPr="00B4779E">
        <w:rPr>
          <w:i/>
          <w:iCs/>
        </w:rPr>
        <w:t>The new faces of organizations in the 21st century: management and business reference book</w:t>
      </w:r>
      <w:r>
        <w:t>. Toronto: NAISIT Publishers.</w:t>
      </w:r>
    </w:p>
    <w:p w14:paraId="33E5991E" w14:textId="22A6F0D0" w:rsidR="00B4779E" w:rsidRDefault="00B4779E" w:rsidP="005E27CF">
      <w:pPr>
        <w:jc w:val="both"/>
      </w:pPr>
      <w:r w:rsidRPr="00B4779E">
        <w:t xml:space="preserve">Wayne, R. and </w:t>
      </w:r>
      <w:proofErr w:type="spellStart"/>
      <w:r w:rsidRPr="00B4779E">
        <w:t>Martocchio</w:t>
      </w:r>
      <w:proofErr w:type="spellEnd"/>
      <w:r w:rsidRPr="00B4779E">
        <w:t xml:space="preserve">, J.J. (2016). </w:t>
      </w:r>
      <w:r w:rsidRPr="00B4779E">
        <w:rPr>
          <w:i/>
          <w:iCs/>
        </w:rPr>
        <w:t>Human Resource Management</w:t>
      </w:r>
      <w:r w:rsidRPr="00B4779E">
        <w:t>. 14th ed. Harlow: Pearson Education Limited.</w:t>
      </w:r>
    </w:p>
    <w:p w14:paraId="79712224" w14:textId="452EF6B6" w:rsidR="00B4779E" w:rsidRDefault="00B4779E" w:rsidP="005E27CF">
      <w:pPr>
        <w:jc w:val="both"/>
      </w:pPr>
      <w:proofErr w:type="spellStart"/>
      <w:r w:rsidRPr="00B4779E">
        <w:t>Yaneva</w:t>
      </w:r>
      <w:proofErr w:type="spellEnd"/>
      <w:r w:rsidRPr="00B4779E">
        <w:t xml:space="preserve">, M. (2018). Employee Satisfaction vs. Employee Engagement vs. Employee NPS. </w:t>
      </w:r>
      <w:r w:rsidRPr="00B4779E">
        <w:rPr>
          <w:i/>
          <w:iCs/>
        </w:rPr>
        <w:t>European Journal of Economics and Business Studies</w:t>
      </w:r>
      <w:r w:rsidRPr="00B4779E">
        <w:t>, 4(</w:t>
      </w:r>
      <w:r w:rsidRPr="00B4779E">
        <w:rPr>
          <w:b/>
          <w:bCs/>
        </w:rPr>
        <w:t>1</w:t>
      </w:r>
      <w:r w:rsidRPr="00B4779E">
        <w:t>), pp.221–227.</w:t>
      </w:r>
    </w:p>
    <w:sectPr w:rsidR="00B4779E" w:rsidSect="005E27CF">
      <w:footerReference w:type="even" r:id="rId9"/>
      <w:footerReference w:type="default" r:id="rId10"/>
      <w:pgSz w:w="11906" w:h="16838"/>
      <w:pgMar w:top="1440" w:right="1440" w:bottom="1440" w:left="1440" w:header="708" w:footer="708" w:gutter="0"/>
      <w:pgBorders w:offsetFrom="page">
        <w:top w:val="single" w:sz="4" w:space="24" w:color="00B0F0"/>
        <w:left w:val="single" w:sz="4" w:space="24" w:color="00B0F0"/>
        <w:bottom w:val="single" w:sz="4" w:space="24" w:color="00B0F0"/>
        <w:right w:val="single" w:sz="4" w:space="24" w:color="00B0F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1D9EC" w14:textId="77777777" w:rsidR="00E36DA8" w:rsidRDefault="00E36DA8" w:rsidP="00FF6B0F">
      <w:pPr>
        <w:spacing w:after="0" w:line="240" w:lineRule="auto"/>
      </w:pPr>
      <w:r>
        <w:separator/>
      </w:r>
    </w:p>
  </w:endnote>
  <w:endnote w:type="continuationSeparator" w:id="0">
    <w:p w14:paraId="2EFE88FE" w14:textId="77777777" w:rsidR="00E36DA8" w:rsidRDefault="00E36DA8" w:rsidP="00FF6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87868021"/>
      <w:docPartObj>
        <w:docPartGallery w:val="Page Numbers (Bottom of Page)"/>
        <w:docPartUnique/>
      </w:docPartObj>
    </w:sdtPr>
    <w:sdtEndPr>
      <w:rPr>
        <w:rStyle w:val="PageNumber"/>
      </w:rPr>
    </w:sdtEndPr>
    <w:sdtContent>
      <w:p w14:paraId="69D901D1" w14:textId="1963111E" w:rsidR="00FF6B0F" w:rsidRDefault="00FF6B0F" w:rsidP="00A54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4F2206" w14:textId="77777777" w:rsidR="00FF6B0F" w:rsidRDefault="00FF6B0F" w:rsidP="00FF6B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19355350"/>
      <w:docPartObj>
        <w:docPartGallery w:val="Page Numbers (Bottom of Page)"/>
        <w:docPartUnique/>
      </w:docPartObj>
    </w:sdtPr>
    <w:sdtEndPr>
      <w:rPr>
        <w:rStyle w:val="PageNumber"/>
      </w:rPr>
    </w:sdtEndPr>
    <w:sdtContent>
      <w:p w14:paraId="227FACA8" w14:textId="7AFA7FD3" w:rsidR="00FF6B0F" w:rsidRDefault="00FF6B0F" w:rsidP="00A546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E27CF">
          <w:rPr>
            <w:rStyle w:val="PageNumber"/>
            <w:noProof/>
          </w:rPr>
          <w:t>7</w:t>
        </w:r>
        <w:r>
          <w:rPr>
            <w:rStyle w:val="PageNumber"/>
          </w:rPr>
          <w:fldChar w:fldCharType="end"/>
        </w:r>
      </w:p>
    </w:sdtContent>
  </w:sdt>
  <w:p w14:paraId="1C9530D9" w14:textId="77777777" w:rsidR="00FF6B0F" w:rsidRDefault="00FF6B0F" w:rsidP="00FF6B0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F6254" w14:textId="77777777" w:rsidR="00E36DA8" w:rsidRDefault="00E36DA8" w:rsidP="00FF6B0F">
      <w:pPr>
        <w:spacing w:after="0" w:line="240" w:lineRule="auto"/>
      </w:pPr>
      <w:r>
        <w:separator/>
      </w:r>
    </w:p>
  </w:footnote>
  <w:footnote w:type="continuationSeparator" w:id="0">
    <w:p w14:paraId="554C0822" w14:textId="77777777" w:rsidR="00E36DA8" w:rsidRDefault="00E36DA8" w:rsidP="00FF6B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752F44"/>
    <w:multiLevelType w:val="hybridMultilevel"/>
    <w:tmpl w:val="207E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6B0F"/>
    <w:rsid w:val="00236FC3"/>
    <w:rsid w:val="005433BA"/>
    <w:rsid w:val="005E27CF"/>
    <w:rsid w:val="006016F3"/>
    <w:rsid w:val="007A3D60"/>
    <w:rsid w:val="00A340BB"/>
    <w:rsid w:val="00B4779E"/>
    <w:rsid w:val="00BA2937"/>
    <w:rsid w:val="00E36DA8"/>
    <w:rsid w:val="00EB0A82"/>
    <w:rsid w:val="00F8010B"/>
    <w:rsid w:val="00FF6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C5C1A"/>
  <w15:chartTrackingRefBased/>
  <w15:docId w15:val="{98864448-9A13-C747-BA01-ED967D7D1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FF6B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FF6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B0F"/>
    <w:rPr>
      <w:rFonts w:ascii="Arial" w:hAnsi="Arial"/>
      <w:szCs w:val="22"/>
    </w:rPr>
  </w:style>
  <w:style w:type="character" w:styleId="PageNumber">
    <w:name w:val="page number"/>
    <w:basedOn w:val="DefaultParagraphFont"/>
    <w:uiPriority w:val="99"/>
    <w:semiHidden/>
    <w:unhideWhenUsed/>
    <w:rsid w:val="00FF6B0F"/>
  </w:style>
  <w:style w:type="paragraph" w:styleId="NoSpacing">
    <w:name w:val="No Spacing"/>
    <w:link w:val="NoSpacingChar"/>
    <w:uiPriority w:val="1"/>
    <w:qFormat/>
    <w:rsid w:val="00FF6B0F"/>
    <w:rPr>
      <w:rFonts w:eastAsiaTheme="minorEastAsia"/>
      <w:sz w:val="22"/>
      <w:szCs w:val="22"/>
      <w:lang w:val="en-US" w:eastAsia="zh-CN"/>
    </w:rPr>
  </w:style>
  <w:style w:type="character" w:customStyle="1" w:styleId="NoSpacingChar">
    <w:name w:val="No Spacing Char"/>
    <w:basedOn w:val="DefaultParagraphFont"/>
    <w:link w:val="NoSpacing"/>
    <w:uiPriority w:val="1"/>
    <w:rsid w:val="00FF6B0F"/>
    <w:rPr>
      <w:rFonts w:eastAsiaTheme="minorEastAsia"/>
      <w:sz w:val="22"/>
      <w:szCs w:val="22"/>
      <w:lang w:val="en-US" w:eastAsia="zh-CN"/>
    </w:rPr>
  </w:style>
  <w:style w:type="character" w:customStyle="1" w:styleId="Heading1Char">
    <w:name w:val="Heading 1 Char"/>
    <w:basedOn w:val="DefaultParagraphFont"/>
    <w:link w:val="Heading1"/>
    <w:uiPriority w:val="9"/>
    <w:rsid w:val="00FF6B0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779E"/>
    <w:pPr>
      <w:spacing w:before="480"/>
      <w:outlineLvl w:val="9"/>
    </w:pPr>
    <w:rPr>
      <w:b/>
      <w:bCs/>
      <w:sz w:val="28"/>
      <w:szCs w:val="28"/>
      <w:lang w:val="en-US"/>
    </w:rPr>
  </w:style>
  <w:style w:type="paragraph" w:styleId="TOC1">
    <w:name w:val="toc 1"/>
    <w:basedOn w:val="Normal"/>
    <w:next w:val="Normal"/>
    <w:autoRedefine/>
    <w:uiPriority w:val="39"/>
    <w:unhideWhenUsed/>
    <w:rsid w:val="00B4779E"/>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B4779E"/>
    <w:rPr>
      <w:color w:val="0563C1" w:themeColor="hyperlink"/>
      <w:u w:val="single"/>
    </w:rPr>
  </w:style>
  <w:style w:type="paragraph" w:styleId="TOC2">
    <w:name w:val="toc 2"/>
    <w:basedOn w:val="Normal"/>
    <w:next w:val="Normal"/>
    <w:autoRedefine/>
    <w:uiPriority w:val="39"/>
    <w:semiHidden/>
    <w:unhideWhenUsed/>
    <w:rsid w:val="00B4779E"/>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B4779E"/>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4779E"/>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4779E"/>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4779E"/>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4779E"/>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4779E"/>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4779E"/>
    <w:pPr>
      <w:spacing w:after="0"/>
      <w:ind w:left="1920"/>
    </w:pPr>
    <w:rPr>
      <w:rFonts w:asciiTheme="minorHAnsi" w:hAnsiTheme="minorHAnsi" w:cstheme="minorHAnsi"/>
      <w:sz w:val="20"/>
      <w:szCs w:val="20"/>
    </w:rPr>
  </w:style>
  <w:style w:type="paragraph" w:styleId="ListParagraph">
    <w:name w:val="List Paragraph"/>
    <w:basedOn w:val="Normal"/>
    <w:uiPriority w:val="34"/>
    <w:qFormat/>
    <w:rsid w:val="00BA29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104380">
      <w:bodyDiv w:val="1"/>
      <w:marLeft w:val="0"/>
      <w:marRight w:val="0"/>
      <w:marTop w:val="0"/>
      <w:marBottom w:val="0"/>
      <w:divBdr>
        <w:top w:val="none" w:sz="0" w:space="0" w:color="auto"/>
        <w:left w:val="none" w:sz="0" w:space="0" w:color="auto"/>
        <w:bottom w:val="none" w:sz="0" w:space="0" w:color="auto"/>
        <w:right w:val="none" w:sz="0" w:space="0" w:color="auto"/>
      </w:divBdr>
      <w:divsChild>
        <w:div w:id="330530733">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871854-3980-4927-A697-0126B319D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2289</Words>
  <Characters>13049</Characters>
  <DocSecurity>0</DocSecurity>
  <Lines>108</Lines>
  <Paragraphs>30</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2022-01-05T14:26:00Z</dcterms:created>
  <dcterms:modified xsi:type="dcterms:W3CDTF">2022-01-05T20:47:00Z</dcterms:modified>
</cp:coreProperties>
</file>