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before="28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Ionel Babache</w:t>
      </w:r>
    </w:p>
    <w:p w:rsidR="00000000" w:rsidDel="00000000" w:rsidP="00000000" w:rsidRDefault="00000000" w:rsidRPr="00000000" w14:paraId="00000002">
      <w:pPr>
        <w:spacing w:after="280" w:before="28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2241659</w:t>
      </w:r>
    </w:p>
    <w:p w:rsidR="00000000" w:rsidDel="00000000" w:rsidP="00000000" w:rsidRDefault="00000000" w:rsidRPr="00000000" w14:paraId="00000003">
      <w:pPr>
        <w:spacing w:after="280" w:before="28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BMIH6007</w:t>
      </w:r>
    </w:p>
    <w:p w:rsidR="00000000" w:rsidDel="00000000" w:rsidP="00000000" w:rsidRDefault="00000000" w:rsidRPr="00000000" w14:paraId="00000004">
      <w:pPr>
        <w:spacing w:after="280" w:before="28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Kathryn Flynn</w:t>
      </w:r>
    </w:p>
    <w:p w:rsidR="00000000" w:rsidDel="00000000" w:rsidP="00000000" w:rsidRDefault="00000000" w:rsidRPr="00000000" w14:paraId="00000005">
      <w:pPr>
        <w:spacing w:after="280" w:before="280" w:line="360" w:lineRule="auto"/>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6">
      <w:pPr>
        <w:spacing w:after="280" w:before="28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Event Strategic Planning and Delivery Considerations for an International Event.</w:t>
      </w:r>
    </w:p>
    <w:p w:rsidR="00000000" w:rsidDel="00000000" w:rsidP="00000000" w:rsidRDefault="00000000" w:rsidRPr="00000000" w14:paraId="00000007">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AI Acknowledgement:</w:t>
      </w:r>
    </w:p>
    <w:p w:rsidR="00000000" w:rsidDel="00000000" w:rsidP="00000000" w:rsidRDefault="00000000" w:rsidRPr="00000000" w14:paraId="0000000E">
      <w:pPr>
        <w:spacing w:line="360" w:lineRule="auto"/>
        <w:jc w:val="both"/>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rtl w:val="0"/>
        </w:rPr>
        <w:t xml:space="preserve">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d3zq4ilmp2kf">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t8vm25ouswn3">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 Event Cycle</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oohycm6v13i4">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Event Concept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4a6tmevt97p3">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Aim and Objectives of the Event</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7k99hinod2vx">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Event Management</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a8cacrjuc0e4">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Event Budget</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9d237a5844oh">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Industry Trends / Issues / Impacts</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t64qnqdb8ey0">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Situational and Cultural Considerations</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drdzjnvbirzf">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SWOT Analysis</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6qkh3tpexi08">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Cultural Considerations Using the SOAR Framework:</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yp0m5skhuz6v">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PESTLE Analysis for CroesoFest 2025</w:t>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flx7id3291l7">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u7w4te25nq1o">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line="360" w:lineRule="auto"/>
        <w:jc w:val="both"/>
        <w:rPr>
          <w:sz w:val="24"/>
          <w:szCs w:val="24"/>
        </w:rPr>
      </w:pPr>
      <w:bookmarkStart w:colFirst="0" w:colLast="0" w:name="_heading=h.d3zq4ilmp2kf" w:id="0"/>
      <w:bookmarkEnd w:id="0"/>
      <w:r w:rsidDel="00000000" w:rsidR="00000000" w:rsidRPr="00000000">
        <w:rPr>
          <w:sz w:val="24"/>
          <w:szCs w:val="24"/>
          <w:rtl w:val="0"/>
        </w:rPr>
        <w:t xml:space="preserve">Introduction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Year of Croeso 2025 is a celebration that intends to be a milestone international culture event or festival in line with a Visit Wales official tourism campaign that focuses on the spirit of Welsh hospitality, culture, and identity (</w:t>
      </w:r>
      <w:r w:rsidDel="00000000" w:rsidR="00000000" w:rsidRPr="00000000">
        <w:rPr>
          <w:rFonts w:ascii="Times New Roman" w:cs="Times New Roman" w:eastAsia="Times New Roman" w:hAnsi="Times New Roman"/>
          <w:color w:val="222222"/>
          <w:sz w:val="24"/>
          <w:szCs w:val="24"/>
          <w:highlight w:val="white"/>
          <w:rtl w:val="0"/>
        </w:rPr>
        <w:t xml:space="preserve">Yen, 2023).</w:t>
      </w:r>
      <w:r w:rsidDel="00000000" w:rsidR="00000000" w:rsidRPr="00000000">
        <w:rPr>
          <w:rFonts w:ascii="Times New Roman" w:cs="Times New Roman" w:eastAsia="Times New Roman" w:hAnsi="Times New Roman"/>
          <w:sz w:val="24"/>
          <w:szCs w:val="24"/>
          <w:rtl w:val="0"/>
        </w:rPr>
        <w:t xml:space="preserve"> The word Croeso is a Welsh one meaning "welcome," signifying that the country welcomes the world with rich traditions, languages, arts, and natural landscapes. Proposed for 2025, CroesoFest aims at becoming a flagship event that speaks seriously to all that and strategically positions Wales in the international MICE (meetings, incentives, conferences, and exhibitions) market.</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CroesoFest 2025 will take place at the iconic Cardiff Castle Grounds, affording a unique combination of historical charm and cultural dynamism, with multi-day interactive exhibitions, traditional and contemporary performances, showcases of Welsh cuisine, panel discussions on local artisans and cultural leaders (</w:t>
      </w:r>
      <w:r w:rsidDel="00000000" w:rsidR="00000000" w:rsidRPr="00000000">
        <w:rPr>
          <w:rFonts w:ascii="Times New Roman" w:cs="Times New Roman" w:eastAsia="Times New Roman" w:hAnsi="Times New Roman"/>
          <w:color w:val="222222"/>
          <w:sz w:val="24"/>
          <w:szCs w:val="24"/>
          <w:highlight w:val="white"/>
          <w:rtl w:val="0"/>
        </w:rPr>
        <w:t xml:space="preserve">Riches, 2024)</w:t>
      </w:r>
      <w:r w:rsidDel="00000000" w:rsidR="00000000" w:rsidRPr="00000000">
        <w:rPr>
          <w:rFonts w:ascii="Times New Roman" w:cs="Times New Roman" w:eastAsia="Times New Roman" w:hAnsi="Times New Roman"/>
          <w:sz w:val="24"/>
          <w:szCs w:val="24"/>
          <w:rtl w:val="0"/>
        </w:rPr>
        <w:t xml:space="preserve">. More than this, the event will be a Welsh identity celebration and also engage the outside world by including implementation, promoting multilingual access, and sustainable event practices.</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choice for this occasion is reasonable because it is culturally and economically catalytic-to improve tourism, support local businesses and attract overseas delegates wishing to travel authentically and experience-oriented (</w:t>
      </w:r>
      <w:r w:rsidDel="00000000" w:rsidR="00000000" w:rsidRPr="00000000">
        <w:rPr>
          <w:rFonts w:ascii="Times New Roman" w:cs="Times New Roman" w:eastAsia="Times New Roman" w:hAnsi="Times New Roman"/>
          <w:color w:val="222222"/>
          <w:sz w:val="24"/>
          <w:szCs w:val="24"/>
          <w:highlight w:val="white"/>
          <w:rtl w:val="0"/>
        </w:rPr>
        <w:t xml:space="preserve">Abas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The very event falls in line with trends within the international events industry stressing cultural heritage, environmental care and community involvement. This report is aimed at critically discussing the strategic planning and delivery considerations of successful implementation of CroesoFest 2025. Theoretical models and industry knowledge will be put to test in discussing how the event can be effectively delivered for achieving national and international objectives.</w:t>
      </w:r>
    </w:p>
    <w:p w:rsidR="00000000" w:rsidDel="00000000" w:rsidP="00000000" w:rsidRDefault="00000000" w:rsidRPr="00000000" w14:paraId="00000023">
      <w:pPr>
        <w:pStyle w:val="Heading1"/>
        <w:spacing w:line="360" w:lineRule="auto"/>
        <w:jc w:val="both"/>
        <w:rPr>
          <w:sz w:val="24"/>
          <w:szCs w:val="24"/>
        </w:rPr>
      </w:pPr>
      <w:bookmarkStart w:colFirst="0" w:colLast="0" w:name="_heading=h.t8vm25ouswn3" w:id="1"/>
      <w:bookmarkEnd w:id="1"/>
      <w:r w:rsidDel="00000000" w:rsidR="00000000" w:rsidRPr="00000000">
        <w:rPr>
          <w:sz w:val="24"/>
          <w:szCs w:val="24"/>
          <w:rtl w:val="0"/>
        </w:rPr>
        <w:t xml:space="preserve">The Event Cycle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event cycle presents a strategic framework under which the entire process of organising an event is orchestrated right from inception to evaluation. Event cycle five key phases: Research, Design, Planning, Coordination, and Evaluation (</w:t>
      </w:r>
      <w:r w:rsidDel="00000000" w:rsidR="00000000" w:rsidRPr="00000000">
        <w:rPr>
          <w:rFonts w:ascii="Times New Roman" w:cs="Times New Roman" w:eastAsia="Times New Roman" w:hAnsi="Times New Roman"/>
          <w:color w:val="222222"/>
          <w:sz w:val="24"/>
          <w:szCs w:val="24"/>
          <w:highlight w:val="white"/>
          <w:rtl w:val="0"/>
        </w:rPr>
        <w:t xml:space="preserve">Meredith, 2022)</w:t>
      </w:r>
      <w:r w:rsidDel="00000000" w:rsidR="00000000" w:rsidRPr="00000000">
        <w:rPr>
          <w:rFonts w:ascii="Times New Roman" w:cs="Times New Roman" w:eastAsia="Times New Roman" w:hAnsi="Times New Roman"/>
          <w:sz w:val="24"/>
          <w:szCs w:val="24"/>
          <w:rtl w:val="0"/>
        </w:rPr>
        <w:t xml:space="preserve">. These stages ensure efficiency in delivery while actually aligning with stakeholder expectations.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997718" cy="2419871"/>
            <wp:effectExtent b="0" l="0" r="0" t="0"/>
            <wp:docPr id="2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997718" cy="2419871"/>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Event planning</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w:t>
      </w:r>
      <w:r w:rsidDel="00000000" w:rsidR="00000000" w:rsidRPr="00000000">
        <w:rPr>
          <w:rFonts w:ascii="Times New Roman" w:cs="Times New Roman" w:eastAsia="Times New Roman" w:hAnsi="Times New Roman"/>
          <w:color w:val="222222"/>
          <w:sz w:val="24"/>
          <w:szCs w:val="24"/>
          <w:highlight w:val="white"/>
          <w:rtl w:val="0"/>
        </w:rPr>
        <w:t xml:space="preserve"> Meredith, 2022)</w:t>
      </w: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Research</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phase, consultations with stakeholders involving Visit Wales, local councils, and cultural partners will assess audience needs and preferences. Market investigations will involve analysing tourism data, trends in visitor patterns by season, and trends in cultural tourism (</w:t>
      </w:r>
      <w:r w:rsidDel="00000000" w:rsidR="00000000" w:rsidRPr="00000000">
        <w:rPr>
          <w:rFonts w:ascii="Times New Roman" w:cs="Times New Roman" w:eastAsia="Times New Roman" w:hAnsi="Times New Roman"/>
          <w:color w:val="222222"/>
          <w:sz w:val="24"/>
          <w:szCs w:val="24"/>
          <w:highlight w:val="white"/>
          <w:rtl w:val="0"/>
        </w:rPr>
        <w:t xml:space="preserve">Gordan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2024)</w:t>
      </w:r>
      <w:r w:rsidDel="00000000" w:rsidR="00000000" w:rsidRPr="00000000">
        <w:rPr>
          <w:rFonts w:ascii="Times New Roman" w:cs="Times New Roman" w:eastAsia="Times New Roman" w:hAnsi="Times New Roman"/>
          <w:sz w:val="24"/>
          <w:szCs w:val="24"/>
          <w:rtl w:val="0"/>
        </w:rPr>
        <w:t xml:space="preserve">. Assessment for either Cardiff Castle Grounds or Swansea Waterfront will be done for capacity and suitability.</w:t>
      </w:r>
    </w:p>
    <w:p w:rsidR="00000000" w:rsidDel="00000000" w:rsidP="00000000" w:rsidRDefault="00000000" w:rsidRPr="00000000" w14:paraId="0000002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Design</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CroesoFest 2025 will be designed to reflect Welsh identity and inclusiveness. Activities would span food festivals, performances in music, exhibitions of local artworks, and interactive workshops. Cultural immersion remains the basis of the design; programming will be diverse, and the layout accessible to international and domestic delegates (</w:t>
      </w:r>
      <w:r w:rsidDel="00000000" w:rsidR="00000000" w:rsidRPr="00000000">
        <w:rPr>
          <w:rFonts w:ascii="Times New Roman" w:cs="Times New Roman" w:eastAsia="Times New Roman" w:hAnsi="Times New Roman"/>
          <w:color w:val="222222"/>
          <w:sz w:val="24"/>
          <w:szCs w:val="24"/>
          <w:highlight w:val="white"/>
          <w:rtl w:val="0"/>
        </w:rPr>
        <w:t xml:space="preserve">O’Toole, 2011)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Planning</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planning stage will comprise logistics and budgeting, scheduling, and risk management. Staff, vendors, and equipment will be in place. Digital marketing will be employed to promote the event internationally. At the planning stage, sustainability, transport, and emergency response plans will be incorporated (</w:t>
      </w:r>
      <w:r w:rsidDel="00000000" w:rsidR="00000000" w:rsidRPr="00000000">
        <w:rPr>
          <w:rFonts w:ascii="Times New Roman" w:cs="Times New Roman" w:eastAsia="Times New Roman" w:hAnsi="Times New Roman"/>
          <w:color w:val="222222"/>
          <w:sz w:val="24"/>
          <w:szCs w:val="24"/>
          <w:highlight w:val="white"/>
          <w:rtl w:val="0"/>
        </w:rPr>
        <w:t xml:space="preserve">Hudson and Hudson, 2023).</w:t>
      </w:r>
      <w:r w:rsidDel="00000000" w:rsidR="00000000" w:rsidRPr="00000000">
        <w:rPr>
          <w:rtl w:val="0"/>
        </w:rPr>
      </w:r>
    </w:p>
    <w:p w:rsidR="00000000" w:rsidDel="00000000" w:rsidP="00000000" w:rsidRDefault="00000000" w:rsidRPr="00000000" w14:paraId="0000002F">
      <w:pPr>
        <w:spacing w:after="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Coordination</w:t>
      </w:r>
    </w:p>
    <w:p w:rsidR="00000000" w:rsidDel="00000000" w:rsidP="00000000" w:rsidRDefault="00000000" w:rsidRPr="00000000" w14:paraId="0000003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ground will focus on execution. This entails coordination with security, volunteers, entertainers, and vendors. Communication mechanisms will be prepared to provide real-time updates, troubleshoot problems, and monitor crowd flow and safety (</w:t>
      </w:r>
      <w:r w:rsidDel="00000000" w:rsidR="00000000" w:rsidRPr="00000000">
        <w:rPr>
          <w:rFonts w:ascii="Times New Roman" w:cs="Times New Roman" w:eastAsia="Times New Roman" w:hAnsi="Times New Roman"/>
          <w:color w:val="222222"/>
          <w:sz w:val="24"/>
          <w:szCs w:val="24"/>
          <w:highlight w:val="white"/>
          <w:rtl w:val="0"/>
        </w:rPr>
        <w:t xml:space="preserve">Yang and Hong, 2023)</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1">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after="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Evaluation</w:t>
      </w:r>
    </w:p>
    <w:p w:rsidR="00000000" w:rsidDel="00000000" w:rsidP="00000000" w:rsidRDefault="00000000" w:rsidRPr="00000000" w14:paraId="0000003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Post-event, CroesoFest will be evaluated for the impact through key performance indicators (KPIs) like visitor number, revenue, media reach, and stakeholder perceptions (</w:t>
      </w:r>
      <w:r w:rsidDel="00000000" w:rsidR="00000000" w:rsidRPr="00000000">
        <w:rPr>
          <w:rFonts w:ascii="Times New Roman" w:cs="Times New Roman" w:eastAsia="Times New Roman" w:hAnsi="Times New Roman"/>
          <w:color w:val="222222"/>
          <w:sz w:val="24"/>
          <w:szCs w:val="24"/>
          <w:highlight w:val="white"/>
          <w:rtl w:val="0"/>
        </w:rPr>
        <w:t xml:space="preserve">Rogers and Wynn-Moylan, 2022)</w:t>
      </w:r>
      <w:r w:rsidDel="00000000" w:rsidR="00000000" w:rsidRPr="00000000">
        <w:rPr>
          <w:rFonts w:ascii="Times New Roman" w:cs="Times New Roman" w:eastAsia="Times New Roman" w:hAnsi="Times New Roman"/>
          <w:sz w:val="24"/>
          <w:szCs w:val="24"/>
          <w:rtl w:val="0"/>
        </w:rPr>
        <w:t xml:space="preserve">. Lessons will be compiled into a post-event report to inform cycles of future planning.</w:t>
      </w:r>
    </w:p>
    <w:p w:rsidR="00000000" w:rsidDel="00000000" w:rsidP="00000000" w:rsidRDefault="00000000" w:rsidRPr="00000000" w14:paraId="00000034">
      <w:pPr>
        <w:pStyle w:val="Heading1"/>
        <w:spacing w:line="360" w:lineRule="auto"/>
        <w:jc w:val="both"/>
        <w:rPr>
          <w:sz w:val="24"/>
          <w:szCs w:val="24"/>
        </w:rPr>
      </w:pPr>
      <w:bookmarkStart w:colFirst="0" w:colLast="0" w:name="_heading=h.oohycm6v13i4" w:id="2"/>
      <w:bookmarkEnd w:id="2"/>
      <w:r w:rsidDel="00000000" w:rsidR="00000000" w:rsidRPr="00000000">
        <w:rPr>
          <w:sz w:val="24"/>
          <w:szCs w:val="24"/>
          <w:rtl w:val="0"/>
        </w:rPr>
        <w:t xml:space="preserve">Event Concept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vibrant one-day cultural festival that is CroesoFest 2025 seeks to celebrate Visit Wales' "Year of Croeso" as an opportunity to present the world the warmth, diversity, and hospitality of Wales. The scenic grounds of Cardiff Castle provide the perfect ambience for this multisensory cultural experience.</w:t>
      </w:r>
    </w:p>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What’s On:</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10:00 AM – Welcome Ceremony: Musical opening featuring Welsh choirs and performers from around the world create a celebratory atmosphere.</w:t>
      </w: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11:00 AM – Cultural Pavilions: Guests wander through interactive pavilions representing countries like India, Italy, Japan, and Nigeria, showcasing crafts, dances, and folklore.</w:t>
      </w:r>
      <w:r w:rsidDel="00000000" w:rsidR="00000000" w:rsidRPr="00000000">
        <w:rPr>
          <w:rtl w:val="0"/>
        </w:rPr>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12:30 PM – Welsh and World Food Market: Food stalls offer traditional Welsh dishes, such as cawl, bara brith, and Welsh cakes, while also serving international food.</w:t>
      </w:r>
      <w:r w:rsidDel="00000000" w:rsidR="00000000" w:rsidRPr="00000000">
        <w:rPr>
          <w:rtl w:val="0"/>
        </w:rPr>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2:00 PM – Afternoon Workshops: Attendees will partake in activities, including folk dance classes, basic harp playing, and traditional baking classes.</w:t>
      </w:r>
      <w:r w:rsidDel="00000000" w:rsidR="00000000" w:rsidRPr="00000000">
        <w:rPr>
          <w:rtl w:val="0"/>
        </w:rPr>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5:00 PM – Evening Concert: A main stage concert marries the talents of local Welsh artists with international headliners to create a soundscape of musical togetherness.</w:t>
      </w:r>
      <w:r w:rsidDel="00000000" w:rsidR="00000000" w:rsidRPr="00000000">
        <w:rPr>
          <w:rtl w:val="0"/>
        </w:rPr>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8:30 PM – Finale Fireworks: Explosive pyrotechnics light up the city skyline for a fitting finale to the day's events. </w:t>
      </w: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delegate experience was crafted to immerse participants in culture, in the warm Welsh spirit, while introducing diverse networking opportunities. The cultural identity of this event is reinforced through branded signage, ambient lighting, cultural décor, and themed merchandise (</w:t>
      </w:r>
      <w:r w:rsidDel="00000000" w:rsidR="00000000" w:rsidRPr="00000000">
        <w:rPr>
          <w:rFonts w:ascii="Times New Roman" w:cs="Times New Roman" w:eastAsia="Times New Roman" w:hAnsi="Times New Roman"/>
          <w:color w:val="222222"/>
          <w:sz w:val="24"/>
          <w:szCs w:val="24"/>
          <w:highlight w:val="white"/>
          <w:rtl w:val="0"/>
        </w:rPr>
        <w:t xml:space="preserve">Stoica, 2024)</w:t>
      </w:r>
      <w:r w:rsidDel="00000000" w:rsidR="00000000" w:rsidRPr="00000000">
        <w:rPr>
          <w:rFonts w:ascii="Times New Roman" w:cs="Times New Roman" w:eastAsia="Times New Roman" w:hAnsi="Times New Roman"/>
          <w:sz w:val="24"/>
          <w:szCs w:val="24"/>
          <w:rtl w:val="0"/>
        </w:rPr>
        <w:t xml:space="preserve">. Sustainability practices are embedded into consideration, incorporating reusable materials and eco-aware catering.</w:t>
      </w:r>
    </w:p>
    <w:p w:rsidR="00000000" w:rsidDel="00000000" w:rsidP="00000000" w:rsidRDefault="00000000" w:rsidRPr="00000000" w14:paraId="0000003E">
      <w:pPr>
        <w:pStyle w:val="Heading1"/>
        <w:spacing w:line="360" w:lineRule="auto"/>
        <w:jc w:val="both"/>
        <w:rPr>
          <w:sz w:val="24"/>
          <w:szCs w:val="24"/>
        </w:rPr>
      </w:pPr>
      <w:bookmarkStart w:colFirst="0" w:colLast="0" w:name="_heading=h.4a6tmevt97p3" w:id="3"/>
      <w:bookmarkEnd w:id="3"/>
      <w:r w:rsidDel="00000000" w:rsidR="00000000" w:rsidRPr="00000000">
        <w:rPr>
          <w:sz w:val="24"/>
          <w:szCs w:val="24"/>
          <w:rtl w:val="0"/>
        </w:rPr>
        <w:t xml:space="preserve">Aim and Objectives of the Event </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 To establish an inclusive, globally inspired cultural celebration that enhances the visibility of Wales around the world and supports Visit Wales’ “Year of Croeso” campaign, focusing on hospitality and welcome.</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SMART Objectives:</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Smart: To have in attendance more than 15,000 visitors, of whom 1,500 are international delegates, to CroesoFest, a one-day event held in Cardiff, by August 2025.</w:t>
      </w: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Measurable: To present at least 20 cultural experiences and workshops encouraging intercultural learning capability and promoting Welsh heritage.</w:t>
      </w:r>
      <w:r w:rsidDel="00000000" w:rsidR="00000000" w:rsidRPr="00000000">
        <w:rPr>
          <w:rtl w:val="0"/>
        </w:rPr>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Attainable: 90% satisfaction level of event attendees based on post-event feedback survey covering areas like hospitality, content, and engagement.</w:t>
      </w:r>
      <w:r w:rsidDel="00000000" w:rsidR="00000000" w:rsidRPr="00000000">
        <w:rPr>
          <w:rtl w:val="0"/>
        </w:rPr>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Relevant: To project income of £100,000 from ticket sales, vendor participation, and sponsorship for its financial sustainability.</w:t>
      </w:r>
      <w:r w:rsidDel="00000000" w:rsidR="00000000" w:rsidRPr="00000000">
        <w:rPr>
          <w:rtl w:val="0"/>
        </w:rPr>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Time bound: 6 month</w:t>
      </w:r>
      <w:r w:rsidDel="00000000" w:rsidR="00000000" w:rsidRPr="00000000">
        <w:rPr>
          <w:rtl w:val="0"/>
        </w:rPr>
      </w:r>
    </w:p>
    <w:p w:rsidR="00000000" w:rsidDel="00000000" w:rsidP="00000000" w:rsidRDefault="00000000" w:rsidRPr="00000000" w14:paraId="00000046">
      <w:pPr>
        <w:pStyle w:val="Heading1"/>
        <w:spacing w:line="360" w:lineRule="auto"/>
        <w:jc w:val="both"/>
        <w:rPr>
          <w:sz w:val="24"/>
          <w:szCs w:val="24"/>
        </w:rPr>
      </w:pPr>
      <w:bookmarkStart w:colFirst="0" w:colLast="0" w:name="_heading=h.7k99hinod2vx" w:id="4"/>
      <w:bookmarkEnd w:id="4"/>
      <w:r w:rsidDel="00000000" w:rsidR="00000000" w:rsidRPr="00000000">
        <w:rPr>
          <w:sz w:val="24"/>
          <w:szCs w:val="24"/>
          <w:rtl w:val="0"/>
        </w:rPr>
        <w:t xml:space="preserve">Event Management</w:t>
      </w:r>
    </w:p>
    <w:p w:rsidR="00000000" w:rsidDel="00000000" w:rsidP="00000000" w:rsidRDefault="00000000" w:rsidRPr="00000000" w14:paraId="00000047">
      <w:pPr>
        <w:pStyle w:val="Heading1"/>
        <w:spacing w:line="360" w:lineRule="auto"/>
        <w:jc w:val="both"/>
        <w:rPr>
          <w:sz w:val="24"/>
          <w:szCs w:val="24"/>
        </w:rPr>
      </w:pPr>
      <w:r w:rsidDel="00000000" w:rsidR="00000000" w:rsidRPr="00000000">
        <w:rPr>
          <w:sz w:val="24"/>
          <w:szCs w:val="24"/>
          <w:rtl w:val="0"/>
        </w:rPr>
        <w:t xml:space="preserve">Operational and Planning Requirements</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efficient management of CroesoFest 2025 - Year of Croeso should be across all fronts of planning, logistics, and implementation. Some of the core operations include booking the venue, designing the layout, coordination of cultural aspects, health and safety planning, and managing the suppliers (</w:t>
      </w:r>
      <w:r w:rsidDel="00000000" w:rsidR="00000000" w:rsidRPr="00000000">
        <w:rPr>
          <w:rFonts w:ascii="Times New Roman" w:cs="Times New Roman" w:eastAsia="Times New Roman" w:hAnsi="Times New Roman"/>
          <w:color w:val="222222"/>
          <w:sz w:val="24"/>
          <w:szCs w:val="24"/>
          <w:highlight w:val="white"/>
          <w:rtl w:val="0"/>
        </w:rPr>
        <w:t xml:space="preserve">Smith, 2012)</w:t>
      </w:r>
      <w:r w:rsidDel="00000000" w:rsidR="00000000" w:rsidRPr="00000000">
        <w:rPr>
          <w:rFonts w:ascii="Times New Roman" w:cs="Times New Roman" w:eastAsia="Times New Roman" w:hAnsi="Times New Roman"/>
          <w:sz w:val="24"/>
          <w:szCs w:val="24"/>
          <w:rtl w:val="0"/>
        </w:rPr>
        <w:t xml:space="preserve">. A thorough critical path analysis (CPA) will be employed to schedule some key activities and bottlenecks in the analysis. Some event planning software like EventsAIR or Cvent provides links to streamline workflows, registrations, and task tracking in real-time.</w:t>
      </w:r>
    </w:p>
    <w:p w:rsidR="00000000" w:rsidDel="00000000" w:rsidP="00000000" w:rsidRDefault="00000000" w:rsidRPr="00000000" w14:paraId="0000004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Pr>
        <w:drawing>
          <wp:inline distB="0" distT="0" distL="0" distR="0">
            <wp:extent cx="4430350" cy="4430350"/>
            <wp:effectExtent b="0" l="0" r="0" t="0"/>
            <wp:docPr descr="Guide to Event Management: What It Is and modern practices" id="25" name="image3.png"/>
            <a:graphic>
              <a:graphicData uri="http://schemas.openxmlformats.org/drawingml/2006/picture">
                <pic:pic>
                  <pic:nvPicPr>
                    <pic:cNvPr descr="Guide to Event Management: What It Is and modern practices" id="0" name="image3.png"/>
                    <pic:cNvPicPr preferRelativeResize="0"/>
                  </pic:nvPicPr>
                  <pic:blipFill>
                    <a:blip r:embed="rId8"/>
                    <a:srcRect b="0" l="0" r="0" t="0"/>
                    <a:stretch>
                      <a:fillRect/>
                    </a:stretch>
                  </pic:blipFill>
                  <pic:spPr>
                    <a:xfrm>
                      <a:off x="0" y="0"/>
                      <a:ext cx="4430350" cy="443035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Event management</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Smith, 2012)</w:t>
      </w: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Staffing and Volunteer Coordination</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100 people will be needed, including event managers, cultural officials, catering coordinators, performers, technicians, and stewards. The logistics of the guest relations and sustainable covering storage will be done through volunteer programs (</w:t>
      </w:r>
      <w:r w:rsidDel="00000000" w:rsidR="00000000" w:rsidRPr="00000000">
        <w:rPr>
          <w:rFonts w:ascii="Times New Roman" w:cs="Times New Roman" w:eastAsia="Times New Roman" w:hAnsi="Times New Roman"/>
          <w:color w:val="222222"/>
          <w:sz w:val="24"/>
          <w:szCs w:val="24"/>
          <w:highlight w:val="white"/>
          <w:rtl w:val="0"/>
        </w:rPr>
        <w:t xml:space="preserve">Leung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Staff will also go through an induction and training session on cultural sensitivity, crowd management, and emergency procedures to ensure professionalism and strong adherence to Visit Wales hospitality themes.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and offline marketing activities shall work for the event locally as well as internationally. The strategies include:</w:t>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Social media campaigns on Instagram, TikTok and Facebook showcasing teaser content as well as behind-the-scenes footage (</w:t>
      </w:r>
      <w:r w:rsidDel="00000000" w:rsidR="00000000" w:rsidRPr="00000000">
        <w:rPr>
          <w:rFonts w:ascii="Times New Roman" w:cs="Times New Roman" w:eastAsia="Times New Roman" w:hAnsi="Times New Roman"/>
          <w:i w:val="0"/>
          <w:smallCaps w:val="0"/>
          <w:strike w:val="0"/>
          <w:color w:val="222222"/>
          <w:sz w:val="24"/>
          <w:szCs w:val="24"/>
          <w:highlight w:val="white"/>
          <w:u w:val="none"/>
          <w:vertAlign w:val="baseline"/>
          <w:rtl w:val="0"/>
        </w:rPr>
        <w:t xml:space="preserve">Xue, 2024)</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Collaborations with travel influencers and Visit Wales ambassadors to raise awareness.</w:t>
      </w: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Event microsite and email campaigns for ticketing and updates.</w:t>
      </w: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Partnerships with airlines, hotels, and the tourism board, in order to come up with a package deal for international delegates.</w:t>
      </w: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Sustainability and Risk Management</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sustainability coordinator will oversee best practice regarding the use of biodegradable packaging, reusable cups, and incentives for using public transport (</w:t>
      </w:r>
      <w:r w:rsidDel="00000000" w:rsidR="00000000" w:rsidRPr="00000000">
        <w:rPr>
          <w:rFonts w:ascii="Times New Roman" w:cs="Times New Roman" w:eastAsia="Times New Roman" w:hAnsi="Times New Roman"/>
          <w:color w:val="222222"/>
          <w:sz w:val="24"/>
          <w:szCs w:val="24"/>
          <w:highlight w:val="white"/>
          <w:rtl w:val="0"/>
        </w:rPr>
        <w:t xml:space="preserve">Journeault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Risk assessments will comply and be executed as stipulated in the ISO 31000 standards, such as health and safety, fire alarms, crowd management, and resilience planning against COVID-19.</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pStyle w:val="Heading1"/>
        <w:spacing w:line="360" w:lineRule="auto"/>
        <w:jc w:val="both"/>
        <w:rPr>
          <w:sz w:val="24"/>
          <w:szCs w:val="24"/>
        </w:rPr>
      </w:pPr>
      <w:bookmarkStart w:colFirst="0" w:colLast="0" w:name="_heading=h.a8cacrjuc0e4" w:id="5"/>
      <w:bookmarkEnd w:id="5"/>
      <w:r w:rsidDel="00000000" w:rsidR="00000000" w:rsidRPr="00000000">
        <w:rPr>
          <w:sz w:val="24"/>
          <w:szCs w:val="24"/>
          <w:rtl w:val="0"/>
        </w:rPr>
        <w:t xml:space="preserve">Event Budget </w:t>
      </w:r>
    </w:p>
    <w:tbl>
      <w:tblPr>
        <w:tblStyle w:val="Table1"/>
        <w:tblW w:w="9090.0" w:type="dxa"/>
        <w:jc w:val="left"/>
        <w:tblInd w:w="-25.0" w:type="dxa"/>
        <w:tblLayout w:type="fixed"/>
        <w:tblLook w:val="0400"/>
      </w:tblPr>
      <w:tblGrid>
        <w:gridCol w:w="4980"/>
        <w:gridCol w:w="4110"/>
        <w:tblGridChange w:id="0">
          <w:tblGrid>
            <w:gridCol w:w="4980"/>
            <w:gridCol w:w="4110"/>
          </w:tblGrid>
        </w:tblGridChange>
      </w:tblGrid>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shd w:fill="9bbb59" w:val="clear"/>
            <w:vAlign w:val="bottom"/>
          </w:tcPr>
          <w:p w:rsidR="00000000" w:rsidDel="00000000" w:rsidP="00000000" w:rsidRDefault="00000000" w:rsidRPr="00000000" w14:paraId="0000005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Estimated Expenditure and Income Table</w:t>
            </w:r>
            <w:r w:rsidDel="00000000" w:rsidR="00000000" w:rsidRPr="00000000">
              <w:rPr>
                <w:rtl w:val="0"/>
              </w:rPr>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Expenditure</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Estimated Cost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Venue Rental</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Artist Fees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Equipment (Lighting, Sound, Staging)</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Staffing/Volunteers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Marketing and PR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Catering &amp; Logistics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Contingency Fund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Expenditure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Income Sources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Estimated Income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Ticket Sales (2,000 tickets @ £20)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Sponsorships (corporate &amp; tourism)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Vendor Fees (30 stalls @ £500)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Merchandise 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Income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85,000</w:t>
            </w:r>
          </w:p>
        </w:tc>
      </w:tr>
    </w:tbl>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Financial Feasibility and Break-even Analysis</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plan for CroesoFest 2025 aimed towards achieving a break-even point with a total projected income of £85,000, which exactly matches total projected expenditure. A conservative assumption of ticket sales anticipates 2,000 tickets sold at £20 each. The financial picture is further strengthened with vendor fees and merchandise sales.</w:t>
      </w:r>
    </w:p>
    <w:p w:rsidR="00000000" w:rsidDel="00000000" w:rsidP="00000000" w:rsidRDefault="00000000" w:rsidRPr="00000000" w14:paraId="0000007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Funding Sources</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event will seek financial support from:</w:t>
      </w:r>
    </w:p>
    <w:p w:rsidR="00000000" w:rsidDel="00000000" w:rsidP="00000000" w:rsidRDefault="00000000" w:rsidRPr="00000000" w14:paraId="0000007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 Visit Wales Tourism Support Grant for large-scale destination events.</w:t>
      </w: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Cultural Exchange Programmes from various institutions, such as the British Council (</w:t>
      </w:r>
      <w:r w:rsidDel="00000000" w:rsidR="00000000" w:rsidRPr="00000000">
        <w:rPr>
          <w:rFonts w:ascii="Times New Roman" w:cs="Times New Roman" w:eastAsia="Times New Roman" w:hAnsi="Times New Roman"/>
          <w:i w:val="0"/>
          <w:smallCaps w:val="0"/>
          <w:strike w:val="0"/>
          <w:color w:val="222222"/>
          <w:sz w:val="24"/>
          <w:szCs w:val="24"/>
          <w:highlight w:val="white"/>
          <w:u w:val="none"/>
          <w:vertAlign w:val="baseline"/>
          <w:rtl w:val="0"/>
        </w:rPr>
        <w:t xml:space="preserve">Sahel, 2022).</w:t>
      </w:r>
      <w:r w:rsidDel="00000000" w:rsidR="00000000" w:rsidRPr="00000000">
        <w:rPr>
          <w:rtl w:val="0"/>
        </w:rPr>
      </w:r>
    </w:p>
    <w:p w:rsidR="00000000" w:rsidDel="00000000" w:rsidP="00000000" w:rsidRDefault="00000000" w:rsidRPr="00000000" w14:paraId="0000008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Local council event funding, particularly for Cardiff or Swansea cultural departments.</w:t>
      </w: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external sources dissipate the risk factor and signal public sector endorsement, thus increasing the credibility and stability of the event.</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planning program is feasible and has been very intelligently balanced (</w:t>
      </w:r>
      <w:r w:rsidDel="00000000" w:rsidR="00000000" w:rsidRPr="00000000">
        <w:rPr>
          <w:rFonts w:ascii="Times New Roman" w:cs="Times New Roman" w:eastAsia="Times New Roman" w:hAnsi="Times New Roman"/>
          <w:color w:val="222222"/>
          <w:sz w:val="24"/>
          <w:szCs w:val="24"/>
          <w:highlight w:val="white"/>
          <w:rtl w:val="0"/>
        </w:rPr>
        <w:t xml:space="preserve">Tomar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The CroesoFest 2025 event complements sustainable event management principles by diversifying income streams, obtaining public grants, and providing substantial economic impact and cultural capital return on investment.</w:t>
      </w:r>
    </w:p>
    <w:p w:rsidR="00000000" w:rsidDel="00000000" w:rsidP="00000000" w:rsidRDefault="00000000" w:rsidRPr="00000000" w14:paraId="00000083">
      <w:pPr>
        <w:pStyle w:val="Heading1"/>
        <w:spacing w:line="360" w:lineRule="auto"/>
        <w:jc w:val="both"/>
        <w:rPr>
          <w:sz w:val="24"/>
          <w:szCs w:val="24"/>
        </w:rPr>
      </w:pPr>
      <w:bookmarkStart w:colFirst="0" w:colLast="0" w:name="_heading=h.9d237a5844oh" w:id="6"/>
      <w:bookmarkEnd w:id="6"/>
      <w:r w:rsidDel="00000000" w:rsidR="00000000" w:rsidRPr="00000000">
        <w:rPr>
          <w:sz w:val="24"/>
          <w:szCs w:val="24"/>
          <w:rtl w:val="0"/>
        </w:rPr>
        <w:t xml:space="preserve">Industry Trends / Issues / Impacts </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emerging trends and challenges are paving the way towards new planning and delivery patterns for CroesoFest 2025 from the traditional one that has existed in the meetings and events industry. The trends today are centered on sustainability, technological advancements, audience expectations, and the post-pandemic recovery phase (</w:t>
      </w:r>
      <w:r w:rsidDel="00000000" w:rsidR="00000000" w:rsidRPr="00000000">
        <w:rPr>
          <w:rFonts w:ascii="Times New Roman" w:cs="Times New Roman" w:eastAsia="Times New Roman" w:hAnsi="Times New Roman"/>
          <w:color w:val="222222"/>
          <w:sz w:val="24"/>
          <w:szCs w:val="24"/>
          <w:highlight w:val="white"/>
          <w:rtl w:val="0"/>
        </w:rPr>
        <w:t xml:space="preserve">Chakraborty, 2024).</w:t>
      </w: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Sustainability in Event Planning</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 sustainability is an important pillar as far as the planning of events is concerned because of increasing global awareness among people regarding their environmental impact. Sustainable event practice now includes waste minimisation, the use of energy-efficient technologies, and the use of environmentally friendly materials (</w:t>
      </w:r>
      <w:r w:rsidDel="00000000" w:rsidR="00000000" w:rsidRPr="00000000">
        <w:rPr>
          <w:rFonts w:ascii="Times New Roman" w:cs="Times New Roman" w:eastAsia="Times New Roman" w:hAnsi="Times New Roman"/>
          <w:color w:val="222222"/>
          <w:sz w:val="24"/>
          <w:szCs w:val="24"/>
          <w:highlight w:val="white"/>
          <w:rtl w:val="0"/>
        </w:rPr>
        <w:t xml:space="preserve">Gomes Silva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It can also tap into trends associated with such initiatives like, very likely, concerted efforts in using local produce, less plastic, and carbon offsetting in the context of CroesoFest 2025. This would not only help in bringing Wales onboard but would also cherish an eco-attended audience type.</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1857086"/>
            <wp:effectExtent b="0" l="0" r="0" t="0"/>
            <wp:docPr descr="How to Plan a Sustainable Event | 7 Sustainable Events Ideas" id="24" name="image2.png"/>
            <a:graphic>
              <a:graphicData uri="http://schemas.openxmlformats.org/drawingml/2006/picture">
                <pic:pic>
                  <pic:nvPicPr>
                    <pic:cNvPr descr="How to Plan a Sustainable Event | 7 Sustainable Events Ideas" id="0" name="image2.png"/>
                    <pic:cNvPicPr preferRelativeResize="0"/>
                  </pic:nvPicPr>
                  <pic:blipFill>
                    <a:blip r:embed="rId9"/>
                    <a:srcRect b="0" l="0" r="0" t="0"/>
                    <a:stretch>
                      <a:fillRect/>
                    </a:stretch>
                  </pic:blipFill>
                  <pic:spPr>
                    <a:xfrm>
                      <a:off x="0" y="0"/>
                      <a:ext cx="5943600" cy="1857086"/>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Sustainable event planning</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Gomes Silva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8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Integration</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remains a principal part of the overall event experience-delivering component. Virtual and hybrid event capabilities, procedures for augmented reality (AR), and other interactive experiences afford a great deal of cultural exposure to event attendees through driving technology elements (Ding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Therefore, such features as event apps for people, social media live-streaming, and virtual pavilions can increase the experience both for those on-site and those remote.</w:t>
      </w:r>
    </w:p>
    <w:p w:rsidR="00000000" w:rsidDel="00000000" w:rsidP="00000000" w:rsidRDefault="00000000" w:rsidRPr="00000000" w14:paraId="0000008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Post Pandemic Recovery</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huge transition in events to smaller, safer, and much more flexible events after COVID-19. As health measures still remain a priority, there is a lot that is left for CroesoFest 2025 to consider in terms of crowd control, health and safety measures, and clear communication on health guidelines (</w:t>
      </w:r>
      <w:r w:rsidDel="00000000" w:rsidR="00000000" w:rsidRPr="00000000">
        <w:rPr>
          <w:rFonts w:ascii="Times New Roman" w:cs="Times New Roman" w:eastAsia="Times New Roman" w:hAnsi="Times New Roman"/>
          <w:color w:val="222222"/>
          <w:sz w:val="24"/>
          <w:szCs w:val="24"/>
          <w:highlight w:val="white"/>
          <w:rtl w:val="0"/>
        </w:rPr>
        <w:t xml:space="preserve">Singh  and Deri,  2024)</w:t>
      </w:r>
      <w:r w:rsidDel="00000000" w:rsidR="00000000" w:rsidRPr="00000000">
        <w:rPr>
          <w:rFonts w:ascii="Times New Roman" w:cs="Times New Roman" w:eastAsia="Times New Roman" w:hAnsi="Times New Roman"/>
          <w:sz w:val="24"/>
          <w:szCs w:val="24"/>
          <w:rtl w:val="0"/>
        </w:rPr>
        <w:t xml:space="preserve">. For example, adopting flexible ticket options like refundable tickets or creating digital passes could help attract participants in an already sensitive world.</w:t>
      </w:r>
    </w:p>
    <w:p w:rsidR="00000000" w:rsidDel="00000000" w:rsidP="00000000" w:rsidRDefault="00000000" w:rsidRPr="00000000" w14:paraId="0000008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Cultural Inclusivity and Global Networking</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combination of multicultural showcases with international cuisine is perfectly suited to the growing taste for global and inclusive experiences. Attendees expect to mingle within a multicultural setting in which learning can take place and experiences be shared (Smith, 2012). This makes CroesoFest 2025 the event that would be most important in facilitating seamless international cooperation and hospitality, thereby becoming a key meeting point for all relevant global stakeholders and businesses.</w:t>
      </w:r>
    </w:p>
    <w:p w:rsidR="00000000" w:rsidDel="00000000" w:rsidP="00000000" w:rsidRDefault="00000000" w:rsidRPr="00000000" w14:paraId="00000090">
      <w:pPr>
        <w:pStyle w:val="Heading1"/>
        <w:spacing w:line="360" w:lineRule="auto"/>
        <w:jc w:val="both"/>
        <w:rPr>
          <w:sz w:val="24"/>
          <w:szCs w:val="24"/>
        </w:rPr>
      </w:pPr>
      <w:bookmarkStart w:colFirst="0" w:colLast="0" w:name="_heading=h.t64qnqdb8ey0" w:id="7"/>
      <w:bookmarkEnd w:id="7"/>
      <w:r w:rsidDel="00000000" w:rsidR="00000000" w:rsidRPr="00000000">
        <w:rPr>
          <w:sz w:val="24"/>
          <w:szCs w:val="24"/>
          <w:rtl w:val="0"/>
        </w:rPr>
        <w:t xml:space="preserve">Situational and Cultural Considerations </w:t>
      </w:r>
    </w:p>
    <w:p w:rsidR="00000000" w:rsidDel="00000000" w:rsidP="00000000" w:rsidRDefault="00000000" w:rsidRPr="00000000" w14:paraId="00000091">
      <w:pPr>
        <w:pStyle w:val="Heading2"/>
        <w:spacing w:line="360" w:lineRule="auto"/>
        <w:jc w:val="both"/>
        <w:rPr>
          <w:sz w:val="24"/>
          <w:szCs w:val="24"/>
        </w:rPr>
      </w:pPr>
      <w:bookmarkStart w:colFirst="0" w:colLast="0" w:name="_heading=h.drdzjnvbirzf" w:id="8"/>
      <w:bookmarkEnd w:id="8"/>
      <w:r w:rsidDel="00000000" w:rsidR="00000000" w:rsidRPr="00000000">
        <w:rPr>
          <w:sz w:val="24"/>
          <w:szCs w:val="24"/>
          <w:rtl w:val="0"/>
        </w:rPr>
        <w:t xml:space="preserve">SWOT Analysis</w:t>
      </w:r>
    </w:p>
    <w:tbl>
      <w:tblPr>
        <w:tblStyle w:val="Table2"/>
        <w:tblW w:w="9486.0" w:type="dxa"/>
        <w:jc w:val="left"/>
        <w:tblInd w:w="-25.0" w:type="dxa"/>
        <w:tblLayout w:type="fixed"/>
        <w:tblLook w:val="0400"/>
      </w:tblPr>
      <w:tblGrid>
        <w:gridCol w:w="4828"/>
        <w:gridCol w:w="4658"/>
        <w:tblGridChange w:id="0">
          <w:tblGrid>
            <w:gridCol w:w="4828"/>
            <w:gridCol w:w="4658"/>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bbb59" w:val="clear"/>
            <w:vAlign w:val="center"/>
          </w:tcPr>
          <w:p w:rsidR="00000000" w:rsidDel="00000000" w:rsidP="00000000" w:rsidRDefault="00000000" w:rsidRPr="00000000" w14:paraId="0000009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Strengths</w:t>
            </w:r>
          </w:p>
        </w:tc>
        <w:tc>
          <w:tcPr>
            <w:tcBorders>
              <w:top w:color="000000" w:space="0" w:sz="4" w:val="single"/>
              <w:left w:color="000000" w:space="0" w:sz="0" w:val="nil"/>
              <w:bottom w:color="000000" w:space="0" w:sz="4" w:val="single"/>
              <w:right w:color="000000" w:space="0" w:sz="4" w:val="single"/>
            </w:tcBorders>
            <w:shd w:fill="9bbb59" w:val="clear"/>
            <w:vAlign w:val="center"/>
          </w:tcPr>
          <w:p w:rsidR="00000000" w:rsidDel="00000000" w:rsidP="00000000" w:rsidRDefault="00000000" w:rsidRPr="00000000" w14:paraId="0000009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Weaknesses</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 Strong alignment with Visit Wales' "Year of Croeso" initiative, promoting Welsh culture globally.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 Dependence on weather conditions for outdoor events, particularly in summer.</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 Diverse cultural representation with international pavilions, attracting global audiences (</w:t>
            </w:r>
            <w:r w:rsidDel="00000000" w:rsidR="00000000" w:rsidRPr="00000000">
              <w:rPr>
                <w:rFonts w:ascii="Times New Roman" w:cs="Times New Roman" w:eastAsia="Times New Roman" w:hAnsi="Times New Roman"/>
                <w:color w:val="222222"/>
                <w:sz w:val="24"/>
                <w:szCs w:val="24"/>
                <w:highlight w:val="white"/>
                <w:rtl w:val="0"/>
              </w:rPr>
              <w:t xml:space="preserve">Aubert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 High costs of logistics, artist fees, and venue rental may strain the budget.</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 Significant potential for sponsorship and partnerships, enhancing financial stability.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 Limited capacity of venues may restrict visitor numbers, potentially reducing profitability (</w:t>
            </w:r>
            <w:r w:rsidDel="00000000" w:rsidR="00000000" w:rsidRPr="00000000">
              <w:rPr>
                <w:rFonts w:ascii="Times New Roman" w:cs="Times New Roman" w:eastAsia="Times New Roman" w:hAnsi="Times New Roman"/>
                <w:i w:val="1"/>
                <w:color w:val="222222"/>
                <w:sz w:val="24"/>
                <w:szCs w:val="24"/>
                <w:highlight w:val="white"/>
                <w:rtl w:val="0"/>
              </w:rPr>
              <w:t xml:space="preserve">An et al</w:t>
            </w:r>
            <w:r w:rsidDel="00000000" w:rsidR="00000000" w:rsidRPr="00000000">
              <w:rPr>
                <w:rFonts w:ascii="Times New Roman" w:cs="Times New Roman" w:eastAsia="Times New Roman" w:hAnsi="Times New Roman"/>
                <w:color w:val="222222"/>
                <w:sz w:val="24"/>
                <w:szCs w:val="24"/>
                <w:highlight w:val="white"/>
                <w:rtl w:val="0"/>
              </w:rPr>
              <w:t xml:space="preserve">., 2025).</w:t>
            </w:r>
            <w:r w:rsidDel="00000000" w:rsidR="00000000" w:rsidRPr="00000000">
              <w:rPr>
                <w:rtl w:val="0"/>
              </w:rPr>
            </w:r>
          </w:p>
        </w:tc>
      </w:tr>
      <w:tr>
        <w:trPr>
          <w:cantSplit w:val="0"/>
          <w:trHeight w:val="12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Strong local community engagement, fostering a sense of ownership and volunteer participation.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The challenge of coordinating numerous cultural groups, vendors, and performers may complicate logistics.</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 National and international tourism promotion, benefiting the local economy.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 Potential for competition from other similar events within Wales and the UK.</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9bbb59" w:val="clear"/>
            <w:vAlign w:val="center"/>
          </w:tcPr>
          <w:p w:rsidR="00000000" w:rsidDel="00000000" w:rsidP="00000000" w:rsidRDefault="00000000" w:rsidRPr="00000000" w14:paraId="0000009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Opportunities</w:t>
            </w:r>
          </w:p>
        </w:tc>
        <w:tc>
          <w:tcPr>
            <w:tcBorders>
              <w:top w:color="000000" w:space="0" w:sz="0" w:val="nil"/>
              <w:left w:color="000000" w:space="0" w:sz="0" w:val="nil"/>
              <w:bottom w:color="000000" w:space="0" w:sz="4" w:val="single"/>
              <w:right w:color="000000" w:space="0" w:sz="4" w:val="single"/>
            </w:tcBorders>
            <w:shd w:fill="9bbb59" w:val="clear"/>
            <w:vAlign w:val="center"/>
          </w:tcPr>
          <w:p w:rsidR="00000000" w:rsidDel="00000000" w:rsidP="00000000" w:rsidRDefault="00000000" w:rsidRPr="00000000" w14:paraId="0000009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Threats</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 Rising global interest in cultural tourism, particularly in Welsh heritage and international food.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 Economic downturns or political instability (e.g., post-Brexit impacts) could affect attendance.</w:t>
            </w:r>
          </w:p>
        </w:tc>
      </w:tr>
      <w:tr>
        <w:trPr>
          <w:cantSplit w:val="0"/>
          <w:trHeight w:val="12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 Growing demand for immersive, multicultural events.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 Health and safety risks, especially post-pandemic, could limit international attendance or cause operational challenges.</w:t>
            </w:r>
          </w:p>
        </w:tc>
      </w:tr>
      <w:tr>
        <w:trPr>
          <w:cantSplit w:val="0"/>
          <w:trHeight w:val="12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3. Collaborative opportunities with international cultural exchange programmes, enhancing the event's scope (</w:t>
            </w:r>
            <w:r w:rsidDel="00000000" w:rsidR="00000000" w:rsidRPr="00000000">
              <w:rPr>
                <w:rFonts w:ascii="Times New Roman" w:cs="Times New Roman" w:eastAsia="Times New Roman" w:hAnsi="Times New Roman"/>
                <w:color w:val="222222"/>
                <w:sz w:val="24"/>
                <w:szCs w:val="24"/>
                <w:highlight w:val="white"/>
                <w:rtl w:val="0"/>
              </w:rPr>
              <w:t xml:space="preserve">Elsamanoudy, 2024).</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 Unforeseen events (e.g., natural disasters, pandemics) could disrupt the event or decrease visitor numbers.</w:t>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Increase in digital engagement and virtual participation can expand the event's reach.</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Negative publicity or cultural insensitivity could harm the event’s reputation (</w:t>
            </w:r>
            <w:r w:rsidDel="00000000" w:rsidR="00000000" w:rsidRPr="00000000">
              <w:rPr>
                <w:rFonts w:ascii="Times New Roman" w:cs="Times New Roman" w:eastAsia="Times New Roman" w:hAnsi="Times New Roman"/>
                <w:color w:val="222222"/>
                <w:sz w:val="24"/>
                <w:szCs w:val="24"/>
                <w:highlight w:val="white"/>
                <w:rtl w:val="0"/>
              </w:rPr>
              <w:t xml:space="preserve">Hettiarachchige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2025).</w:t>
            </w:r>
            <w:r w:rsidDel="00000000" w:rsidR="00000000" w:rsidRPr="00000000">
              <w:rPr>
                <w:rtl w:val="0"/>
              </w:rPr>
            </w:r>
          </w:p>
        </w:tc>
      </w:tr>
      <w:tr>
        <w:trPr>
          <w:cantSplit w:val="0"/>
          <w:trHeight w:val="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 Potential to develop annual cultural festivals, establishing </w:t>
            </w:r>
            <w:r w:rsidDel="00000000" w:rsidR="00000000" w:rsidRPr="00000000">
              <w:rPr>
                <w:rFonts w:ascii="Times New Roman" w:cs="Times New Roman" w:eastAsia="Times New Roman" w:hAnsi="Times New Roman"/>
                <w:i w:val="1"/>
                <w:color w:val="000000"/>
                <w:sz w:val="24"/>
                <w:szCs w:val="24"/>
                <w:rtl w:val="0"/>
              </w:rPr>
              <w:t xml:space="preserve">CroesoFest</w:t>
            </w:r>
            <w:r w:rsidDel="00000000" w:rsidR="00000000" w:rsidRPr="00000000">
              <w:rPr>
                <w:rFonts w:ascii="Times New Roman" w:cs="Times New Roman" w:eastAsia="Times New Roman" w:hAnsi="Times New Roman"/>
                <w:color w:val="000000"/>
                <w:sz w:val="24"/>
                <w:szCs w:val="24"/>
                <w:rtl w:val="0"/>
              </w:rPr>
              <w:t xml:space="preserve"> as a signature event in Wales (Smith, 2012).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 Potential competition from other well-established global festivals or events during the same period.</w:t>
            </w:r>
          </w:p>
        </w:tc>
      </w:tr>
    </w:tbl>
    <w:p w:rsidR="00000000" w:rsidDel="00000000" w:rsidP="00000000" w:rsidRDefault="00000000" w:rsidRPr="00000000" w14:paraId="000000AA">
      <w:pPr>
        <w:pStyle w:val="Heading2"/>
        <w:spacing w:line="360" w:lineRule="auto"/>
        <w:jc w:val="both"/>
        <w:rPr>
          <w:sz w:val="24"/>
          <w:szCs w:val="24"/>
        </w:rPr>
      </w:pPr>
      <w:bookmarkStart w:colFirst="0" w:colLast="0" w:name="_heading=h.6qkh3tpexi08" w:id="9"/>
      <w:bookmarkEnd w:id="9"/>
      <w:r w:rsidDel="00000000" w:rsidR="00000000" w:rsidRPr="00000000">
        <w:rPr>
          <w:sz w:val="24"/>
          <w:szCs w:val="24"/>
          <w:rtl w:val="0"/>
        </w:rPr>
        <w:t xml:space="preserve">Cultural Considerations Using the SOAR Framework:</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567430" cy="2212340"/>
            <wp:effectExtent b="0" l="0" r="0" t="0"/>
            <wp:docPr id="2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567430" cy="221234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SOAR framework</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Bilali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tbl>
      <w:tblPr>
        <w:tblStyle w:val="Table3"/>
        <w:tblW w:w="9486.0" w:type="dxa"/>
        <w:jc w:val="left"/>
        <w:tblInd w:w="-25.0" w:type="dxa"/>
        <w:tblLayout w:type="fixed"/>
        <w:tblLook w:val="0400"/>
      </w:tblPr>
      <w:tblGrid>
        <w:gridCol w:w="1757"/>
        <w:gridCol w:w="7729"/>
        <w:tblGridChange w:id="0">
          <w:tblGrid>
            <w:gridCol w:w="1757"/>
            <w:gridCol w:w="7729"/>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bbb59" w:val="clear"/>
            <w:vAlign w:val="center"/>
          </w:tcPr>
          <w:p w:rsidR="00000000" w:rsidDel="00000000" w:rsidP="00000000" w:rsidRDefault="00000000" w:rsidRPr="00000000" w14:paraId="000000A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SOAR Framework</w:t>
            </w:r>
          </w:p>
        </w:tc>
        <w:tc>
          <w:tcPr>
            <w:tcBorders>
              <w:top w:color="000000" w:space="0" w:sz="4" w:val="single"/>
              <w:left w:color="000000" w:space="0" w:sz="0" w:val="nil"/>
              <w:bottom w:color="000000" w:space="0" w:sz="4" w:val="single"/>
              <w:right w:color="000000" w:space="0" w:sz="4" w:val="single"/>
            </w:tcBorders>
            <w:shd w:fill="9bbb59" w:val="clear"/>
            <w:vAlign w:val="center"/>
          </w:tcPr>
          <w:p w:rsidR="00000000" w:rsidDel="00000000" w:rsidP="00000000" w:rsidRDefault="00000000" w:rsidRPr="00000000" w14:paraId="000000A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Details</w:t>
            </w:r>
          </w:p>
        </w:tc>
      </w:tr>
      <w:tr>
        <w:trPr>
          <w:cantSplit w:val="0"/>
          <w:trHeight w:val="27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Strengths</w:t>
            </w:r>
          </w:p>
          <w:p w:rsidR="00000000" w:rsidDel="00000000" w:rsidP="00000000" w:rsidRDefault="00000000" w:rsidRPr="00000000" w14:paraId="000000B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event will highlight authentic Welsh culture, traditions, and heritage. This will create a strong sense of place and promote Wales’ identity, without misrepresenting or appropriating other cultures (</w:t>
            </w:r>
            <w:r w:rsidDel="00000000" w:rsidR="00000000" w:rsidRPr="00000000">
              <w:rPr>
                <w:rFonts w:ascii="Times New Roman" w:cs="Times New Roman" w:eastAsia="Times New Roman" w:hAnsi="Times New Roman"/>
                <w:color w:val="222222"/>
                <w:sz w:val="24"/>
                <w:szCs w:val="24"/>
                <w:highlight w:val="white"/>
                <w:rtl w:val="0"/>
              </w:rPr>
              <w:t xml:space="preserve">Rhodes, 2021).</w:t>
            </w:r>
            <w:r w:rsidDel="00000000" w:rsidR="00000000" w:rsidRPr="00000000">
              <w:rPr>
                <w:rFonts w:ascii="Times New Roman" w:cs="Times New Roman" w:eastAsia="Times New Roman" w:hAnsi="Times New Roman"/>
                <w:color w:val="000000"/>
                <w:sz w:val="24"/>
                <w:szCs w:val="24"/>
                <w:rtl w:val="0"/>
              </w:rPr>
              <w:t xml:space="preserve"> The focus will be on celebrating Welsh music, food, and art, ensuring the authenticity of the event experience.</w:t>
            </w:r>
          </w:p>
          <w:p w:rsidR="00000000" w:rsidDel="00000000" w:rsidP="00000000" w:rsidRDefault="00000000" w:rsidRPr="00000000" w14:paraId="000000B5">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6">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7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Opportunities</w:t>
            </w:r>
          </w:p>
          <w:p w:rsidR="00000000" w:rsidDel="00000000" w:rsidP="00000000" w:rsidRDefault="00000000" w:rsidRPr="00000000" w14:paraId="000000B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By offering multilingual signage and information, the event will cater to a global audience. This inclusion will ensure international delegates feel welcomed and valued. Translations in major languages, such as Welsh, English, French, and Mandarin, will be used to ensure accessibility for all guests (</w:t>
            </w:r>
            <w:r w:rsidDel="00000000" w:rsidR="00000000" w:rsidRPr="00000000">
              <w:rPr>
                <w:rFonts w:ascii="Times New Roman" w:cs="Times New Roman" w:eastAsia="Times New Roman" w:hAnsi="Times New Roman"/>
                <w:color w:val="222222"/>
                <w:sz w:val="24"/>
                <w:szCs w:val="24"/>
                <w:highlight w:val="white"/>
                <w:rtl w:val="0"/>
              </w:rPr>
              <w:t xml:space="preserve">Tesseur, 2021)</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BC">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D">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4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Aspirations</w:t>
            </w:r>
          </w:p>
          <w:p w:rsidR="00000000" w:rsidDel="00000000" w:rsidP="00000000" w:rsidRDefault="00000000" w:rsidRPr="00000000" w14:paraId="000000B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C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C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aspiration is to foster cultural appreciation and respect for both Welsh and international cultures (</w:t>
            </w:r>
            <w:r w:rsidDel="00000000" w:rsidR="00000000" w:rsidRPr="00000000">
              <w:rPr>
                <w:rFonts w:ascii="Times New Roman" w:cs="Times New Roman" w:eastAsia="Times New Roman" w:hAnsi="Times New Roman"/>
                <w:color w:val="222222"/>
                <w:sz w:val="24"/>
                <w:szCs w:val="24"/>
                <w:highlight w:val="white"/>
                <w:rtl w:val="0"/>
              </w:rPr>
              <w:t xml:space="preserve">Henry and Leroy-Dyer,  2025)</w:t>
            </w:r>
            <w:r w:rsidDel="00000000" w:rsidR="00000000" w:rsidRPr="00000000">
              <w:rPr>
                <w:rFonts w:ascii="Times New Roman" w:cs="Times New Roman" w:eastAsia="Times New Roman" w:hAnsi="Times New Roman"/>
                <w:color w:val="000000"/>
                <w:sz w:val="24"/>
                <w:szCs w:val="24"/>
                <w:rtl w:val="0"/>
              </w:rPr>
              <w:t xml:space="preserve">. The event will provide a platform for cultural exchange and engagement, offering a space for mutual understanding through food, music, and interactive experiences.</w:t>
            </w:r>
          </w:p>
          <w:p w:rsidR="00000000" w:rsidDel="00000000" w:rsidP="00000000" w:rsidRDefault="00000000" w:rsidRPr="00000000" w14:paraId="000000C3">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C4">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4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Results</w:t>
            </w:r>
          </w:p>
          <w:p w:rsidR="00000000" w:rsidDel="00000000" w:rsidP="00000000" w:rsidRDefault="00000000" w:rsidRPr="00000000" w14:paraId="000000C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C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C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Cultural sensitivity will be prioritised to avoid any risk of cultural appropriation. Collaborating with cultural representatives and experts will ensure that the representations of each culture are accurate and respectful (</w:t>
            </w:r>
            <w:r w:rsidDel="00000000" w:rsidR="00000000" w:rsidRPr="00000000">
              <w:rPr>
                <w:rFonts w:ascii="Times New Roman" w:cs="Times New Roman" w:eastAsia="Times New Roman" w:hAnsi="Times New Roman"/>
                <w:color w:val="222222"/>
                <w:sz w:val="24"/>
                <w:szCs w:val="24"/>
                <w:highlight w:val="white"/>
                <w:rtl w:val="0"/>
              </w:rPr>
              <w:t xml:space="preserve">MacNamara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color w:val="000000"/>
                <w:sz w:val="24"/>
                <w:szCs w:val="24"/>
                <w:rtl w:val="0"/>
              </w:rPr>
              <w:t xml:space="preserve">. Continuous feedback from participants will guide this aspect of the event.</w:t>
            </w:r>
          </w:p>
          <w:p w:rsidR="00000000" w:rsidDel="00000000" w:rsidP="00000000" w:rsidRDefault="00000000" w:rsidRPr="00000000" w14:paraId="000000CA">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CB">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bl>
    <w:p w:rsidR="00000000" w:rsidDel="00000000" w:rsidP="00000000" w:rsidRDefault="00000000" w:rsidRPr="00000000" w14:paraId="000000CC">
      <w:pPr>
        <w:pStyle w:val="Heading2"/>
        <w:spacing w:line="360" w:lineRule="auto"/>
        <w:jc w:val="both"/>
        <w:rPr>
          <w:sz w:val="24"/>
          <w:szCs w:val="24"/>
        </w:rPr>
      </w:pPr>
      <w:bookmarkStart w:colFirst="0" w:colLast="0" w:name="_heading=h.yp0m5skhuz6v" w:id="10"/>
      <w:bookmarkEnd w:id="10"/>
      <w:r w:rsidDel="00000000" w:rsidR="00000000" w:rsidRPr="00000000">
        <w:rPr>
          <w:sz w:val="24"/>
          <w:szCs w:val="24"/>
          <w:rtl w:val="0"/>
        </w:rPr>
        <w:t xml:space="preserve">PESTLE Analysis for CroesoFest 2025</w:t>
      </w:r>
    </w:p>
    <w:tbl>
      <w:tblPr>
        <w:tblStyle w:val="Table4"/>
        <w:tblW w:w="9486.0" w:type="dxa"/>
        <w:jc w:val="left"/>
        <w:tblInd w:w="-25.0" w:type="dxa"/>
        <w:tblLayout w:type="fixed"/>
        <w:tblLook w:val="0400"/>
      </w:tblPr>
      <w:tblGrid>
        <w:gridCol w:w="1763"/>
        <w:gridCol w:w="7723"/>
        <w:tblGridChange w:id="0">
          <w:tblGrid>
            <w:gridCol w:w="1763"/>
            <w:gridCol w:w="7723"/>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bbb59" w:val="clear"/>
            <w:vAlign w:val="center"/>
          </w:tcPr>
          <w:p w:rsidR="00000000" w:rsidDel="00000000" w:rsidP="00000000" w:rsidRDefault="00000000" w:rsidRPr="00000000" w14:paraId="000000C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Factor</w:t>
            </w:r>
          </w:p>
        </w:tc>
        <w:tc>
          <w:tcPr>
            <w:tcBorders>
              <w:top w:color="000000" w:space="0" w:sz="4" w:val="single"/>
              <w:left w:color="000000" w:space="0" w:sz="0" w:val="nil"/>
              <w:bottom w:color="000000" w:space="0" w:sz="4" w:val="single"/>
              <w:right w:color="000000" w:space="0" w:sz="4" w:val="single"/>
            </w:tcBorders>
            <w:shd w:fill="9bbb59" w:val="clear"/>
            <w:vAlign w:val="center"/>
          </w:tcPr>
          <w:p w:rsidR="00000000" w:rsidDel="00000000" w:rsidP="00000000" w:rsidRDefault="00000000" w:rsidRPr="00000000" w14:paraId="000000C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Details</w:t>
            </w:r>
          </w:p>
        </w:tc>
      </w:tr>
      <w:tr>
        <w:trPr>
          <w:cantSplit w:val="0"/>
          <w:trHeight w:val="39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Political</w:t>
            </w:r>
          </w:p>
          <w:p w:rsidR="00000000" w:rsidDel="00000000" w:rsidP="00000000" w:rsidRDefault="00000000" w:rsidRPr="00000000" w14:paraId="000000D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event aligns with Visit Wales' "Year of Croeso" initiative, receiving support from local government and tourism bodies. Political stability in Wales and the UK ensures smooth planning and execution. Potential changes in travel policies could impact international delegates Morris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2021).</w:t>
            </w:r>
          </w:p>
          <w:p w:rsidR="00000000" w:rsidDel="00000000" w:rsidP="00000000" w:rsidRDefault="00000000" w:rsidRPr="00000000" w14:paraId="000000D7">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D8">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D9">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45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Economic</w:t>
            </w:r>
          </w:p>
          <w:p w:rsidR="00000000" w:rsidDel="00000000" w:rsidP="00000000" w:rsidRDefault="00000000" w:rsidRPr="00000000" w14:paraId="000000D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D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E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1f1f1f"/>
                <w:sz w:val="24"/>
                <w:szCs w:val="24"/>
                <w:highlight w:val="white"/>
                <w:rtl w:val="0"/>
              </w:rPr>
              <w:t xml:space="preserve">In the year 2024, the gross domestic product of United Kingdom amounted towards around </w:t>
            </w:r>
            <w:r w:rsidDel="00000000" w:rsidR="00000000" w:rsidRPr="00000000">
              <w:rPr>
                <w:rFonts w:ascii="Times New Roman" w:cs="Times New Roman" w:eastAsia="Times New Roman" w:hAnsi="Times New Roman"/>
                <w:color w:val="040c28"/>
                <w:sz w:val="24"/>
                <w:szCs w:val="24"/>
                <w:rtl w:val="0"/>
              </w:rPr>
              <w:t xml:space="preserve">2.56 trillion in British pounds</w:t>
            </w:r>
            <w:r w:rsidDel="00000000" w:rsidR="00000000" w:rsidRPr="00000000">
              <w:rPr>
                <w:rFonts w:ascii="Times New Roman" w:cs="Times New Roman" w:eastAsia="Times New Roman" w:hAnsi="Times New Roman"/>
                <w:color w:val="1f1f1f"/>
                <w:sz w:val="24"/>
                <w:szCs w:val="24"/>
                <w:highlight w:val="white"/>
                <w:rtl w:val="0"/>
              </w:rPr>
              <w:t xml:space="preserve">, compared to 2.54 trillion pounds in the year 2023, and the 2.53 trillion in the year 2022 (Statista, 2024).</w:t>
            </w:r>
            <w:r w:rsidDel="00000000" w:rsidR="00000000" w:rsidRPr="00000000">
              <w:rPr>
                <w:rtl w:val="0"/>
              </w:rPr>
            </w:r>
          </w:p>
          <w:p w:rsidR="00000000" w:rsidDel="00000000" w:rsidP="00000000" w:rsidRDefault="00000000" w:rsidRPr="00000000" w14:paraId="000000E2">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3">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4">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5">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6">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Social</w:t>
            </w:r>
          </w:p>
          <w:p w:rsidR="00000000" w:rsidDel="00000000" w:rsidP="00000000" w:rsidRDefault="00000000" w:rsidRPr="00000000" w14:paraId="000000E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E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E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E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E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CroesoFest promotes inclusivity and cultural exchange, tapping into the growing demand for global, multicultural events. As cultural tourism rises, the event can attract a wide range of audiences interested in Welsh heritage and international diversity (</w:t>
            </w:r>
            <w:r w:rsidDel="00000000" w:rsidR="00000000" w:rsidRPr="00000000">
              <w:rPr>
                <w:rFonts w:ascii="Times New Roman" w:cs="Times New Roman" w:eastAsia="Times New Roman" w:hAnsi="Times New Roman"/>
                <w:color w:val="222222"/>
                <w:sz w:val="24"/>
                <w:szCs w:val="24"/>
                <w:highlight w:val="white"/>
                <w:rtl w:val="0"/>
              </w:rPr>
              <w:t xml:space="preserve">Fyall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EE">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F">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0">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1">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6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Technological</w:t>
            </w:r>
          </w:p>
          <w:p w:rsidR="00000000" w:rsidDel="00000000" w:rsidP="00000000" w:rsidRDefault="00000000" w:rsidRPr="00000000" w14:paraId="000000F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F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F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F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F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Integration of QR-coded entry, online ticketing, and event apps will enhance the visitor experience and improve logistics. Use of social media platforms and live streaming can extend reach beyond physical attendees, enabling global participation (Khan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2025).</w:t>
            </w:r>
          </w:p>
          <w:p w:rsidR="00000000" w:rsidDel="00000000" w:rsidP="00000000" w:rsidRDefault="00000000" w:rsidRPr="00000000" w14:paraId="000000F9">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A">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B">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C">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4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Legal</w:t>
            </w:r>
          </w:p>
          <w:p w:rsidR="00000000" w:rsidDel="00000000" w:rsidP="00000000" w:rsidRDefault="00000000" w:rsidRPr="00000000" w14:paraId="000000F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F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event will comply with all licensing, health and safety, and insurance regulations. Adherence to local laws regarding food safety, crowd control, and accessibility is essential (Carr, 2024).</w:t>
            </w:r>
          </w:p>
          <w:p w:rsidR="00000000" w:rsidDel="00000000" w:rsidP="00000000" w:rsidRDefault="00000000" w:rsidRPr="00000000" w14:paraId="00000103">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4">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5">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Environmental</w:t>
            </w:r>
          </w:p>
          <w:p w:rsidR="00000000" w:rsidDel="00000000" w:rsidP="00000000" w:rsidRDefault="00000000" w:rsidRPr="00000000" w14:paraId="0000010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0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CroesoFest will promote sustainability by encouraging low-carbon transport options and waste management practices. Green initiatives will be emphasised, such as using reusable materials and minimising waste during the event (Wee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2021).</w:t>
            </w:r>
          </w:p>
          <w:p w:rsidR="00000000" w:rsidDel="00000000" w:rsidP="00000000" w:rsidRDefault="00000000" w:rsidRPr="00000000" w14:paraId="0000010E">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F">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10">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11">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bl>
    <w:p w:rsidR="00000000" w:rsidDel="00000000" w:rsidP="00000000" w:rsidRDefault="00000000" w:rsidRPr="00000000" w14:paraId="00000112">
      <w:pPr>
        <w:pStyle w:val="Heading1"/>
        <w:spacing w:line="360" w:lineRule="auto"/>
        <w:jc w:val="both"/>
        <w:rPr>
          <w:sz w:val="24"/>
          <w:szCs w:val="24"/>
        </w:rPr>
      </w:pPr>
      <w:bookmarkStart w:colFirst="0" w:colLast="0" w:name="_heading=h.flx7id3291l7" w:id="11"/>
      <w:bookmarkEnd w:id="11"/>
      <w:r w:rsidDel="00000000" w:rsidR="00000000" w:rsidRPr="00000000">
        <w:rPr>
          <w:sz w:val="24"/>
          <w:szCs w:val="24"/>
          <w:rtl w:val="0"/>
        </w:rPr>
        <w:t xml:space="preserve">Conclusion</w:t>
      </w:r>
    </w:p>
    <w:p w:rsidR="00000000" w:rsidDel="00000000" w:rsidP="00000000" w:rsidRDefault="00000000" w:rsidRPr="00000000" w14:paraId="00000113">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event is likely to offer Kukwen Wales the unique flavor of this culture in terms of an event, while also inviting its non-Welsh participants to the world's exposure in view of the Visit Wales' "Year of Croeso": CroesoFest 2025. This is possible as a function of an elaborate planning strategy and significant financial and operational mechanisms. Careful attention to cultural sensitivities, technological integration and inclusivity will ensure that the event will be fully immersive to local as well as international delegates. By following the principles of PESTLE, SWOT, and SOAR frameworks, it will be positioned to easily give a really substantial economy, some well-deserved social impacts, and worthy cultural dividends to Wales; it would put the country as a top contender for a global venue for future world events.</w:t>
      </w:r>
    </w:p>
    <w:p w:rsidR="00000000" w:rsidDel="00000000" w:rsidP="00000000" w:rsidRDefault="00000000" w:rsidRPr="00000000" w14:paraId="00000114">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5">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16">
      <w:pPr>
        <w:pStyle w:val="Heading1"/>
        <w:spacing w:line="360" w:lineRule="auto"/>
        <w:rPr/>
      </w:pPr>
      <w:bookmarkStart w:colFirst="0" w:colLast="0" w:name="_heading=h.4yj2flwcja3k" w:id="12"/>
      <w:bookmarkEnd w:id="12"/>
      <w:r w:rsidDel="00000000" w:rsidR="00000000" w:rsidRPr="00000000">
        <w:rPr>
          <w:rtl w:val="0"/>
        </w:rPr>
        <w:t xml:space="preserve">References</w:t>
      </w:r>
    </w:p>
    <w:p w:rsidR="00000000" w:rsidDel="00000000" w:rsidP="00000000" w:rsidRDefault="00000000" w:rsidRPr="00000000" w14:paraId="0000011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Abas, R., Zahari, M.S.M. and Radzi, S.M., 2022. The influence of technology in tapping the full potential of Islamic tourism. </w:t>
      </w:r>
      <w:hyperlink r:id="rId11">
        <w:r w:rsidDel="00000000" w:rsidR="00000000" w:rsidRPr="00000000">
          <w:rPr>
            <w:rFonts w:ascii="Times New Roman" w:cs="Times New Roman" w:eastAsia="Times New Roman" w:hAnsi="Times New Roman"/>
            <w:i w:val="1"/>
            <w:sz w:val="24"/>
            <w:szCs w:val="24"/>
            <w:highlight w:val="white"/>
            <w:rtl w:val="0"/>
          </w:rPr>
          <w:t xml:space="preserve">International Journal of Social Science Research</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(1), pp.105-114.</w:t>
      </w:r>
      <w:r w:rsidDel="00000000" w:rsidR="00000000" w:rsidRPr="00000000">
        <w:rPr>
          <w:rtl w:val="0"/>
        </w:rPr>
      </w:r>
    </w:p>
    <w:p w:rsidR="00000000" w:rsidDel="00000000" w:rsidP="00000000" w:rsidRDefault="00000000" w:rsidRPr="00000000" w14:paraId="0000011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An, J., Hur, D., Lee, S. and Kim, H., 2025. Exploring Metaverse’s impact on the MICE industry from the industry experts’ lens.</w:t>
      </w:r>
      <w:hyperlink r:id="rId12">
        <w:r w:rsidDel="00000000" w:rsidR="00000000" w:rsidRPr="00000000">
          <w:rPr>
            <w:rFonts w:ascii="Times New Roman" w:cs="Times New Roman" w:eastAsia="Times New Roman" w:hAnsi="Times New Roman"/>
            <w:sz w:val="24"/>
            <w:szCs w:val="24"/>
            <w:highlight w:val="white"/>
            <w:rtl w:val="0"/>
          </w:rPr>
          <w:t xml:space="preserve"> </w:t>
        </w:r>
      </w:hyperlink>
      <w:hyperlink r:id="rId13">
        <w:r w:rsidDel="00000000" w:rsidR="00000000" w:rsidRPr="00000000">
          <w:rPr>
            <w:rFonts w:ascii="Times New Roman" w:cs="Times New Roman" w:eastAsia="Times New Roman" w:hAnsi="Times New Roman"/>
            <w:i w:val="1"/>
            <w:sz w:val="24"/>
            <w:szCs w:val="24"/>
            <w:highlight w:val="white"/>
            <w:rtl w:val="0"/>
          </w:rPr>
          <w:t xml:space="preserve">International Journal of Event and Festival Management</w:t>
        </w:r>
      </w:hyperlink>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p w:rsidR="00000000" w:rsidDel="00000000" w:rsidP="00000000" w:rsidRDefault="00000000" w:rsidRPr="00000000" w14:paraId="00000119">
      <w:pPr>
        <w:spacing w:after="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Aubert, S., Brazo-Sayavera, J., González, S.A., Janssen, I., Manyanga, T., Oyeyemi, A.L., Picard, P., Sherar, L.B., Turner, E. and Tremblay, M.S., 2021. Global prevalence of physical activity for children and adolescents; inconsistencies, research gaps, and recommendations: a narrative review. </w:t>
      </w:r>
      <w:hyperlink r:id="rId14">
        <w:r w:rsidDel="00000000" w:rsidR="00000000" w:rsidRPr="00000000">
          <w:rPr>
            <w:rFonts w:ascii="Times New Roman" w:cs="Times New Roman" w:eastAsia="Times New Roman" w:hAnsi="Times New Roman"/>
            <w:i w:val="1"/>
            <w:sz w:val="24"/>
            <w:szCs w:val="24"/>
            <w:highlight w:val="white"/>
            <w:rtl w:val="0"/>
          </w:rPr>
          <w:t xml:space="preserve">International Journal of Behavioural Nutrition and Physical Activity</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 pp.1-11.</w:t>
      </w:r>
    </w:p>
    <w:p w:rsidR="00000000" w:rsidDel="00000000" w:rsidP="00000000" w:rsidRDefault="00000000" w:rsidRPr="00000000" w14:paraId="0000011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Bilali, V.G., Magklaris, E., Kosyvas, D., Karagiannidis, L., Ouzounoglou, E. and Amditis, A., 2024, July. A SOAR platform for standardizing, automating operational processes and a monitoring service facilitating auditing procedures among IoT trustworthy environments. In</w:t>
      </w:r>
      <w:hyperlink r:id="rId15">
        <w:r w:rsidDel="00000000" w:rsidR="00000000" w:rsidRPr="00000000">
          <w:rPr>
            <w:rFonts w:ascii="Times New Roman" w:cs="Times New Roman" w:eastAsia="Times New Roman" w:hAnsi="Times New Roman"/>
            <w:sz w:val="24"/>
            <w:szCs w:val="24"/>
            <w:highlight w:val="white"/>
            <w:rtl w:val="0"/>
          </w:rPr>
          <w:t xml:space="preserve"> </w:t>
        </w:r>
      </w:hyperlink>
      <w:hyperlink r:id="rId16">
        <w:r w:rsidDel="00000000" w:rsidR="00000000" w:rsidRPr="00000000">
          <w:rPr>
            <w:rFonts w:ascii="Times New Roman" w:cs="Times New Roman" w:eastAsia="Times New Roman" w:hAnsi="Times New Roman"/>
            <w:i w:val="1"/>
            <w:sz w:val="24"/>
            <w:szCs w:val="24"/>
            <w:highlight w:val="white"/>
            <w:rtl w:val="0"/>
          </w:rPr>
          <w:t xml:space="preserve">Proceedings of the 19th International Conference on Availability, Reliability and Security</w:t>
        </w:r>
      </w:hyperlink>
      <w:r w:rsidDel="00000000" w:rsidR="00000000" w:rsidRPr="00000000">
        <w:rPr>
          <w:rFonts w:ascii="Times New Roman" w:cs="Times New Roman" w:eastAsia="Times New Roman" w:hAnsi="Times New Roman"/>
          <w:sz w:val="24"/>
          <w:szCs w:val="24"/>
          <w:highlight w:val="white"/>
          <w:rtl w:val="0"/>
        </w:rPr>
        <w:t xml:space="preserve"> (pp. 1-8).</w:t>
      </w:r>
      <w:r w:rsidDel="00000000" w:rsidR="00000000" w:rsidRPr="00000000">
        <w:rPr>
          <w:rtl w:val="0"/>
        </w:rPr>
      </w:r>
    </w:p>
    <w:p w:rsidR="00000000" w:rsidDel="00000000" w:rsidP="00000000" w:rsidRDefault="00000000" w:rsidRPr="00000000" w14:paraId="0000011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Carr, S.M., 2024.</w:t>
      </w:r>
      <w:hyperlink r:id="rId17">
        <w:r w:rsidDel="00000000" w:rsidR="00000000" w:rsidRPr="00000000">
          <w:rPr>
            <w:rFonts w:ascii="Times New Roman" w:cs="Times New Roman" w:eastAsia="Times New Roman" w:hAnsi="Times New Roman"/>
            <w:sz w:val="24"/>
            <w:szCs w:val="24"/>
            <w:highlight w:val="white"/>
            <w:rtl w:val="0"/>
          </w:rPr>
          <w:t xml:space="preserve"> </w:t>
        </w:r>
      </w:hyperlink>
      <w:hyperlink r:id="rId18">
        <w:r w:rsidDel="00000000" w:rsidR="00000000" w:rsidRPr="00000000">
          <w:rPr>
            <w:rFonts w:ascii="Times New Roman" w:cs="Times New Roman" w:eastAsia="Times New Roman" w:hAnsi="Times New Roman"/>
            <w:i w:val="1"/>
            <w:sz w:val="24"/>
            <w:szCs w:val="24"/>
            <w:highlight w:val="white"/>
            <w:rtl w:val="0"/>
          </w:rPr>
          <w:t xml:space="preserve">Safety, Security and Emergency Management Strategy Training in Hospitality Industry: Report of Preparedness for Active Threats, Traumatic and Epidemic Events</w:t>
        </w:r>
      </w:hyperlink>
      <w:r w:rsidDel="00000000" w:rsidR="00000000" w:rsidRPr="00000000">
        <w:rPr>
          <w:rFonts w:ascii="Times New Roman" w:cs="Times New Roman" w:eastAsia="Times New Roman" w:hAnsi="Times New Roman"/>
          <w:sz w:val="24"/>
          <w:szCs w:val="24"/>
          <w:highlight w:val="white"/>
          <w:rtl w:val="0"/>
        </w:rPr>
        <w:t xml:space="preserve"> (Doctoral dissertation, Capitol Technology University).</w:t>
      </w:r>
      <w:r w:rsidDel="00000000" w:rsidR="00000000" w:rsidRPr="00000000">
        <w:rPr>
          <w:rtl w:val="0"/>
        </w:rPr>
      </w:r>
    </w:p>
    <w:p w:rsidR="00000000" w:rsidDel="00000000" w:rsidP="00000000" w:rsidRDefault="00000000" w:rsidRPr="00000000" w14:paraId="0000011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Chakraborty, P.P., 2024. Tourism in Transition in Sustainable World: Embracing Technology and Sustainability in the Post-Pandemic Era. In </w:t>
      </w:r>
      <w:hyperlink r:id="rId19">
        <w:r w:rsidDel="00000000" w:rsidR="00000000" w:rsidRPr="00000000">
          <w:rPr>
            <w:rFonts w:ascii="Times New Roman" w:cs="Times New Roman" w:eastAsia="Times New Roman" w:hAnsi="Times New Roman"/>
            <w:i w:val="1"/>
            <w:sz w:val="24"/>
            <w:szCs w:val="24"/>
            <w:highlight w:val="white"/>
            <w:rtl w:val="0"/>
          </w:rPr>
          <w:t xml:space="preserve">Special Interest Trends for Sustainable Tourism</w:t>
        </w:r>
      </w:hyperlink>
      <w:hyperlink r:id="rId20">
        <w:r w:rsidDel="00000000" w:rsidR="00000000" w:rsidRPr="00000000">
          <w:rPr>
            <w:rFonts w:ascii="Times New Roman" w:cs="Times New Roman" w:eastAsia="Times New Roman" w:hAnsi="Times New Roman"/>
            <w:sz w:val="24"/>
            <w:szCs w:val="24"/>
            <w:highlight w:val="white"/>
            <w:rtl w:val="0"/>
          </w:rPr>
          <w:t xml:space="preserve"> (pp. 348-374). IGI Global.</w:t>
        </w:r>
      </w:hyperlink>
      <w:r w:rsidDel="00000000" w:rsidR="00000000" w:rsidRPr="00000000">
        <w:rPr>
          <w:rtl w:val="0"/>
        </w:rPr>
      </w:r>
    </w:p>
    <w:p w:rsidR="00000000" w:rsidDel="00000000" w:rsidP="00000000" w:rsidRDefault="00000000" w:rsidRPr="00000000" w14:paraId="0000011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Ding, D., Morris, L., Messina, K. and Fairman, A., 2023. Providing mainstream smart home technology as assistive technology for persons with disabilities: a qualitative study with professionals. </w:t>
      </w:r>
      <w:hyperlink r:id="rId21">
        <w:r w:rsidDel="00000000" w:rsidR="00000000" w:rsidRPr="00000000">
          <w:rPr>
            <w:rFonts w:ascii="Times New Roman" w:cs="Times New Roman" w:eastAsia="Times New Roman" w:hAnsi="Times New Roman"/>
            <w:i w:val="1"/>
            <w:sz w:val="24"/>
            <w:szCs w:val="24"/>
            <w:highlight w:val="white"/>
            <w:rtl w:val="0"/>
          </w:rPr>
          <w:t xml:space="preserve">Disability and Rehabilitation: Assistive Technology</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(7), pp.1192-1199.</w:t>
      </w:r>
      <w:r w:rsidDel="00000000" w:rsidR="00000000" w:rsidRPr="00000000">
        <w:rPr>
          <w:rtl w:val="0"/>
        </w:rPr>
      </w:r>
    </w:p>
    <w:p w:rsidR="00000000" w:rsidDel="00000000" w:rsidP="00000000" w:rsidRDefault="00000000" w:rsidRPr="00000000" w14:paraId="0000011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Elsamanoudy, G., 2024. Cultivating Global Cultural Awareness Through University Event Design and Management: The Case of Global Day at Ajman University. In </w:t>
      </w:r>
      <w:hyperlink r:id="rId22">
        <w:r w:rsidDel="00000000" w:rsidR="00000000" w:rsidRPr="00000000">
          <w:rPr>
            <w:rFonts w:ascii="Times New Roman" w:cs="Times New Roman" w:eastAsia="Times New Roman" w:hAnsi="Times New Roman"/>
            <w:i w:val="1"/>
            <w:sz w:val="24"/>
            <w:szCs w:val="24"/>
            <w:highlight w:val="white"/>
            <w:rtl w:val="0"/>
          </w:rPr>
          <w:t xml:space="preserve">EDULEARN24 Proceedings</w:t>
        </w:r>
      </w:hyperlink>
      <w:r w:rsidDel="00000000" w:rsidR="00000000" w:rsidRPr="00000000">
        <w:rPr>
          <w:rFonts w:ascii="Times New Roman" w:cs="Times New Roman" w:eastAsia="Times New Roman" w:hAnsi="Times New Roman"/>
          <w:sz w:val="24"/>
          <w:szCs w:val="24"/>
          <w:highlight w:val="white"/>
          <w:rtl w:val="0"/>
        </w:rPr>
        <w:t xml:space="preserve"> (pp. 7973-7980). IATED.</w:t>
      </w:r>
      <w:r w:rsidDel="00000000" w:rsidR="00000000" w:rsidRPr="00000000">
        <w:rPr>
          <w:rtl w:val="0"/>
        </w:rPr>
      </w:r>
    </w:p>
    <w:p w:rsidR="00000000" w:rsidDel="00000000" w:rsidP="00000000" w:rsidRDefault="00000000" w:rsidRPr="00000000" w14:paraId="0000011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Fyall, A., Garrod, B., Leask, A. and Wanhill, S. eds., 2022. </w:t>
      </w:r>
      <w:hyperlink r:id="rId23">
        <w:r w:rsidDel="00000000" w:rsidR="00000000" w:rsidRPr="00000000">
          <w:rPr>
            <w:rFonts w:ascii="Times New Roman" w:cs="Times New Roman" w:eastAsia="Times New Roman" w:hAnsi="Times New Roman"/>
            <w:i w:val="1"/>
            <w:sz w:val="24"/>
            <w:szCs w:val="24"/>
            <w:highlight w:val="white"/>
            <w:rtl w:val="0"/>
          </w:rPr>
          <w:t xml:space="preserve">Managing visitor attraction</w:t>
        </w:r>
      </w:hyperlink>
      <w:r w:rsidDel="00000000" w:rsidR="00000000" w:rsidRPr="00000000">
        <w:rPr>
          <w:rFonts w:ascii="Times New Roman" w:cs="Times New Roman" w:eastAsia="Times New Roman" w:hAnsi="Times New Roman"/>
          <w:i w:val="1"/>
          <w:sz w:val="24"/>
          <w:szCs w:val="24"/>
          <w:highlight w:val="white"/>
          <w:rtl w:val="0"/>
        </w:rPr>
        <w:t xml:space="preserve">s</w:t>
      </w:r>
      <w:r w:rsidDel="00000000" w:rsidR="00000000" w:rsidRPr="00000000">
        <w:rPr>
          <w:rFonts w:ascii="Times New Roman" w:cs="Times New Roman" w:eastAsia="Times New Roman" w:hAnsi="Times New Roman"/>
          <w:sz w:val="24"/>
          <w:szCs w:val="24"/>
          <w:highlight w:val="white"/>
          <w:rtl w:val="0"/>
        </w:rPr>
        <w:t xml:space="preserve">. London: Routledge.</w:t>
      </w:r>
      <w:r w:rsidDel="00000000" w:rsidR="00000000" w:rsidRPr="00000000">
        <w:rPr>
          <w:rtl w:val="0"/>
        </w:rPr>
      </w:r>
    </w:p>
    <w:p w:rsidR="00000000" w:rsidDel="00000000" w:rsidP="00000000" w:rsidRDefault="00000000" w:rsidRPr="00000000" w14:paraId="0000012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Gomes Silva, F.J., Kirytopoulos, K., Pinto Ferreira, L., Sá, J.C., Santos, G. and Cancela Nogueira, M.C., 2022. The three pillars of sustainability and agile project management: How do they influence each other. </w:t>
      </w:r>
      <w:hyperlink r:id="rId24">
        <w:r w:rsidDel="00000000" w:rsidR="00000000" w:rsidRPr="00000000">
          <w:rPr>
            <w:rFonts w:ascii="Times New Roman" w:cs="Times New Roman" w:eastAsia="Times New Roman" w:hAnsi="Times New Roman"/>
            <w:i w:val="1"/>
            <w:sz w:val="24"/>
            <w:szCs w:val="24"/>
            <w:highlight w:val="white"/>
            <w:rtl w:val="0"/>
          </w:rPr>
          <w:t xml:space="preserve">Corporate Social Responsibility and Environmental Management</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(5), pp.1495-1512.</w:t>
      </w:r>
      <w:r w:rsidDel="00000000" w:rsidR="00000000" w:rsidRPr="00000000">
        <w:rPr>
          <w:rtl w:val="0"/>
        </w:rPr>
      </w:r>
    </w:p>
    <w:p w:rsidR="00000000" w:rsidDel="00000000" w:rsidP="00000000" w:rsidRDefault="00000000" w:rsidRPr="00000000" w14:paraId="00000121">
      <w:pPr>
        <w:spacing w:after="0" w:line="360" w:lineRule="auto"/>
        <w:jc w:val="both"/>
        <w:rPr>
          <w:rFonts w:ascii="Times New Roman" w:cs="Times New Roman" w:eastAsia="Times New Roman" w:hAnsi="Times New Roman"/>
          <w:sz w:val="24"/>
          <w:szCs w:val="24"/>
        </w:rPr>
      </w:pPr>
      <w:hyperlink r:id="rId25">
        <w:r w:rsidDel="00000000" w:rsidR="00000000" w:rsidRPr="00000000">
          <w:rPr>
            <w:rFonts w:ascii="Times New Roman" w:cs="Times New Roman" w:eastAsia="Times New Roman" w:hAnsi="Times New Roman"/>
            <w:sz w:val="24"/>
            <w:szCs w:val="24"/>
            <w:highlight w:val="white"/>
            <w:rtl w:val="0"/>
          </w:rPr>
          <w:t xml:space="preserve">Gordan, M.I., Popescu, C.A., Călina, J., Adamov, T.C., Mănescu, C.M. and Iancu, T., 2024. Spatial analysis of seasonal and trend patterns in romanian agritourism arrivals using seasonal-trend decomposition using loess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Agriculture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(2), p.229.</w:t>
      </w:r>
      <w:r w:rsidDel="00000000" w:rsidR="00000000" w:rsidRPr="00000000">
        <w:rPr>
          <w:rtl w:val="0"/>
        </w:rPr>
      </w:r>
    </w:p>
    <w:p w:rsidR="00000000" w:rsidDel="00000000" w:rsidP="00000000" w:rsidRDefault="00000000" w:rsidRPr="00000000" w14:paraId="0000012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Henry, E. and Leroy-Dyer, S., 2025. De-othering: indigenous perspectives on diversity, equity and inclusion.</w:t>
      </w:r>
      <w:hyperlink r:id="rId26">
        <w:r w:rsidDel="00000000" w:rsidR="00000000" w:rsidRPr="00000000">
          <w:rPr>
            <w:rFonts w:ascii="Times New Roman" w:cs="Times New Roman" w:eastAsia="Times New Roman" w:hAnsi="Times New Roman"/>
            <w:sz w:val="24"/>
            <w:szCs w:val="24"/>
            <w:highlight w:val="white"/>
            <w:rtl w:val="0"/>
          </w:rPr>
          <w:t xml:space="preserve"> </w:t>
        </w:r>
      </w:hyperlink>
      <w:hyperlink r:id="rId27">
        <w:r w:rsidDel="00000000" w:rsidR="00000000" w:rsidRPr="00000000">
          <w:rPr>
            <w:rFonts w:ascii="Times New Roman" w:cs="Times New Roman" w:eastAsia="Times New Roman" w:hAnsi="Times New Roman"/>
            <w:i w:val="1"/>
            <w:sz w:val="24"/>
            <w:szCs w:val="24"/>
            <w:highlight w:val="white"/>
            <w:rtl w:val="0"/>
          </w:rPr>
          <w:t xml:space="preserve">Critical Perspectives on International Business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(1), pp.76-88.</w:t>
      </w:r>
      <w:r w:rsidDel="00000000" w:rsidR="00000000" w:rsidRPr="00000000">
        <w:rPr>
          <w:rtl w:val="0"/>
        </w:rPr>
      </w:r>
    </w:p>
    <w:p w:rsidR="00000000" w:rsidDel="00000000" w:rsidP="00000000" w:rsidRDefault="00000000" w:rsidRPr="00000000" w14:paraId="0000012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Hettiarachchige, A.H.H.M., Cabiddu, F. and Moi, L., 2025. Preparing for the inevitable: Strategically navigating negative publicity in the contemporary business landscape. </w:t>
      </w:r>
      <w:hyperlink r:id="rId28">
        <w:r w:rsidDel="00000000" w:rsidR="00000000" w:rsidRPr="00000000">
          <w:rPr>
            <w:rFonts w:ascii="Times New Roman" w:cs="Times New Roman" w:eastAsia="Times New Roman" w:hAnsi="Times New Roman"/>
            <w:i w:val="1"/>
            <w:sz w:val="24"/>
            <w:szCs w:val="24"/>
            <w:highlight w:val="white"/>
            <w:rtl w:val="0"/>
          </w:rPr>
          <w:t xml:space="preserve">Business Horizons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68</w:t>
      </w:r>
      <w:r w:rsidDel="00000000" w:rsidR="00000000" w:rsidRPr="00000000">
        <w:rPr>
          <w:rFonts w:ascii="Times New Roman" w:cs="Times New Roman" w:eastAsia="Times New Roman" w:hAnsi="Times New Roman"/>
          <w:sz w:val="24"/>
          <w:szCs w:val="24"/>
          <w:highlight w:val="white"/>
          <w:rtl w:val="0"/>
        </w:rPr>
        <w:t xml:space="preserve">(2), pp.139-151.</w:t>
      </w:r>
      <w:r w:rsidDel="00000000" w:rsidR="00000000" w:rsidRPr="00000000">
        <w:rPr>
          <w:rtl w:val="0"/>
        </w:rPr>
      </w:r>
    </w:p>
    <w:p w:rsidR="00000000" w:rsidDel="00000000" w:rsidP="00000000" w:rsidRDefault="00000000" w:rsidRPr="00000000" w14:paraId="0000012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Hudson, S. and Hudson, L., 2023. </w:t>
      </w:r>
      <w:hyperlink r:id="rId29">
        <w:r w:rsidDel="00000000" w:rsidR="00000000" w:rsidRPr="00000000">
          <w:rPr>
            <w:rFonts w:ascii="Times New Roman" w:cs="Times New Roman" w:eastAsia="Times New Roman" w:hAnsi="Times New Roman"/>
            <w:i w:val="1"/>
            <w:sz w:val="24"/>
            <w:szCs w:val="24"/>
            <w:highlight w:val="white"/>
            <w:rtl w:val="0"/>
          </w:rPr>
          <w:t xml:space="preserve">Marketing for tourism, hospitality &amp; events: a global &amp; digital approach</w:t>
        </w:r>
      </w:hyperlink>
      <w:r w:rsidDel="00000000" w:rsidR="00000000" w:rsidRPr="00000000">
        <w:rPr>
          <w:rFonts w:ascii="Times New Roman" w:cs="Times New Roman" w:eastAsia="Times New Roman" w:hAnsi="Times New Roman"/>
          <w:sz w:val="24"/>
          <w:szCs w:val="24"/>
          <w:highlight w:val="white"/>
          <w:rtl w:val="0"/>
        </w:rPr>
        <w:t xml:space="preserve">. Sage Publications Limited.</w:t>
      </w:r>
      <w:r w:rsidDel="00000000" w:rsidR="00000000" w:rsidRPr="00000000">
        <w:rPr>
          <w:rtl w:val="0"/>
        </w:rPr>
      </w:r>
    </w:p>
    <w:p w:rsidR="00000000" w:rsidDel="00000000" w:rsidP="00000000" w:rsidRDefault="00000000" w:rsidRPr="00000000" w14:paraId="0000012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Journeault, M., Perron, A. and Vallières, L., 2021. The collaborative roles of stakeholders in supporting the adoption of sustainability in SMEs. </w:t>
      </w:r>
      <w:hyperlink r:id="rId30">
        <w:r w:rsidDel="00000000" w:rsidR="00000000" w:rsidRPr="00000000">
          <w:rPr>
            <w:rFonts w:ascii="Times New Roman" w:cs="Times New Roman" w:eastAsia="Times New Roman" w:hAnsi="Times New Roman"/>
            <w:i w:val="1"/>
            <w:sz w:val="24"/>
            <w:szCs w:val="24"/>
            <w:highlight w:val="white"/>
            <w:rtl w:val="0"/>
          </w:rPr>
          <w:t xml:space="preserve">Journal of environmental management</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287</w:t>
      </w:r>
      <w:r w:rsidDel="00000000" w:rsidR="00000000" w:rsidRPr="00000000">
        <w:rPr>
          <w:rFonts w:ascii="Times New Roman" w:cs="Times New Roman" w:eastAsia="Times New Roman" w:hAnsi="Times New Roman"/>
          <w:sz w:val="24"/>
          <w:szCs w:val="24"/>
          <w:highlight w:val="white"/>
          <w:rtl w:val="0"/>
        </w:rPr>
        <w:t xml:space="preserve">, p.112349.</w:t>
      </w:r>
      <w:r w:rsidDel="00000000" w:rsidR="00000000" w:rsidRPr="00000000">
        <w:rPr>
          <w:rtl w:val="0"/>
        </w:rPr>
      </w:r>
    </w:p>
    <w:p w:rsidR="00000000" w:rsidDel="00000000" w:rsidP="00000000" w:rsidRDefault="00000000" w:rsidRPr="00000000" w14:paraId="0000012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Khan, S., Rehman, A., Kareem, S. and Al Rousan, R., 2025. Livestreaming in events: a systematic literature review and research agenda. </w:t>
      </w:r>
      <w:hyperlink r:id="rId31">
        <w:r w:rsidDel="00000000" w:rsidR="00000000" w:rsidRPr="00000000">
          <w:rPr>
            <w:rFonts w:ascii="Times New Roman" w:cs="Times New Roman" w:eastAsia="Times New Roman" w:hAnsi="Times New Roman"/>
            <w:i w:val="1"/>
            <w:sz w:val="24"/>
            <w:szCs w:val="24"/>
            <w:highlight w:val="white"/>
            <w:rtl w:val="0"/>
          </w:rPr>
          <w:t xml:space="preserve">International Journal of Event and Festival Management</w:t>
        </w:r>
      </w:hyperlink>
      <w:hyperlink r:id="rId32">
        <w:r w:rsidDel="00000000" w:rsidR="00000000" w:rsidRPr="00000000">
          <w:rPr>
            <w:rFonts w:ascii="Times New Roman" w:cs="Times New Roman" w:eastAsia="Times New Roman" w:hAnsi="Times New Roman"/>
            <w:sz w:val="24"/>
            <w:szCs w:val="24"/>
            <w:highlight w:val="white"/>
            <w:rtl w:val="0"/>
          </w:rPr>
          <w:t xml:space="preserve">.</w:t>
        </w:r>
      </w:hyperlink>
      <w:r w:rsidDel="00000000" w:rsidR="00000000" w:rsidRPr="00000000">
        <w:rPr>
          <w:rtl w:val="0"/>
        </w:rPr>
      </w:r>
    </w:p>
    <w:p w:rsidR="00000000" w:rsidDel="00000000" w:rsidP="00000000" w:rsidRDefault="00000000" w:rsidRPr="00000000" w14:paraId="0000012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Leung, T.C.H., Guan, J. and Lau, Y.Y., 2023. Exploring environmental sustainability and green management practices: evidence from logistics service providers. </w:t>
      </w:r>
      <w:hyperlink r:id="rId33">
        <w:r w:rsidDel="00000000" w:rsidR="00000000" w:rsidRPr="00000000">
          <w:rPr>
            <w:rFonts w:ascii="Times New Roman" w:cs="Times New Roman" w:eastAsia="Times New Roman" w:hAnsi="Times New Roman"/>
            <w:i w:val="1"/>
            <w:sz w:val="24"/>
            <w:szCs w:val="24"/>
            <w:highlight w:val="white"/>
            <w:rtl w:val="0"/>
          </w:rPr>
          <w:t xml:space="preserve">Sustainability Accounting, Management and Policy Journal</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(3), pp.461-489.</w:t>
      </w:r>
      <w:r w:rsidDel="00000000" w:rsidR="00000000" w:rsidRPr="00000000">
        <w:rPr>
          <w:rtl w:val="0"/>
        </w:rPr>
      </w:r>
    </w:p>
    <w:p w:rsidR="00000000" w:rsidDel="00000000" w:rsidP="00000000" w:rsidRDefault="00000000" w:rsidRPr="00000000" w14:paraId="0000012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MacNamara, N., Mackle, D., Trew, J.D., Pierson, C. and Bloomer, F., 2022. Reflecting on asynchronous internet mediated focus groups for researching culturally sensitive issues. In </w:t>
      </w:r>
      <w:hyperlink r:id="rId34">
        <w:r w:rsidDel="00000000" w:rsidR="00000000" w:rsidRPr="00000000">
          <w:rPr>
            <w:rFonts w:ascii="Times New Roman" w:cs="Times New Roman" w:eastAsia="Times New Roman" w:hAnsi="Times New Roman"/>
            <w:i w:val="1"/>
            <w:sz w:val="24"/>
            <w:szCs w:val="24"/>
            <w:highlight w:val="white"/>
            <w:rtl w:val="0"/>
          </w:rPr>
          <w:t xml:space="preserve">Unpacking Sensitive Research</w:t>
        </w:r>
      </w:hyperlink>
      <w:r w:rsidDel="00000000" w:rsidR="00000000" w:rsidRPr="00000000">
        <w:rPr>
          <w:rFonts w:ascii="Times New Roman" w:cs="Times New Roman" w:eastAsia="Times New Roman" w:hAnsi="Times New Roman"/>
          <w:sz w:val="24"/>
          <w:szCs w:val="24"/>
          <w:highlight w:val="white"/>
          <w:rtl w:val="0"/>
        </w:rPr>
        <w:t xml:space="preserve"> (pp. 39-51). Routledge.</w:t>
      </w:r>
      <w:r w:rsidDel="00000000" w:rsidR="00000000" w:rsidRPr="00000000">
        <w:rPr>
          <w:rtl w:val="0"/>
        </w:rPr>
      </w:r>
    </w:p>
    <w:p w:rsidR="00000000" w:rsidDel="00000000" w:rsidP="00000000" w:rsidRDefault="00000000" w:rsidRPr="00000000" w14:paraId="0000012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Meredith, J. (2022) Project management: a managerial approach</w:t>
      </w:r>
      <w:r w:rsidDel="00000000" w:rsidR="00000000" w:rsidRPr="00000000">
        <w:rPr>
          <w:rtl w:val="0"/>
        </w:rPr>
      </w:r>
    </w:p>
    <w:p w:rsidR="00000000" w:rsidDel="00000000" w:rsidP="00000000" w:rsidRDefault="00000000" w:rsidRPr="00000000" w14:paraId="0000012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Morris, M., Seguin, M., Landon, S., McKee, M. and Nolte, E., 2021. Exploring the role of leadership in facilitating change to improve cancer survival: an analysis of experiences in seven high income countries in the International Cancer Benchmarking Partnership (ICBP). </w:t>
      </w:r>
      <w:hyperlink r:id="rId35">
        <w:r w:rsidDel="00000000" w:rsidR="00000000" w:rsidRPr="00000000">
          <w:rPr>
            <w:rFonts w:ascii="Times New Roman" w:cs="Times New Roman" w:eastAsia="Times New Roman" w:hAnsi="Times New Roman"/>
            <w:i w:val="1"/>
            <w:sz w:val="24"/>
            <w:szCs w:val="24"/>
            <w:highlight w:val="white"/>
            <w:rtl w:val="0"/>
          </w:rPr>
          <w:t xml:space="preserve">International Journal of Health Policy and Management</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(9), p.1756.</w:t>
      </w:r>
      <w:r w:rsidDel="00000000" w:rsidR="00000000" w:rsidRPr="00000000">
        <w:rPr>
          <w:rtl w:val="0"/>
        </w:rPr>
      </w:r>
    </w:p>
    <w:p w:rsidR="00000000" w:rsidDel="00000000" w:rsidP="00000000" w:rsidRDefault="00000000" w:rsidRPr="00000000" w14:paraId="0000012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O’Toole, W. (2011) Events feasibility and development: from strategy to operations. Elsevier: Oxford</w:t>
      </w:r>
      <w:r w:rsidDel="00000000" w:rsidR="00000000" w:rsidRPr="00000000">
        <w:rPr>
          <w:rtl w:val="0"/>
        </w:rPr>
      </w:r>
    </w:p>
    <w:p w:rsidR="00000000" w:rsidDel="00000000" w:rsidP="00000000" w:rsidRDefault="00000000" w:rsidRPr="00000000" w14:paraId="0000012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Rhodes, M.A., 2021. The absent presence of Paul Robeson in Wales: Appropriation and philosophical disconnects in the memorial landscape. </w:t>
      </w:r>
      <w:hyperlink r:id="rId36">
        <w:r w:rsidDel="00000000" w:rsidR="00000000" w:rsidRPr="00000000">
          <w:rPr>
            <w:rFonts w:ascii="Times New Roman" w:cs="Times New Roman" w:eastAsia="Times New Roman" w:hAnsi="Times New Roman"/>
            <w:i w:val="1"/>
            <w:sz w:val="24"/>
            <w:szCs w:val="24"/>
            <w:highlight w:val="white"/>
            <w:rtl w:val="0"/>
          </w:rPr>
          <w:t xml:space="preserve">Transactions of the Institute of British Geographers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46</w:t>
      </w:r>
      <w:r w:rsidDel="00000000" w:rsidR="00000000" w:rsidRPr="00000000">
        <w:rPr>
          <w:rFonts w:ascii="Times New Roman" w:cs="Times New Roman" w:eastAsia="Times New Roman" w:hAnsi="Times New Roman"/>
          <w:sz w:val="24"/>
          <w:szCs w:val="24"/>
          <w:highlight w:val="white"/>
          <w:rtl w:val="0"/>
        </w:rPr>
        <w:t xml:space="preserve">(3), pp.763-779.</w:t>
      </w:r>
      <w:r w:rsidDel="00000000" w:rsidR="00000000" w:rsidRPr="00000000">
        <w:rPr>
          <w:rtl w:val="0"/>
        </w:rPr>
      </w:r>
    </w:p>
    <w:p w:rsidR="00000000" w:rsidDel="00000000" w:rsidP="00000000" w:rsidRDefault="00000000" w:rsidRPr="00000000" w14:paraId="0000012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Riches, S., 2024. </w:t>
      </w:r>
      <w:hyperlink r:id="rId37">
        <w:r w:rsidDel="00000000" w:rsidR="00000000" w:rsidRPr="00000000">
          <w:rPr>
            <w:rFonts w:ascii="Times New Roman" w:cs="Times New Roman" w:eastAsia="Times New Roman" w:hAnsi="Times New Roman"/>
            <w:i w:val="1"/>
            <w:sz w:val="24"/>
            <w:szCs w:val="24"/>
            <w:highlight w:val="white"/>
            <w:rtl w:val="0"/>
          </w:rPr>
          <w:t xml:space="preserve">Britain-Culture Smart!: The Essential Guide to Customs &amp; Culture</w:t>
        </w:r>
      </w:hyperlink>
      <w:r w:rsidDel="00000000" w:rsidR="00000000" w:rsidRPr="00000000">
        <w:rPr>
          <w:rFonts w:ascii="Times New Roman" w:cs="Times New Roman" w:eastAsia="Times New Roman" w:hAnsi="Times New Roman"/>
          <w:sz w:val="24"/>
          <w:szCs w:val="24"/>
          <w:highlight w:val="white"/>
          <w:rtl w:val="0"/>
        </w:rPr>
        <w:t xml:space="preserve">. Kuperard.</w:t>
      </w:r>
      <w:r w:rsidDel="00000000" w:rsidR="00000000" w:rsidRPr="00000000">
        <w:rPr>
          <w:rtl w:val="0"/>
        </w:rPr>
      </w:r>
    </w:p>
    <w:p w:rsidR="00000000" w:rsidDel="00000000" w:rsidP="00000000" w:rsidRDefault="00000000" w:rsidRPr="00000000" w14:paraId="0000012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Rogers, T. Wynn-Moylan, P (2022) </w:t>
      </w:r>
      <w:hyperlink r:id="rId38">
        <w:r w:rsidDel="00000000" w:rsidR="00000000" w:rsidRPr="00000000">
          <w:rPr>
            <w:rFonts w:ascii="Times New Roman" w:cs="Times New Roman" w:eastAsia="Times New Roman" w:hAnsi="Times New Roman"/>
            <w:sz w:val="24"/>
            <w:szCs w:val="24"/>
            <w:highlight w:val="white"/>
            <w:rtl w:val="0"/>
          </w:rPr>
          <w:t xml:space="preserve">Conferences and conventions: a global industry.</w:t>
        </w:r>
      </w:hyperlink>
      <w:r w:rsidDel="00000000" w:rsidR="00000000" w:rsidRPr="00000000">
        <w:rPr>
          <w:rFonts w:ascii="Times New Roman" w:cs="Times New Roman" w:eastAsia="Times New Roman" w:hAnsi="Times New Roman"/>
          <w:sz w:val="24"/>
          <w:szCs w:val="24"/>
          <w:highlight w:val="white"/>
          <w:rtl w:val="0"/>
        </w:rPr>
        <w:t xml:space="preserve"> 4th Edition. Routledge: Oxford</w:t>
      </w:r>
      <w:r w:rsidDel="00000000" w:rsidR="00000000" w:rsidRPr="00000000">
        <w:rPr>
          <w:rtl w:val="0"/>
        </w:rPr>
      </w:r>
    </w:p>
    <w:p w:rsidR="00000000" w:rsidDel="00000000" w:rsidP="00000000" w:rsidRDefault="00000000" w:rsidRPr="00000000" w14:paraId="0000012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Sahel, M., 2022. People Exchange: A British Councils Post-Colonial Distinguished Cultural Investment. </w:t>
      </w:r>
      <w:hyperlink r:id="rId39">
        <w:r w:rsidDel="00000000" w:rsidR="00000000" w:rsidRPr="00000000">
          <w:rPr>
            <w:rFonts w:ascii="Times New Roman" w:cs="Times New Roman" w:eastAsia="Times New Roman" w:hAnsi="Times New Roman"/>
            <w:i w:val="1"/>
            <w:sz w:val="24"/>
            <w:szCs w:val="24"/>
            <w:highlight w:val="white"/>
            <w:rtl w:val="0"/>
          </w:rPr>
          <w:t xml:space="preserve">European Journal of Social Sciences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(2), pp.69-77.</w:t>
      </w:r>
      <w:r w:rsidDel="00000000" w:rsidR="00000000" w:rsidRPr="00000000">
        <w:rPr>
          <w:rtl w:val="0"/>
        </w:rPr>
      </w:r>
    </w:p>
    <w:p w:rsidR="00000000" w:rsidDel="00000000" w:rsidP="00000000" w:rsidRDefault="00000000" w:rsidRPr="00000000" w14:paraId="0000013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Singh, A. and Deri, M.N., 2024. Exploring the Use of Virtual and Hybrid Events for MICE Sector: Trends and Opportunities. In </w:t>
      </w:r>
      <w:hyperlink r:id="rId40">
        <w:r w:rsidDel="00000000" w:rsidR="00000000" w:rsidRPr="00000000">
          <w:rPr>
            <w:rFonts w:ascii="Times New Roman" w:cs="Times New Roman" w:eastAsia="Times New Roman" w:hAnsi="Times New Roman"/>
            <w:i w:val="1"/>
            <w:sz w:val="24"/>
            <w:szCs w:val="24"/>
            <w:highlight w:val="white"/>
            <w:rtl w:val="0"/>
          </w:rPr>
          <w:t xml:space="preserve">New Technologies in Virtual and Hybrid Events</w:t>
        </w:r>
      </w:hyperlink>
      <w:r w:rsidDel="00000000" w:rsidR="00000000" w:rsidRPr="00000000">
        <w:rPr>
          <w:rFonts w:ascii="Times New Roman" w:cs="Times New Roman" w:eastAsia="Times New Roman" w:hAnsi="Times New Roman"/>
          <w:sz w:val="24"/>
          <w:szCs w:val="24"/>
          <w:highlight w:val="white"/>
          <w:rtl w:val="0"/>
        </w:rPr>
        <w:t xml:space="preserve"> (pp. 47-70). IGI Global.</w:t>
      </w:r>
      <w:r w:rsidDel="00000000" w:rsidR="00000000" w:rsidRPr="00000000">
        <w:rPr>
          <w:rtl w:val="0"/>
        </w:rPr>
      </w:r>
    </w:p>
    <w:p w:rsidR="00000000" w:rsidDel="00000000" w:rsidP="00000000" w:rsidRDefault="00000000" w:rsidRPr="00000000" w14:paraId="0000013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Smith, A. (2012) Events and urban regeneration: </w:t>
      </w:r>
      <w:hyperlink r:id="rId41">
        <w:r w:rsidDel="00000000" w:rsidR="00000000" w:rsidRPr="00000000">
          <w:rPr>
            <w:rFonts w:ascii="Times New Roman" w:cs="Times New Roman" w:eastAsia="Times New Roman" w:hAnsi="Times New Roman"/>
            <w:sz w:val="24"/>
            <w:szCs w:val="24"/>
            <w:highlight w:val="white"/>
            <w:rtl w:val="0"/>
          </w:rPr>
          <w:t xml:space="preserve">the strategic use of events to revitalise cities</w:t>
        </w:r>
      </w:hyperlink>
      <w:r w:rsidDel="00000000" w:rsidR="00000000" w:rsidRPr="00000000">
        <w:rPr>
          <w:rFonts w:ascii="Times New Roman" w:cs="Times New Roman" w:eastAsia="Times New Roman" w:hAnsi="Times New Roman"/>
          <w:sz w:val="24"/>
          <w:szCs w:val="24"/>
          <w:highlight w:val="white"/>
          <w:rtl w:val="0"/>
        </w:rPr>
        <w:t xml:space="preserve">. Routledge: Oxford</w:t>
      </w:r>
      <w:r w:rsidDel="00000000" w:rsidR="00000000" w:rsidRPr="00000000">
        <w:rPr>
          <w:rtl w:val="0"/>
        </w:rPr>
      </w:r>
    </w:p>
    <w:p w:rsidR="00000000" w:rsidDel="00000000" w:rsidP="00000000" w:rsidRDefault="00000000" w:rsidRPr="00000000" w14:paraId="0000013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Statista, 2024, </w:t>
      </w:r>
      <w:r w:rsidDel="00000000" w:rsidR="00000000" w:rsidRPr="00000000">
        <w:rPr>
          <w:rFonts w:ascii="Times New Roman" w:cs="Times New Roman" w:eastAsia="Times New Roman" w:hAnsi="Times New Roman"/>
          <w:i w:val="1"/>
          <w:sz w:val="24"/>
          <w:szCs w:val="24"/>
          <w:highlight w:val="white"/>
          <w:rtl w:val="0"/>
        </w:rPr>
        <w:t xml:space="preserve">UK economy, </w:t>
      </w:r>
      <w:r w:rsidDel="00000000" w:rsidR="00000000" w:rsidRPr="00000000">
        <w:rPr>
          <w:rFonts w:ascii="Times New Roman" w:cs="Times New Roman" w:eastAsia="Times New Roman" w:hAnsi="Times New Roman"/>
          <w:sz w:val="24"/>
          <w:szCs w:val="24"/>
          <w:highlight w:val="white"/>
          <w:rtl w:val="0"/>
        </w:rPr>
        <w:t xml:space="preserve">Available at: </w:t>
      </w:r>
      <w:hyperlink r:id="rId42">
        <w:r w:rsidDel="00000000" w:rsidR="00000000" w:rsidRPr="00000000">
          <w:rPr>
            <w:rFonts w:ascii="Times New Roman" w:cs="Times New Roman" w:eastAsia="Times New Roman" w:hAnsi="Times New Roman"/>
            <w:sz w:val="24"/>
            <w:szCs w:val="24"/>
            <w:rtl w:val="0"/>
          </w:rPr>
          <w:t xml:space="preserve">https://www.statista.com/topics/3795/gdp-of-the-uk/</w:t>
        </w:r>
      </w:hyperlink>
      <w:r w:rsidDel="00000000" w:rsidR="00000000" w:rsidRPr="00000000">
        <w:rPr>
          <w:rFonts w:ascii="Times New Roman" w:cs="Times New Roman" w:eastAsia="Times New Roman" w:hAnsi="Times New Roman"/>
          <w:sz w:val="24"/>
          <w:szCs w:val="24"/>
          <w:highlight w:val="white"/>
          <w:rtl w:val="0"/>
        </w:rPr>
        <w:t xml:space="preserve"> [Accessed on 03.05.2025]</w:t>
      </w:r>
      <w:r w:rsidDel="00000000" w:rsidR="00000000" w:rsidRPr="00000000">
        <w:rPr>
          <w:rtl w:val="0"/>
        </w:rPr>
      </w:r>
    </w:p>
    <w:p w:rsidR="00000000" w:rsidDel="00000000" w:rsidP="00000000" w:rsidRDefault="00000000" w:rsidRPr="00000000" w14:paraId="0000013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Stoica, M., 2024. Visual merchandising across cultures. In </w:t>
      </w:r>
      <w:hyperlink r:id="rId43">
        <w:r w:rsidDel="00000000" w:rsidR="00000000" w:rsidRPr="00000000">
          <w:rPr>
            <w:rFonts w:ascii="Times New Roman" w:cs="Times New Roman" w:eastAsia="Times New Roman" w:hAnsi="Times New Roman"/>
            <w:i w:val="1"/>
            <w:sz w:val="24"/>
            <w:szCs w:val="24"/>
            <w:highlight w:val="white"/>
            <w:rtl w:val="0"/>
          </w:rPr>
          <w:t xml:space="preserve">Modern paradigms in the development of the national and world economy</w:t>
        </w:r>
      </w:hyperlink>
      <w:r w:rsidDel="00000000" w:rsidR="00000000" w:rsidRPr="00000000">
        <w:rPr>
          <w:rFonts w:ascii="Times New Roman" w:cs="Times New Roman" w:eastAsia="Times New Roman" w:hAnsi="Times New Roman"/>
          <w:sz w:val="24"/>
          <w:szCs w:val="24"/>
          <w:highlight w:val="white"/>
          <w:rtl w:val="0"/>
        </w:rPr>
        <w:t xml:space="preserve"> (pp. 82-89).</w:t>
      </w:r>
      <w:r w:rsidDel="00000000" w:rsidR="00000000" w:rsidRPr="00000000">
        <w:rPr>
          <w:rtl w:val="0"/>
        </w:rPr>
      </w:r>
    </w:p>
    <w:p w:rsidR="00000000" w:rsidDel="00000000" w:rsidP="00000000" w:rsidRDefault="00000000" w:rsidRPr="00000000" w14:paraId="0000013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Tesseur, W., 2021. Translation as inclusion? An analysis of international NGOs’ translation policy documents. </w:t>
      </w:r>
      <w:hyperlink r:id="rId44">
        <w:r w:rsidDel="00000000" w:rsidR="00000000" w:rsidRPr="00000000">
          <w:rPr>
            <w:rFonts w:ascii="Times New Roman" w:cs="Times New Roman" w:eastAsia="Times New Roman" w:hAnsi="Times New Roman"/>
            <w:i w:val="1"/>
            <w:sz w:val="24"/>
            <w:szCs w:val="24"/>
            <w:highlight w:val="white"/>
            <w:rtl w:val="0"/>
          </w:rPr>
          <w:t xml:space="preserve">Language Problems and Language Planning</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45</w:t>
      </w:r>
      <w:r w:rsidDel="00000000" w:rsidR="00000000" w:rsidRPr="00000000">
        <w:rPr>
          <w:rFonts w:ascii="Times New Roman" w:cs="Times New Roman" w:eastAsia="Times New Roman" w:hAnsi="Times New Roman"/>
          <w:sz w:val="24"/>
          <w:szCs w:val="24"/>
          <w:highlight w:val="white"/>
          <w:rtl w:val="0"/>
        </w:rPr>
        <w:t xml:space="preserve">(3), pp.261-283.</w:t>
      </w:r>
      <w:r w:rsidDel="00000000" w:rsidR="00000000" w:rsidRPr="00000000">
        <w:rPr>
          <w:rtl w:val="0"/>
        </w:rPr>
      </w:r>
    </w:p>
    <w:p w:rsidR="00000000" w:rsidDel="00000000" w:rsidP="00000000" w:rsidRDefault="00000000" w:rsidRPr="00000000" w14:paraId="0000013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Tomar, S., Baker, H.K., Kumar, S. and Hoffmann, A.O., 2021. Psychological determinants of retirement financial planning behaviour.</w:t>
      </w:r>
      <w:hyperlink r:id="rId45">
        <w:r w:rsidDel="00000000" w:rsidR="00000000" w:rsidRPr="00000000">
          <w:rPr>
            <w:rFonts w:ascii="Times New Roman" w:cs="Times New Roman" w:eastAsia="Times New Roman" w:hAnsi="Times New Roman"/>
            <w:sz w:val="24"/>
            <w:szCs w:val="24"/>
            <w:highlight w:val="white"/>
            <w:rtl w:val="0"/>
          </w:rPr>
          <w:t xml:space="preserve"> </w:t>
        </w:r>
      </w:hyperlink>
      <w:hyperlink r:id="rId46">
        <w:r w:rsidDel="00000000" w:rsidR="00000000" w:rsidRPr="00000000">
          <w:rPr>
            <w:rFonts w:ascii="Times New Roman" w:cs="Times New Roman" w:eastAsia="Times New Roman" w:hAnsi="Times New Roman"/>
            <w:i w:val="1"/>
            <w:sz w:val="24"/>
            <w:szCs w:val="24"/>
            <w:highlight w:val="white"/>
            <w:rtl w:val="0"/>
          </w:rPr>
          <w:t xml:space="preserve">Journal of Business Research</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133</w:t>
      </w:r>
      <w:r w:rsidDel="00000000" w:rsidR="00000000" w:rsidRPr="00000000">
        <w:rPr>
          <w:rFonts w:ascii="Times New Roman" w:cs="Times New Roman" w:eastAsia="Times New Roman" w:hAnsi="Times New Roman"/>
          <w:sz w:val="24"/>
          <w:szCs w:val="24"/>
          <w:highlight w:val="white"/>
          <w:rtl w:val="0"/>
        </w:rPr>
        <w:t xml:space="preserve">, pp.432-449.</w:t>
      </w:r>
      <w:r w:rsidDel="00000000" w:rsidR="00000000" w:rsidRPr="00000000">
        <w:rPr>
          <w:rtl w:val="0"/>
        </w:rPr>
      </w:r>
    </w:p>
    <w:p w:rsidR="00000000" w:rsidDel="00000000" w:rsidP="00000000" w:rsidRDefault="00000000" w:rsidRPr="00000000" w14:paraId="0000013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Wee, H., Mustapha, N.A. and Anas, M.S., 2021. Characteristic of green event practices in mice tourism: a systematic literature review. </w:t>
      </w:r>
      <w:hyperlink r:id="rId47">
        <w:r w:rsidDel="00000000" w:rsidR="00000000" w:rsidRPr="00000000">
          <w:rPr>
            <w:rFonts w:ascii="Times New Roman" w:cs="Times New Roman" w:eastAsia="Times New Roman" w:hAnsi="Times New Roman"/>
            <w:i w:val="1"/>
            <w:sz w:val="24"/>
            <w:szCs w:val="24"/>
            <w:highlight w:val="white"/>
            <w:rtl w:val="0"/>
          </w:rPr>
          <w:t xml:space="preserve">International Journal of Academic Research in Business and Social Sciences</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(16), pp.271-291.</w:t>
      </w:r>
      <w:r w:rsidDel="00000000" w:rsidR="00000000" w:rsidRPr="00000000">
        <w:rPr>
          <w:rtl w:val="0"/>
        </w:rPr>
      </w:r>
    </w:p>
    <w:p w:rsidR="00000000" w:rsidDel="00000000" w:rsidP="00000000" w:rsidRDefault="00000000" w:rsidRPr="00000000" w14:paraId="0000013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Xue, D., 2024. A study of evolution of film marketing in the digital age. In </w:t>
      </w:r>
      <w:hyperlink r:id="rId48">
        <w:r w:rsidDel="00000000" w:rsidR="00000000" w:rsidRPr="00000000">
          <w:rPr>
            <w:rFonts w:ascii="Times New Roman" w:cs="Times New Roman" w:eastAsia="Times New Roman" w:hAnsi="Times New Roman"/>
            <w:i w:val="1"/>
            <w:sz w:val="24"/>
            <w:szCs w:val="24"/>
            <w:highlight w:val="white"/>
            <w:rtl w:val="0"/>
          </w:rPr>
          <w:t xml:space="preserve">SHS Web of Conferences</w:t>
        </w:r>
      </w:hyperlink>
      <w:r w:rsidDel="00000000" w:rsidR="00000000" w:rsidRPr="00000000">
        <w:rPr>
          <w:rFonts w:ascii="Times New Roman" w:cs="Times New Roman" w:eastAsia="Times New Roman" w:hAnsi="Times New Roman"/>
          <w:sz w:val="24"/>
          <w:szCs w:val="24"/>
          <w:highlight w:val="white"/>
          <w:rtl w:val="0"/>
        </w:rPr>
        <w:t xml:space="preserve"> (Vol. 193, p. 04003). EDP Sciences.</w:t>
      </w:r>
      <w:r w:rsidDel="00000000" w:rsidR="00000000" w:rsidRPr="00000000">
        <w:rPr>
          <w:rtl w:val="0"/>
        </w:rPr>
      </w:r>
    </w:p>
    <w:p w:rsidR="00000000" w:rsidDel="00000000" w:rsidP="00000000" w:rsidRDefault="00000000" w:rsidRPr="00000000" w14:paraId="0000013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Yang, Y. and Hong, L., 2023. Emergency Volunteer Participation in the Evolutionary Game of Public Security Governance under Community Incentives. </w:t>
      </w:r>
      <w:r w:rsidDel="00000000" w:rsidR="00000000" w:rsidRPr="00000000">
        <w:rPr>
          <w:rFonts w:ascii="Times New Roman" w:cs="Times New Roman" w:eastAsia="Times New Roman" w:hAnsi="Times New Roman"/>
          <w:i w:val="1"/>
          <w:sz w:val="24"/>
          <w:szCs w:val="24"/>
          <w:highlight w:val="white"/>
          <w:rtl w:val="0"/>
        </w:rPr>
        <w:t xml:space="preserve">Complexity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2023</w:t>
      </w:r>
      <w:r w:rsidDel="00000000" w:rsidR="00000000" w:rsidRPr="00000000">
        <w:rPr>
          <w:rFonts w:ascii="Times New Roman" w:cs="Times New Roman" w:eastAsia="Times New Roman" w:hAnsi="Times New Roman"/>
          <w:sz w:val="24"/>
          <w:szCs w:val="24"/>
          <w:highlight w:val="white"/>
          <w:rtl w:val="0"/>
        </w:rPr>
        <w:t xml:space="preserve">(1), p.8147738.</w:t>
      </w:r>
      <w:r w:rsidDel="00000000" w:rsidR="00000000" w:rsidRPr="00000000">
        <w:rPr>
          <w:rtl w:val="0"/>
        </w:rPr>
      </w:r>
    </w:p>
    <w:p w:rsidR="00000000" w:rsidDel="00000000" w:rsidP="00000000" w:rsidRDefault="00000000" w:rsidRPr="00000000" w14:paraId="0000013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Yen, D., 2023. </w:t>
      </w:r>
      <w:hyperlink r:id="rId49">
        <w:r w:rsidDel="00000000" w:rsidR="00000000" w:rsidRPr="00000000">
          <w:rPr>
            <w:rFonts w:ascii="Times New Roman" w:cs="Times New Roman" w:eastAsia="Times New Roman" w:hAnsi="Times New Roman"/>
            <w:i w:val="1"/>
            <w:sz w:val="24"/>
            <w:szCs w:val="24"/>
            <w:highlight w:val="white"/>
            <w:rtl w:val="0"/>
          </w:rPr>
          <w:t xml:space="preserve">Leveraging folklore and fantasy to promote small destinations: the case of Visit Wales Journal of Policy Research in Tourism, Leisure and Events, 2023</w:t>
        </w:r>
      </w:hyperlink>
      <w:hyperlink r:id="rId50">
        <w:r w:rsidDel="00000000" w:rsidR="00000000" w:rsidRPr="00000000">
          <w:rPr>
            <w:rFonts w:ascii="Times New Roman" w:cs="Times New Roman" w:eastAsia="Times New Roman" w:hAnsi="Times New Roman"/>
            <w:sz w:val="24"/>
            <w:szCs w:val="24"/>
            <w:highlight w:val="white"/>
            <w:rtl w:val="0"/>
          </w:rPr>
          <w:t xml:space="preserve"> (Doctoral dissertation, Leeds Beckett University).</w:t>
        </w:r>
      </w:hyperlink>
      <w:r w:rsidDel="00000000" w:rsidR="00000000" w:rsidRPr="00000000">
        <w:rPr>
          <w:rtl w:val="0"/>
        </w:rPr>
      </w:r>
    </w:p>
    <w:p w:rsidR="00000000" w:rsidDel="00000000" w:rsidP="00000000" w:rsidRDefault="00000000" w:rsidRPr="00000000" w14:paraId="0000013A">
      <w:pP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B">
      <w:pP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line="360" w:lineRule="auto"/>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0" w:before="200" w:lineRule="auto"/>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0" w:before="200" w:lineRule="auto"/>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E1C54"/>
  </w:style>
  <w:style w:type="paragraph" w:styleId="Heading1">
    <w:name w:val="heading 1"/>
    <w:basedOn w:val="Normal"/>
    <w:next w:val="Normal"/>
    <w:link w:val="Heading1Char"/>
    <w:uiPriority w:val="9"/>
    <w:qFormat w:val="1"/>
    <w:rsid w:val="00F4498B"/>
    <w:pPr>
      <w:keepNext w:val="1"/>
      <w:keepLines w:val="1"/>
      <w:spacing w:after="0" w:before="480"/>
      <w:outlineLvl w:val="0"/>
    </w:pPr>
    <w:rPr>
      <w:rFonts w:ascii="Times New Roman" w:hAnsi="Times New Roman" w:cstheme="majorBidi" w:eastAsiaTheme="majorEastAsia"/>
      <w:b w:val="1"/>
      <w:bCs w:val="1"/>
      <w:color w:val="000000" w:themeColor="text1"/>
      <w:sz w:val="28"/>
      <w:szCs w:val="28"/>
    </w:rPr>
  </w:style>
  <w:style w:type="paragraph" w:styleId="Heading2">
    <w:name w:val="heading 2"/>
    <w:basedOn w:val="Normal"/>
    <w:next w:val="Normal"/>
    <w:link w:val="Heading2Char"/>
    <w:uiPriority w:val="9"/>
    <w:unhideWhenUsed w:val="1"/>
    <w:qFormat w:val="1"/>
    <w:rsid w:val="008463A9"/>
    <w:pPr>
      <w:keepNext w:val="1"/>
      <w:keepLines w:val="1"/>
      <w:spacing w:after="0" w:before="200"/>
      <w:outlineLvl w:val="1"/>
    </w:pPr>
    <w:rPr>
      <w:rFonts w:ascii="Times New Roman" w:hAnsi="Times New Roman" w:cstheme="majorBidi" w:eastAsiaTheme="majorEastAsia"/>
      <w:b w:val="1"/>
      <w:bCs w:val="1"/>
      <w:color w:val="000000" w:themeColor="tex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8463A9"/>
    <w:rPr>
      <w:rFonts w:ascii="Times New Roman" w:hAnsi="Times New Roman" w:cstheme="majorBidi" w:eastAsiaTheme="majorEastAsia"/>
      <w:b w:val="1"/>
      <w:bCs w:val="1"/>
      <w:color w:val="000000" w:themeColor="text1"/>
      <w:sz w:val="26"/>
      <w:szCs w:val="26"/>
    </w:rPr>
  </w:style>
  <w:style w:type="character" w:styleId="Strong">
    <w:name w:val="Strong"/>
    <w:basedOn w:val="DefaultParagraphFont"/>
    <w:uiPriority w:val="22"/>
    <w:qFormat w:val="1"/>
    <w:rsid w:val="003E1C54"/>
    <w:rPr>
      <w:b w:val="1"/>
      <w:bCs w:val="1"/>
    </w:rPr>
  </w:style>
  <w:style w:type="paragraph" w:styleId="ListParagraph">
    <w:name w:val="List Paragraph"/>
    <w:basedOn w:val="Normal"/>
    <w:uiPriority w:val="34"/>
    <w:qFormat w:val="1"/>
    <w:rsid w:val="003E1C54"/>
    <w:pPr>
      <w:ind w:left="720"/>
      <w:contextualSpacing w:val="1"/>
    </w:pPr>
  </w:style>
  <w:style w:type="character" w:styleId="Heading1Char" w:customStyle="1">
    <w:name w:val="Heading 1 Char"/>
    <w:basedOn w:val="DefaultParagraphFont"/>
    <w:link w:val="Heading1"/>
    <w:uiPriority w:val="9"/>
    <w:rsid w:val="00F4498B"/>
    <w:rPr>
      <w:rFonts w:ascii="Times New Roman" w:hAnsi="Times New Roman" w:cstheme="majorBidi" w:eastAsiaTheme="majorEastAsia"/>
      <w:b w:val="1"/>
      <w:bCs w:val="1"/>
      <w:color w:val="000000" w:themeColor="text1"/>
      <w:sz w:val="28"/>
      <w:szCs w:val="28"/>
    </w:rPr>
  </w:style>
  <w:style w:type="paragraph" w:styleId="Header">
    <w:name w:val="header"/>
    <w:basedOn w:val="Normal"/>
    <w:link w:val="HeaderChar"/>
    <w:uiPriority w:val="99"/>
    <w:semiHidden w:val="1"/>
    <w:unhideWhenUsed w:val="1"/>
    <w:rsid w:val="00F4498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val="1"/>
    <w:rsid w:val="00F4498B"/>
  </w:style>
  <w:style w:type="paragraph" w:styleId="Footer">
    <w:name w:val="footer"/>
    <w:basedOn w:val="Normal"/>
    <w:link w:val="FooterChar"/>
    <w:uiPriority w:val="99"/>
    <w:semiHidden w:val="1"/>
    <w:unhideWhenUsed w:val="1"/>
    <w:rsid w:val="00F4498B"/>
    <w:pPr>
      <w:tabs>
        <w:tab w:val="center" w:pos="4680"/>
        <w:tab w:val="right" w:pos="9360"/>
      </w:tabs>
      <w:spacing w:after="0" w:line="240" w:lineRule="auto"/>
    </w:pPr>
  </w:style>
  <w:style w:type="character" w:styleId="FooterChar" w:customStyle="1">
    <w:name w:val="Footer Char"/>
    <w:basedOn w:val="DefaultParagraphFont"/>
    <w:link w:val="Footer"/>
    <w:uiPriority w:val="99"/>
    <w:semiHidden w:val="1"/>
    <w:rsid w:val="00F4498B"/>
  </w:style>
  <w:style w:type="paragraph" w:styleId="TOCHeading">
    <w:name w:val="TOC Heading"/>
    <w:basedOn w:val="Heading1"/>
    <w:next w:val="Normal"/>
    <w:uiPriority w:val="39"/>
    <w:semiHidden w:val="1"/>
    <w:unhideWhenUsed w:val="1"/>
    <w:qFormat w:val="1"/>
    <w:rsid w:val="00F4498B"/>
    <w:pPr>
      <w:outlineLvl w:val="9"/>
    </w:pPr>
    <w:rPr>
      <w:rFonts w:asciiTheme="majorHAnsi" w:hAnsiTheme="majorHAnsi"/>
      <w:color w:val="365f91" w:themeColor="accent1" w:themeShade="0000BF"/>
    </w:rPr>
  </w:style>
  <w:style w:type="paragraph" w:styleId="TOC1">
    <w:name w:val="toc 1"/>
    <w:basedOn w:val="Normal"/>
    <w:next w:val="Normal"/>
    <w:autoRedefine w:val="1"/>
    <w:uiPriority w:val="39"/>
    <w:unhideWhenUsed w:val="1"/>
    <w:rsid w:val="00F4498B"/>
    <w:pPr>
      <w:spacing w:after="100"/>
    </w:pPr>
  </w:style>
  <w:style w:type="paragraph" w:styleId="TOC2">
    <w:name w:val="toc 2"/>
    <w:basedOn w:val="Normal"/>
    <w:next w:val="Normal"/>
    <w:autoRedefine w:val="1"/>
    <w:uiPriority w:val="39"/>
    <w:unhideWhenUsed w:val="1"/>
    <w:rsid w:val="00F4498B"/>
    <w:pPr>
      <w:spacing w:after="100"/>
      <w:ind w:left="220"/>
    </w:pPr>
  </w:style>
  <w:style w:type="character" w:styleId="Hyperlink">
    <w:name w:val="Hyperlink"/>
    <w:basedOn w:val="DefaultParagraphFont"/>
    <w:uiPriority w:val="99"/>
    <w:unhideWhenUsed w:val="1"/>
    <w:rsid w:val="00F4498B"/>
    <w:rPr>
      <w:color w:val="0000ff" w:themeColor="hyperlink"/>
      <w:u w:val="single"/>
    </w:rPr>
  </w:style>
  <w:style w:type="paragraph" w:styleId="BalloonText">
    <w:name w:val="Balloon Text"/>
    <w:basedOn w:val="Normal"/>
    <w:link w:val="BalloonTextChar"/>
    <w:uiPriority w:val="99"/>
    <w:semiHidden w:val="1"/>
    <w:unhideWhenUsed w:val="1"/>
    <w:rsid w:val="00F4498B"/>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4498B"/>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igi-global.com/book/new-technologies-virtual-hybrid-events/332240" TargetMode="External"/><Relationship Id="rId42" Type="http://schemas.openxmlformats.org/officeDocument/2006/relationships/hyperlink" Target="https://www.statista.com/topics/3795/gdp-of-the-uk/#:~:text=In%202024%2C%20the%20gross%20domestic,and%202.53%20trillion%20in%202022" TargetMode="External"/><Relationship Id="rId41" Type="http://schemas.openxmlformats.org/officeDocument/2006/relationships/hyperlink" Target="https://www.routledge.com/Events-and-Urban-Regeneration-The-Strategic-Use-of-Events-to-Revitalise-Cities/Smith/p/book/9780415581486?srsltid=AfmBOor4nBkH6WOl8KXZKhJV3Jev1NMxo5nzTX-P5BqFK8GxGziSeQrs" TargetMode="External"/><Relationship Id="rId44" Type="http://schemas.openxmlformats.org/officeDocument/2006/relationships/hyperlink" Target="https://benjamins.com/catalog/lplp?srsltid=AfmBOopJyS4ANnfR-DlhKJBbf4cqaaNpsWV-W2e9AlneeeBQfyLOgUcs" TargetMode="External"/><Relationship Id="rId43" Type="http://schemas.openxmlformats.org/officeDocument/2006/relationships/hyperlink" Target="https://fse.usm.md/cercetare/conferinta-stiintifica-internationala-paradigme-moderne-in-dezvoltarea-economiei-nationale-si-mondiale/?lang=en" TargetMode="External"/><Relationship Id="rId46" Type="http://schemas.openxmlformats.org/officeDocument/2006/relationships/hyperlink" Target="https://www.sciencedirect.com/journal/journal-of-business-research" TargetMode="External"/><Relationship Id="rId45" Type="http://schemas.openxmlformats.org/officeDocument/2006/relationships/hyperlink" Target="https://www.sciencedirect.com/journal/journal-of-business-researc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www.shs-conferences.org/" TargetMode="External"/><Relationship Id="rId47" Type="http://schemas.openxmlformats.org/officeDocument/2006/relationships/hyperlink" Target="https://hrmars.com/index.php/pages/detail/IJARBSS" TargetMode="External"/><Relationship Id="rId49" Type="http://schemas.openxmlformats.org/officeDocument/2006/relationships/hyperlink" Target="https://eprints.leedsbeckett.ac.uk/id/eprint/10396/"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https://www.emerald.com/insight/publication/issn/1758-2954" TargetMode="External"/><Relationship Id="rId30" Type="http://schemas.openxmlformats.org/officeDocument/2006/relationships/hyperlink" Target="https://www.sciencedirect.com/journal/journal-of-environmental-management" TargetMode="External"/><Relationship Id="rId33" Type="http://schemas.openxmlformats.org/officeDocument/2006/relationships/hyperlink" Target="https://www.emerald.com/insight/publication/issn/2040-8021" TargetMode="External"/><Relationship Id="rId32" Type="http://schemas.openxmlformats.org/officeDocument/2006/relationships/hyperlink" Target="https://www.emerald.com/insight/publication/issn/1758-2954" TargetMode="External"/><Relationship Id="rId35" Type="http://schemas.openxmlformats.org/officeDocument/2006/relationships/hyperlink" Target="https://www.ijhpm.com/" TargetMode="External"/><Relationship Id="rId34" Type="http://schemas.openxmlformats.org/officeDocument/2006/relationships/hyperlink" Target="https://www.routledge.com/Unpacking-Sensitive-Research-Epistemological-and-Methodological-Implications/Borgstrom-Mallon-Murphy/p/book/9781032172217?srsltid=AfmBOorJV16IEnLZic6ho0LB4-DR6KLEJBzqGvmCPIUZX9CD_wUIHt6c" TargetMode="External"/><Relationship Id="rId37" Type="http://schemas.openxmlformats.org/officeDocument/2006/relationships/hyperlink" Target="https://www.amazon.com/Britain-Culture-Smart-Essential-Customs/dp/1857337158" TargetMode="External"/><Relationship Id="rId36" Type="http://schemas.openxmlformats.org/officeDocument/2006/relationships/hyperlink" Target="https://rgs-ibg.onlinelibrary.wiley.com/journal/14755661" TargetMode="External"/><Relationship Id="rId39" Type="http://schemas.openxmlformats.org/officeDocument/2006/relationships/hyperlink" Target="http://europeanjournalofsocialsciences.com/" TargetMode="External"/><Relationship Id="rId38" Type="http://schemas.openxmlformats.org/officeDocument/2006/relationships/hyperlink" Target="https://www.routledge.com/Conferences-and-Conventions-A-Global-Industry/Rogers-Wynn-Moylan/p/book/9781032288802?srsltid=AfmBOoqjjQv2cgwfXMgte6HH-IWSPnhfGCPnuh26vK9KOiD4Clh-WrZB" TargetMode="External"/><Relationship Id="rId20" Type="http://schemas.openxmlformats.org/officeDocument/2006/relationships/hyperlink" Target="https://www.igi-global.com/chapter/cultural-and-heritage-tourism-trends-for-sustainable-tourism/352354" TargetMode="External"/><Relationship Id="rId22" Type="http://schemas.openxmlformats.org/officeDocument/2006/relationships/hyperlink" Target="https://library.iated.org/publications/EDULEARN24" TargetMode="External"/><Relationship Id="rId21" Type="http://schemas.openxmlformats.org/officeDocument/2006/relationships/hyperlink" Target="https://www.tandfonline.com/journals/iidt20" TargetMode="External"/><Relationship Id="rId24" Type="http://schemas.openxmlformats.org/officeDocument/2006/relationships/hyperlink" Target="https://onlinelibrary.wiley.com/journal/15353966" TargetMode="External"/><Relationship Id="rId23" Type="http://schemas.openxmlformats.org/officeDocument/2006/relationships/hyperlink" Target="https://www.routledge.com/Managing-Visitor-Attractions/Fyall-Garrod-Leask-Wanhill/p/book/9780367486136?srsltid=AfmBOooYYdGGM0ww0OWIqn9ORfOxHBxYeAwHV8BWeCrGX9zHSjSoeCzV" TargetMode="External"/><Relationship Id="rId26" Type="http://schemas.openxmlformats.org/officeDocument/2006/relationships/hyperlink" Target="https://www.emerald.com/insight/publication/issn/1742-2043" TargetMode="External"/><Relationship Id="rId25" Type="http://schemas.openxmlformats.org/officeDocument/2006/relationships/hyperlink" Target="https://www.researchgate.net/publication/377852529_Spatial_Analysis_of_Seasonal_and_Trend_Patterns_in_Romanian_Agritourism_Arrivals_Using_Seasonal-Trend_Decomposition_Using_LOESS" TargetMode="External"/><Relationship Id="rId28" Type="http://schemas.openxmlformats.org/officeDocument/2006/relationships/hyperlink" Target="https://www.sciencedirect.com/journal/business-horizons" TargetMode="External"/><Relationship Id="rId27" Type="http://schemas.openxmlformats.org/officeDocument/2006/relationships/hyperlink" Target="https://www.emerald.com/insight/publication/issn/1742-2043" TargetMode="External"/><Relationship Id="rId29" Type="http://schemas.openxmlformats.org/officeDocument/2006/relationships/hyperlink" Target="https://uk.sagepub.com/en-gb/eur/marketing-for-tourism-hospitality-events/book286380" TargetMode="External"/><Relationship Id="rId50" Type="http://schemas.openxmlformats.org/officeDocument/2006/relationships/hyperlink" Target="https://eprints.leedsbeckett.ac.uk/id/eprint/10396/" TargetMode="External"/><Relationship Id="rId11" Type="http://schemas.openxmlformats.org/officeDocument/2006/relationships/hyperlink" Target="https://www.macrothink.org/journal/index.php/ijssr" TargetMode="External"/><Relationship Id="rId10" Type="http://schemas.openxmlformats.org/officeDocument/2006/relationships/image" Target="media/image1.png"/><Relationship Id="rId13" Type="http://schemas.openxmlformats.org/officeDocument/2006/relationships/hyperlink" Target="https://www.emerald.com/insight/publication/issn/1758-2954" TargetMode="External"/><Relationship Id="rId12" Type="http://schemas.openxmlformats.org/officeDocument/2006/relationships/hyperlink" Target="https://www.emerald.com/insight/publication/issn/1758-2954" TargetMode="External"/><Relationship Id="rId15" Type="http://schemas.openxmlformats.org/officeDocument/2006/relationships/hyperlink" Target="https://dl.acm.org/doi/proceedings/10.1145/3664476" TargetMode="External"/><Relationship Id="rId14" Type="http://schemas.openxmlformats.org/officeDocument/2006/relationships/hyperlink" Target="https://ijbnpa.biomedcentral.com/" TargetMode="External"/><Relationship Id="rId17" Type="http://schemas.openxmlformats.org/officeDocument/2006/relationships/hyperlink" Target="https://www.researchgate.net/publication/257230635_Emergency_Preparedness_for_Disasters_and_Crises_in_the_Hotel_Industry" TargetMode="External"/><Relationship Id="rId16" Type="http://schemas.openxmlformats.org/officeDocument/2006/relationships/hyperlink" Target="https://dl.acm.org/doi/proceedings/10.1145/3664476" TargetMode="External"/><Relationship Id="rId19" Type="http://schemas.openxmlformats.org/officeDocument/2006/relationships/hyperlink" Target="https://www.igi-global.com/chapter/cultural-and-heritage-tourism-trends-for-sustainable-tourism/352354" TargetMode="External"/><Relationship Id="rId18" Type="http://schemas.openxmlformats.org/officeDocument/2006/relationships/hyperlink" Target="https://www.researchgate.net/publication/257230635_Emergency_Preparedness_for_Disasters_and_Crises_in_the_Hotel_Indust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AzbL3CZ32dQp8hxi2h8h+RrTg==">CgMxLjAyDmguZDN6cTRpbG1wMmtmMg5oLnQ4dm0yNW91c3duMzIOaC5vb2h5Y202djEzaTQyDmguNGE2dG1ldnQ5N3AzMg5oLjdrOTloaW5vZDJ2eDIOaC5hOGNhY3JqdWMwZTQyDmguOWQyMzdhNTg0NG9oMg5oLnQ2NHFucWRiOGV5MDIOaC5kcmR6am52YmlyemYyDmguNnFraDN0cGV4aTA4Mg5oLnlwMG01c2todXo2djIOaC5mbHg3aWQzMjkxbDcyDmguNHlqMmZsd2NqYTNrOAByITEzTTNiaXVvU3R3ODd3c1hEb3JYUGphR2dZVmVZVVYyS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2025-05-03T18:38:00Z</dcterms:created>
  <dc:creator>Ionel Babache</dc:creator>
</cp:coreProperties>
</file>