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145DED" w14:textId="1531212A" w:rsidR="00E864D0" w:rsidRDefault="00A4328C" w:rsidP="00A4328C">
      <w:pPr>
        <w:jc w:val="center"/>
      </w:pPr>
      <w:r w:rsidRPr="00A4328C">
        <w:rPr>
          <w:u w:val="single"/>
        </w:rPr>
        <w:t xml:space="preserve">An analysis of the motivations of Hector and Achilles in the build up to their combat in Book 22 of </w:t>
      </w:r>
      <w:r w:rsidRPr="00A4328C">
        <w:rPr>
          <w:i/>
          <w:u w:val="single"/>
        </w:rPr>
        <w:t>The Iliad</w:t>
      </w:r>
    </w:p>
    <w:p w14:paraId="6DF6F706" w14:textId="792864C0" w:rsidR="00A4328C" w:rsidRDefault="00A4328C" w:rsidP="00C11DBF"/>
    <w:p w14:paraId="4791E31A" w14:textId="02645999" w:rsidR="008E7DF5" w:rsidRPr="008E7DF5" w:rsidRDefault="00117E3A" w:rsidP="00A15A53">
      <w:r>
        <w:t>This</w:t>
      </w:r>
      <w:r w:rsidR="00F40284">
        <w:t xml:space="preserve"> essay will analyse the motivations of Achilles and Hector in </w:t>
      </w:r>
      <w:r w:rsidR="00F40284">
        <w:rPr>
          <w:i/>
        </w:rPr>
        <w:t>The Death of Hector</w:t>
      </w:r>
      <w:r w:rsidR="00F40284">
        <w:t xml:space="preserve">, book 22 of </w:t>
      </w:r>
      <w:r w:rsidR="00F40284">
        <w:rPr>
          <w:i/>
        </w:rPr>
        <w:t>The Iliad</w:t>
      </w:r>
      <w:r w:rsidR="00F40284">
        <w:t xml:space="preserve"> and examine how these motivations lead them into the combat which results in Hector’s death.</w:t>
      </w:r>
      <w:r>
        <w:t xml:space="preserve"> Arieti, Dodds, and Farron will be considered in order to analyse Hector and Achilles’ emotions and motivations. Both Achilles and Hector have strong motivations to fight each other, and this essay identifies three primary motivations for each character. Achilles’ main motivations are his </w:t>
      </w:r>
      <w:r>
        <w:rPr>
          <w:i/>
        </w:rPr>
        <w:t>aidos</w:t>
      </w:r>
      <w:r>
        <w:t xml:space="preserve"> (shame), his </w:t>
      </w:r>
      <w:r>
        <w:rPr>
          <w:i/>
        </w:rPr>
        <w:t>menis</w:t>
      </w:r>
      <w:r>
        <w:t xml:space="preserve"> (anger/wrath) a</w:t>
      </w:r>
      <w:r w:rsidR="008E7DF5">
        <w:t>n</w:t>
      </w:r>
      <w:r>
        <w:t>d his need for revenge. Hector’s main moti</w:t>
      </w:r>
      <w:r w:rsidR="00A15A53">
        <w:t>vations are his sense o</w:t>
      </w:r>
      <w:r w:rsidR="006555F4">
        <w:t xml:space="preserve">f </w:t>
      </w:r>
      <w:r w:rsidR="006555F4">
        <w:rPr>
          <w:i/>
        </w:rPr>
        <w:t>oikos</w:t>
      </w:r>
      <w:r w:rsidR="008F0FAC">
        <w:t xml:space="preserve"> (duty)</w:t>
      </w:r>
      <w:r w:rsidR="00A15A53">
        <w:t xml:space="preserve">, for his city and his family; his </w:t>
      </w:r>
      <w:r w:rsidR="00A15A53" w:rsidRPr="00072367">
        <w:rPr>
          <w:i/>
        </w:rPr>
        <w:t>timē</w:t>
      </w:r>
      <w:r w:rsidR="00A15A53">
        <w:rPr>
          <w:i/>
        </w:rPr>
        <w:t xml:space="preserve"> </w:t>
      </w:r>
      <w:r w:rsidR="00A15A53">
        <w:t>(honour) and his fear.</w:t>
      </w:r>
      <w:r w:rsidR="008E7DF5">
        <w:t xml:space="preserve"> </w:t>
      </w:r>
      <w:r w:rsidR="00A15A53">
        <w:t xml:space="preserve">An analysis of the motivations of Hector and Achilles within Book 22 helps to increase understanding of the text of </w:t>
      </w:r>
      <w:r w:rsidR="00A15A53">
        <w:rPr>
          <w:i/>
        </w:rPr>
        <w:t>The Iliad</w:t>
      </w:r>
      <w:r w:rsidR="00A15A53">
        <w:t xml:space="preserve"> as a whole</w:t>
      </w:r>
      <w:r w:rsidR="008E7DF5">
        <w:t>,</w:t>
      </w:r>
      <w:r w:rsidR="00A15A53">
        <w:t xml:space="preserve"> as both Hector and Achilles are symbols of the city or state they individually represent. Although this essay focuses on book 22, </w:t>
      </w:r>
      <w:r w:rsidR="008E7DF5">
        <w:t xml:space="preserve">some </w:t>
      </w:r>
      <w:r w:rsidR="00A15A53">
        <w:t xml:space="preserve">other books within </w:t>
      </w:r>
      <w:r w:rsidR="00A15A53">
        <w:rPr>
          <w:i/>
        </w:rPr>
        <w:t>The Iliad</w:t>
      </w:r>
      <w:r w:rsidR="00A15A53">
        <w:t xml:space="preserve"> will be referred to as they contain the foreshadowing of the motivations of Achilles and Hector in the lead up to their eventual combat.</w:t>
      </w:r>
      <w:r w:rsidR="008E7DF5">
        <w:t xml:space="preserve"> </w:t>
      </w:r>
      <w:r w:rsidR="00A15A53">
        <w:t xml:space="preserve">This essay will also examine the differences in their motivations and values within the narrative. Whilst Achilles’ motivations are more individualistic, and based around him getting revenge for the death of Patroclus, Hector’s motivations are based on values, such as cooperation and the protection of his city and love for his family. </w:t>
      </w:r>
      <w:r w:rsidR="008E7DF5">
        <w:t xml:space="preserve">Contributions from Schein, Feeney and De Jong will be included in order to further consider the structural aspects of </w:t>
      </w:r>
      <w:r w:rsidR="008E7DF5">
        <w:rPr>
          <w:i/>
        </w:rPr>
        <w:t>The Iliad</w:t>
      </w:r>
      <w:r w:rsidR="008E7DF5">
        <w:t xml:space="preserve"> such as the ring cycle, and how Hector and Achilles’ motivations are integral to the linear narrative of the poem.</w:t>
      </w:r>
    </w:p>
    <w:p w14:paraId="4A5C8B5F" w14:textId="5B5B8743" w:rsidR="00BF454E" w:rsidRDefault="00BF454E" w:rsidP="00A15A53"/>
    <w:p w14:paraId="616107AE" w14:textId="1C7FA4FB" w:rsidR="00BF454E" w:rsidRDefault="00904C53" w:rsidP="00A15A53">
      <w:r>
        <w:t xml:space="preserve">Whilst the combat between Hector and Achilles takes place in </w:t>
      </w:r>
      <w:r w:rsidR="008E7DF5">
        <w:t>b</w:t>
      </w:r>
      <w:r>
        <w:t xml:space="preserve">ook 22 of </w:t>
      </w:r>
      <w:r>
        <w:rPr>
          <w:i/>
        </w:rPr>
        <w:t>The Iliad</w:t>
      </w:r>
      <w:r>
        <w:t>, the motivations for Achilles in this combat begin when he is told that Patroclus has been killed,</w:t>
      </w:r>
      <w:r>
        <w:rPr>
          <w:rStyle w:val="FootnoteReference"/>
        </w:rPr>
        <w:footnoteReference w:id="1"/>
      </w:r>
      <w:r>
        <w:t xml:space="preserve"> after which he decides to re-join the fighting to gain revenge for his beloved cousin.</w:t>
      </w:r>
      <w:r>
        <w:rPr>
          <w:rStyle w:val="FootnoteReference"/>
        </w:rPr>
        <w:footnoteReference w:id="2"/>
      </w:r>
      <w:r>
        <w:t xml:space="preserve"> It is at this point that Achilles expresses </w:t>
      </w:r>
      <w:r>
        <w:rPr>
          <w:i/>
        </w:rPr>
        <w:t>aidos</w:t>
      </w:r>
      <w:r>
        <w:t xml:space="preserve"> for what has happened, blaming himself, not just for Patroclus’ death,</w:t>
      </w:r>
      <w:r>
        <w:rPr>
          <w:rStyle w:val="FootnoteReference"/>
        </w:rPr>
        <w:footnoteReference w:id="3"/>
      </w:r>
      <w:r>
        <w:t xml:space="preserve"> but also the deaths of his other c</w:t>
      </w:r>
      <w:r w:rsidR="003B594A">
        <w:t>o</w:t>
      </w:r>
      <w:r>
        <w:t>mrades.</w:t>
      </w:r>
      <w:r>
        <w:rPr>
          <w:rStyle w:val="FootnoteReference"/>
        </w:rPr>
        <w:footnoteReference w:id="4"/>
      </w:r>
      <w:r w:rsidR="003B594A">
        <w:t xml:space="preserve"> He sees Patroclus’ death as a consequence of his argument with Agamemnon.</w:t>
      </w:r>
      <w:r w:rsidR="003B594A">
        <w:rPr>
          <w:rStyle w:val="FootnoteReference"/>
        </w:rPr>
        <w:footnoteReference w:id="5"/>
      </w:r>
      <w:r w:rsidR="003B594A">
        <w:t xml:space="preserve"> One of Achilles’ main motivations is </w:t>
      </w:r>
      <w:r w:rsidR="003B594A">
        <w:rPr>
          <w:i/>
        </w:rPr>
        <w:t>aidos</w:t>
      </w:r>
      <w:r w:rsidR="003B594A">
        <w:t>, which is translated as shame. In this context it is shame rather than guilt that Arieti claims Achilles is facing,</w:t>
      </w:r>
      <w:r w:rsidR="003B594A">
        <w:rPr>
          <w:rStyle w:val="FootnoteReference"/>
        </w:rPr>
        <w:footnoteReference w:id="6"/>
      </w:r>
      <w:r w:rsidR="003B594A">
        <w:t xml:space="preserve"> as can be seen from Dodds’ interpretation of the Homeric society as a ‘shame-culture’ rather than a ‘guilt-culture’.</w:t>
      </w:r>
      <w:r w:rsidR="003B594A">
        <w:rPr>
          <w:rStyle w:val="FootnoteReference"/>
        </w:rPr>
        <w:footnoteReference w:id="7"/>
      </w:r>
      <w:r w:rsidR="003B594A">
        <w:t xml:space="preserve"> A reader of </w:t>
      </w:r>
      <w:r w:rsidR="003B594A">
        <w:rPr>
          <w:i/>
        </w:rPr>
        <w:t>The Iliad</w:t>
      </w:r>
      <w:r w:rsidR="003B594A">
        <w:t xml:space="preserve"> from a contemporary perspective might be tempted to confuse the </w:t>
      </w:r>
      <w:r w:rsidR="003B594A">
        <w:rPr>
          <w:i/>
        </w:rPr>
        <w:t>aidos</w:t>
      </w:r>
      <w:r w:rsidR="003B594A">
        <w:t xml:space="preserve"> that Achilles is expressing with guilt, and indeed at this turning point Arieti considers that Achilles rejects the entire shame-culture of the society and therefore is feeling guilt rather than shame.</w:t>
      </w:r>
      <w:r w:rsidR="003B594A">
        <w:rPr>
          <w:rStyle w:val="FootnoteReference"/>
        </w:rPr>
        <w:footnoteReference w:id="8"/>
      </w:r>
      <w:r w:rsidR="003B594A">
        <w:t xml:space="preserve"> However, as Hooker extrapolates Dodds’ theory: the “society depicted by Homer knew nothing of guilt or the sanction of guilt: what acted as a motivating force was </w:t>
      </w:r>
      <w:r w:rsidR="003B594A">
        <w:rPr>
          <w:i/>
        </w:rPr>
        <w:t>aidos</w:t>
      </w:r>
      <w:r w:rsidR="003B594A">
        <w:t>, ‘shame’ or ‘sense of shame.’”</w:t>
      </w:r>
      <w:r w:rsidR="003B594A">
        <w:rPr>
          <w:rStyle w:val="FootnoteReference"/>
        </w:rPr>
        <w:footnoteReference w:id="9"/>
      </w:r>
    </w:p>
    <w:p w14:paraId="1DDA37FC" w14:textId="57A2728C" w:rsidR="003B594A" w:rsidRDefault="003B594A" w:rsidP="00A15A53"/>
    <w:p w14:paraId="0E1140F3" w14:textId="18EFC808" w:rsidR="003B594A" w:rsidRDefault="003B594A" w:rsidP="00A15A53">
      <w:r>
        <w:lastRenderedPageBreak/>
        <w:t xml:space="preserve">Another aspect of Achilles’ </w:t>
      </w:r>
      <w:r>
        <w:rPr>
          <w:i/>
        </w:rPr>
        <w:t>aidos</w:t>
      </w:r>
      <w:r>
        <w:t xml:space="preserve"> that Arieti touches upon is the suggestion that in killing Hector, Achilles is really killing himself.</w:t>
      </w:r>
      <w:r>
        <w:rPr>
          <w:rStyle w:val="FootnoteReference"/>
        </w:rPr>
        <w:footnoteReference w:id="10"/>
      </w:r>
      <w:r>
        <w:t xml:space="preserve"> When Achilles is told of Patroclus’ death, Antilochus is “afraid that he might take a knife and cut his throat.”</w:t>
      </w:r>
      <w:r>
        <w:rPr>
          <w:rStyle w:val="FootnoteReference"/>
        </w:rPr>
        <w:footnoteReference w:id="11"/>
      </w:r>
      <w:r>
        <w:t xml:space="preserve"> When Achilles and Hector face each other in </w:t>
      </w:r>
      <w:r w:rsidR="008E7DF5">
        <w:t>b</w:t>
      </w:r>
      <w:r>
        <w:t>ook 22 Hector is wearing Achilles’ old armour, which he had taken off the body of Patroclus when he killed him.</w:t>
      </w:r>
      <w:r>
        <w:rPr>
          <w:rStyle w:val="FootnoteReference"/>
        </w:rPr>
        <w:footnoteReference w:id="12"/>
      </w:r>
      <w:r>
        <w:t xml:space="preserve"> Arieti concurs with Devereux in suggesting that this is a symbolic representation of Achilles killing himself, that in his </w:t>
      </w:r>
      <w:r>
        <w:rPr>
          <w:i/>
        </w:rPr>
        <w:t>aidos</w:t>
      </w:r>
      <w:r>
        <w:t xml:space="preserve"> he feels that </w:t>
      </w:r>
      <w:r w:rsidR="00EF3958">
        <w:t xml:space="preserve">it is </w:t>
      </w:r>
      <w:r>
        <w:t>the only way to truly gain retribution for Patroclus’ death</w:t>
      </w:r>
      <w:r w:rsidR="00EF3958">
        <w:t>.</w:t>
      </w:r>
      <w:r w:rsidR="00EF3958">
        <w:rPr>
          <w:rStyle w:val="FootnoteReference"/>
        </w:rPr>
        <w:footnoteReference w:id="13"/>
      </w:r>
      <w:r w:rsidR="00EF3958">
        <w:t xml:space="preserve"> This symbolic suicide could be seen as a metaphorical resolution of either the </w:t>
      </w:r>
      <w:r w:rsidR="00EF3958">
        <w:rPr>
          <w:i/>
        </w:rPr>
        <w:t>aidos</w:t>
      </w:r>
      <w:r w:rsidR="00EF3958">
        <w:t xml:space="preserve"> or guilt felt by Achilles.</w:t>
      </w:r>
    </w:p>
    <w:p w14:paraId="4E8B3DF0" w14:textId="4ED4003F" w:rsidR="00EF3958" w:rsidRDefault="00EF3958" w:rsidP="00A15A53"/>
    <w:p w14:paraId="361A457B" w14:textId="03A12B10" w:rsidR="00EF3958" w:rsidRDefault="00EF3958" w:rsidP="00A15A53">
      <w:r>
        <w:t xml:space="preserve">Achilles’ </w:t>
      </w:r>
      <w:r>
        <w:rPr>
          <w:i/>
        </w:rPr>
        <w:t>menis</w:t>
      </w:r>
      <w:r>
        <w:t xml:space="preserve">, his wrath and anger, is apparent from the opening line of </w:t>
      </w:r>
      <w:r>
        <w:rPr>
          <w:i/>
        </w:rPr>
        <w:t>The Iliad</w:t>
      </w:r>
      <w:r>
        <w:t>: “Anger – sing, goddess, the anger of Achilles.”</w:t>
      </w:r>
      <w:r>
        <w:rPr>
          <w:rStyle w:val="FootnoteReference"/>
        </w:rPr>
        <w:footnoteReference w:id="14"/>
      </w:r>
      <w:r>
        <w:t xml:space="preserve"> This </w:t>
      </w:r>
      <w:r>
        <w:rPr>
          <w:i/>
        </w:rPr>
        <w:t>menis</w:t>
      </w:r>
      <w:r>
        <w:t xml:space="preserve"> is further felt throughout the whole of </w:t>
      </w:r>
      <w:r>
        <w:rPr>
          <w:i/>
        </w:rPr>
        <w:t>The Iliad</w:t>
      </w:r>
      <w:r>
        <w:t xml:space="preserve">, from Achilles deciding to leave the war in </w:t>
      </w:r>
      <w:r w:rsidR="008E7DF5">
        <w:t>b</w:t>
      </w:r>
      <w:r>
        <w:t>ook 1,</w:t>
      </w:r>
      <w:r w:rsidR="008E7DF5">
        <w:t xml:space="preserve"> </w:t>
      </w:r>
      <w:r w:rsidR="008E7DF5">
        <w:rPr>
          <w:i/>
        </w:rPr>
        <w:t>Plague and Wrath</w:t>
      </w:r>
      <w:r w:rsidR="008E7DF5">
        <w:t>,</w:t>
      </w:r>
      <w:r>
        <w:t xml:space="preserve"> to his decision to re-join it in </w:t>
      </w:r>
      <w:r w:rsidR="008E7DF5">
        <w:t>b</w:t>
      </w:r>
      <w:r>
        <w:t>ook 18</w:t>
      </w:r>
      <w:r w:rsidR="008E7DF5">
        <w:t xml:space="preserve">, </w:t>
      </w:r>
      <w:r w:rsidR="008E7DF5">
        <w:rPr>
          <w:i/>
        </w:rPr>
        <w:t>Achilles’ Decision</w:t>
      </w:r>
      <w:r>
        <w:t xml:space="preserve">. At the beginning of </w:t>
      </w:r>
      <w:r>
        <w:rPr>
          <w:i/>
        </w:rPr>
        <w:t>The Iliad</w:t>
      </w:r>
      <w:r>
        <w:t xml:space="preserve"> Achilels’ anger is directed towards Agamemnon, after the argument causing Achilles to leave the war. However, once Hector kills Patroclus, Achilles’ </w:t>
      </w:r>
      <w:r>
        <w:rPr>
          <w:i/>
        </w:rPr>
        <w:t>menis</w:t>
      </w:r>
      <w:r>
        <w:t xml:space="preserve"> switches from being aimed at Agamemnon to Hector.</w:t>
      </w:r>
    </w:p>
    <w:p w14:paraId="0B2ECCB6" w14:textId="1D702149" w:rsidR="00EF3958" w:rsidRDefault="00EF3958" w:rsidP="00A15A53"/>
    <w:p w14:paraId="71B9A5B7" w14:textId="147CE6F1" w:rsidR="00EF3958" w:rsidRDefault="00EF3958" w:rsidP="00A15A53">
      <w:r>
        <w:t xml:space="preserve">Achilles’ </w:t>
      </w:r>
      <w:r>
        <w:rPr>
          <w:i/>
        </w:rPr>
        <w:t>menis</w:t>
      </w:r>
      <w:r>
        <w:t xml:space="preserve"> appears to be the driving force of his character within </w:t>
      </w:r>
      <w:r>
        <w:rPr>
          <w:i/>
        </w:rPr>
        <w:t>The Iliad</w:t>
      </w:r>
      <w:r>
        <w:t xml:space="preserve">. In </w:t>
      </w:r>
      <w:r w:rsidR="008E7DF5">
        <w:t>b</w:t>
      </w:r>
      <w:r>
        <w:t xml:space="preserve">ook 1 he succumbs to his </w:t>
      </w:r>
      <w:r>
        <w:rPr>
          <w:i/>
        </w:rPr>
        <w:t>menis</w:t>
      </w:r>
      <w:r>
        <w:t xml:space="preserve"> and as a result he stops supporting the rest of the Greeks.</w:t>
      </w:r>
      <w:r>
        <w:rPr>
          <w:rStyle w:val="FootnoteReference"/>
        </w:rPr>
        <w:footnoteReference w:id="15"/>
      </w:r>
      <w:r>
        <w:t xml:space="preserve"> His </w:t>
      </w:r>
      <w:r>
        <w:rPr>
          <w:i/>
        </w:rPr>
        <w:t>menis</w:t>
      </w:r>
      <w:r>
        <w:t xml:space="preserve"> at Hector is the motivation to bring himself back into the war against the Trojans.</w:t>
      </w:r>
      <w:r>
        <w:rPr>
          <w:rStyle w:val="FootnoteReference"/>
        </w:rPr>
        <w:footnoteReference w:id="16"/>
      </w:r>
      <w:r>
        <w:t xml:space="preserve"> </w:t>
      </w:r>
      <w:r w:rsidR="008E7DF5">
        <w:t>Arieti highlights that Achilles’ slaughter of the Trojans when he returns to battle, “with mad-fury,”</w:t>
      </w:r>
      <w:r w:rsidR="008E7DF5">
        <w:rPr>
          <w:rStyle w:val="FootnoteReference"/>
        </w:rPr>
        <w:footnoteReference w:id="17"/>
      </w:r>
      <w:r w:rsidR="008E7DF5">
        <w:t xml:space="preserve"> is </w:t>
      </w:r>
      <w:r w:rsidR="00B134EF">
        <w:t>fighting</w:t>
      </w:r>
      <w:r w:rsidR="008E7DF5">
        <w:t xml:space="preserve"> with a </w:t>
      </w:r>
      <w:r w:rsidR="00B134EF">
        <w:t xml:space="preserve">quality that has not been seen up to this point in </w:t>
      </w:r>
      <w:r w:rsidR="00B134EF">
        <w:rPr>
          <w:i/>
        </w:rPr>
        <w:t>The Iliad</w:t>
      </w:r>
      <w:r w:rsidR="00B134EF">
        <w:t xml:space="preserve">. Arieti suggests that Achilles is angrier at Hector that is deserved, and that his </w:t>
      </w:r>
      <w:r w:rsidR="00B134EF">
        <w:rPr>
          <w:i/>
        </w:rPr>
        <w:t>menis</w:t>
      </w:r>
      <w:r w:rsidR="00B134EF">
        <w:t xml:space="preserve"> is truly directed towards himself rather than at either Agamemnon or Hector</w:t>
      </w:r>
      <w:r>
        <w:t>.</w:t>
      </w:r>
      <w:r>
        <w:rPr>
          <w:rStyle w:val="FootnoteReference"/>
        </w:rPr>
        <w:footnoteReference w:id="18"/>
      </w:r>
      <w:r>
        <w:t xml:space="preserve"> This notion goes back to Arieti’s suggestion that Achilles was so focused on killing Hector because it meant that he was also ending his own life.</w:t>
      </w:r>
    </w:p>
    <w:p w14:paraId="1E11DEA5" w14:textId="2E973237" w:rsidR="00EF3958" w:rsidRDefault="00EF3958" w:rsidP="00A15A53"/>
    <w:p w14:paraId="796E2C63" w14:textId="5819501D" w:rsidR="00EF3958" w:rsidRDefault="00EF3958" w:rsidP="00A15A53">
      <w:r>
        <w:t xml:space="preserve">Schein suggests that Achiles’ </w:t>
      </w:r>
      <w:r>
        <w:rPr>
          <w:i/>
        </w:rPr>
        <w:t>menis</w:t>
      </w:r>
      <w:r>
        <w:t xml:space="preserve"> diminishes his </w:t>
      </w:r>
      <w:r>
        <w:rPr>
          <w:i/>
        </w:rPr>
        <w:t>philos</w:t>
      </w:r>
      <w:r>
        <w:t xml:space="preserve"> for Patroclus.</w:t>
      </w:r>
      <w:r>
        <w:rPr>
          <w:rStyle w:val="FootnoteReference"/>
        </w:rPr>
        <w:footnoteReference w:id="19"/>
      </w:r>
      <w:r>
        <w:t xml:space="preserve"> Achilles’ </w:t>
      </w:r>
      <w:r>
        <w:rPr>
          <w:i/>
        </w:rPr>
        <w:t>philos</w:t>
      </w:r>
      <w:r>
        <w:t xml:space="preserve"> and his </w:t>
      </w:r>
      <w:r>
        <w:rPr>
          <w:i/>
        </w:rPr>
        <w:t>menis</w:t>
      </w:r>
      <w:r>
        <w:t xml:space="preserve"> seem no longer</w:t>
      </w:r>
      <w:r w:rsidR="00B134EF">
        <w:t xml:space="preserve"> appear discrete</w:t>
      </w:r>
      <w:r>
        <w:t xml:space="preserve">, but instead the </w:t>
      </w:r>
      <w:r>
        <w:rPr>
          <w:i/>
        </w:rPr>
        <w:t>philos</w:t>
      </w:r>
      <w:r>
        <w:t xml:space="preserve"> feeds into the </w:t>
      </w:r>
      <w:r>
        <w:rPr>
          <w:i/>
        </w:rPr>
        <w:t>menis</w:t>
      </w:r>
      <w:r>
        <w:t xml:space="preserve"> </w:t>
      </w:r>
      <w:r w:rsidR="00B134EF">
        <w:t>and enables</w:t>
      </w:r>
      <w:r>
        <w:t xml:space="preserve"> Achilles</w:t>
      </w:r>
      <w:r w:rsidR="00B134EF">
        <w:t>’</w:t>
      </w:r>
      <w:r>
        <w:t xml:space="preserve"> </w:t>
      </w:r>
      <w:r w:rsidR="00B134EF">
        <w:t>capacity to</w:t>
      </w:r>
      <w:r>
        <w:t xml:space="preserve"> fight with such heightened aggression.</w:t>
      </w:r>
      <w:r>
        <w:rPr>
          <w:rStyle w:val="FootnoteReference"/>
        </w:rPr>
        <w:footnoteReference w:id="20"/>
      </w:r>
      <w:r>
        <w:t xml:space="preserve"> As well as Achilles’ </w:t>
      </w:r>
      <w:r>
        <w:rPr>
          <w:i/>
        </w:rPr>
        <w:t>philos</w:t>
      </w:r>
      <w:r>
        <w:t xml:space="preserve"> feeding into his </w:t>
      </w:r>
      <w:r>
        <w:rPr>
          <w:i/>
        </w:rPr>
        <w:t>menis</w:t>
      </w:r>
      <w:r>
        <w:t xml:space="preserve">, his </w:t>
      </w:r>
      <w:r>
        <w:rPr>
          <w:i/>
        </w:rPr>
        <w:t>aidos</w:t>
      </w:r>
      <w:r>
        <w:t xml:space="preserve"> could be further </w:t>
      </w:r>
      <w:r w:rsidR="00B134EF">
        <w:t>supplying</w:t>
      </w:r>
      <w:r>
        <w:t xml:space="preserve"> his wrath</w:t>
      </w:r>
      <w:r w:rsidR="00B134EF">
        <w:t>.</w:t>
      </w:r>
      <w:r>
        <w:t xml:space="preserve"> </w:t>
      </w:r>
      <w:r w:rsidR="00B134EF">
        <w:t>This is evidenced by Achilles’ dissatisfaction with the act of killing Hector. D</w:t>
      </w:r>
      <w:r>
        <w:t xml:space="preserve">espite his </w:t>
      </w:r>
      <w:r>
        <w:rPr>
          <w:i/>
        </w:rPr>
        <w:t>menis</w:t>
      </w:r>
      <w:r>
        <w:t xml:space="preserve"> </w:t>
      </w:r>
      <w:r w:rsidR="00B134EF">
        <w:t>fueling</w:t>
      </w:r>
      <w:r>
        <w:t xml:space="preserve"> </w:t>
      </w:r>
      <w:r w:rsidR="00B134EF">
        <w:t>the</w:t>
      </w:r>
      <w:r>
        <w:t xml:space="preserve"> combat with </w:t>
      </w:r>
      <w:r w:rsidR="00B134EF">
        <w:t xml:space="preserve">Hector, his death is not sufficient to satisfy his need for revenge and as a </w:t>
      </w:r>
      <w:r w:rsidR="00B134EF">
        <w:lastRenderedPageBreak/>
        <w:t>result Achilles drags Hector’s body around the walls of Troy from the back of his chariot</w:t>
      </w:r>
      <w:r w:rsidR="00B134EF">
        <w:rPr>
          <w:rStyle w:val="FootnoteReference"/>
        </w:rPr>
        <w:footnoteReference w:id="21"/>
      </w:r>
      <w:r>
        <w:t xml:space="preserve"> </w:t>
      </w:r>
      <w:r w:rsidR="00B134EF">
        <w:t xml:space="preserve">in an act that transgresses the heroic value of </w:t>
      </w:r>
      <w:r w:rsidR="00B134EF">
        <w:rPr>
          <w:i/>
        </w:rPr>
        <w:t>time.</w:t>
      </w:r>
      <w:r>
        <w:rPr>
          <w:rStyle w:val="FootnoteReference"/>
        </w:rPr>
        <w:footnoteReference w:id="22"/>
      </w:r>
    </w:p>
    <w:p w14:paraId="737C4031" w14:textId="00B78D38" w:rsidR="001202E3" w:rsidRDefault="001202E3" w:rsidP="00A15A53"/>
    <w:p w14:paraId="70B6BE19" w14:textId="77777777" w:rsidR="009944B8" w:rsidRDefault="00B134EF" w:rsidP="00A15A53">
      <w:r>
        <w:t xml:space="preserve">A further </w:t>
      </w:r>
      <w:r w:rsidR="001202E3">
        <w:t xml:space="preserve">motivation for Achilles that requires discussion is Achilles’ need for revenge and </w:t>
      </w:r>
      <w:r>
        <w:t>how his</w:t>
      </w:r>
      <w:r w:rsidR="001202E3">
        <w:t xml:space="preserve"> </w:t>
      </w:r>
      <w:r w:rsidR="001202E3">
        <w:rPr>
          <w:i/>
        </w:rPr>
        <w:t>aidos</w:t>
      </w:r>
      <w:r w:rsidR="001202E3">
        <w:t xml:space="preserve">, </w:t>
      </w:r>
      <w:r w:rsidR="001202E3">
        <w:rPr>
          <w:i/>
        </w:rPr>
        <w:t>menis</w:t>
      </w:r>
      <w:r w:rsidR="001202E3">
        <w:t xml:space="preserve"> and </w:t>
      </w:r>
      <w:r w:rsidR="001202E3">
        <w:rPr>
          <w:i/>
        </w:rPr>
        <w:t>philos</w:t>
      </w:r>
      <w:r w:rsidR="001202E3">
        <w:t xml:space="preserve"> feed his need to take revenge for the death of Patroclus. In </w:t>
      </w:r>
      <w:r>
        <w:t>b</w:t>
      </w:r>
      <w:r w:rsidR="001202E3">
        <w:t>ook 18 Achilles states that he is happy to die immediately after he has killed Hector as he sees that as his only way to gain revenge for Patroclus.</w:t>
      </w:r>
      <w:r w:rsidR="001202E3">
        <w:rPr>
          <w:rStyle w:val="FootnoteReference"/>
        </w:rPr>
        <w:footnoteReference w:id="23"/>
      </w:r>
      <w:r w:rsidR="001202E3">
        <w:t xml:space="preserve"> Achilles’ need for revenge is what causes him to finally </w:t>
      </w:r>
      <w:r>
        <w:t>overlook</w:t>
      </w:r>
      <w:r w:rsidR="001202E3">
        <w:t xml:space="preserve"> his </w:t>
      </w:r>
      <w:r w:rsidR="001202E3">
        <w:rPr>
          <w:i/>
        </w:rPr>
        <w:t>menis</w:t>
      </w:r>
      <w:r w:rsidR="001202E3">
        <w:t xml:space="preserve"> at Agamemnon and</w:t>
      </w:r>
      <w:r>
        <w:t xml:space="preserve"> refocuses it on Hector, and is also what spurs him to re-join the fighting. Van </w:t>
      </w:r>
      <w:r w:rsidR="001202E3">
        <w:t>de Mije asserts that Achilles’ “life has narrowed down to taking revenge for Patroclus’ death on Hector.”</w:t>
      </w:r>
      <w:r w:rsidR="001202E3">
        <w:rPr>
          <w:rStyle w:val="FootnoteReference"/>
        </w:rPr>
        <w:footnoteReference w:id="24"/>
      </w:r>
      <w:r w:rsidR="001202E3">
        <w:t xml:space="preserve"> It appears that as a result of being overwhelmed by his </w:t>
      </w:r>
      <w:r w:rsidR="001202E3">
        <w:rPr>
          <w:i/>
        </w:rPr>
        <w:t>aidos</w:t>
      </w:r>
      <w:r w:rsidR="001202E3">
        <w:t xml:space="preserve">, </w:t>
      </w:r>
      <w:r w:rsidR="001202E3">
        <w:rPr>
          <w:i/>
        </w:rPr>
        <w:t>menis</w:t>
      </w:r>
      <w:r w:rsidR="001202E3">
        <w:t xml:space="preserve"> and </w:t>
      </w:r>
      <w:r w:rsidR="001202E3">
        <w:rPr>
          <w:i/>
        </w:rPr>
        <w:t>philos</w:t>
      </w:r>
      <w:r w:rsidR="001202E3">
        <w:t xml:space="preserve"> Achilles loses all sense of the rational. </w:t>
      </w:r>
      <w:r>
        <w:t xml:space="preserve">The ultimate loss of rationality and control can be traced from book 20, </w:t>
      </w:r>
      <w:r>
        <w:rPr>
          <w:i/>
        </w:rPr>
        <w:t>Achilles on the Rampage</w:t>
      </w:r>
      <w:r>
        <w:t>, when he re-joins the fight and slaughters so many Trojans that</w:t>
      </w:r>
      <w:r w:rsidR="001202E3">
        <w:t xml:space="preserve"> “the black earth ran with blood”</w:t>
      </w:r>
      <w:r w:rsidR="001202E3">
        <w:rPr>
          <w:rStyle w:val="FootnoteReference"/>
        </w:rPr>
        <w:footnoteReference w:id="25"/>
      </w:r>
      <w:r w:rsidR="001202E3">
        <w:t xml:space="preserve"> In </w:t>
      </w:r>
      <w:r>
        <w:t>b</w:t>
      </w:r>
      <w:r w:rsidR="001202E3">
        <w:t>ook 21</w:t>
      </w:r>
      <w:r>
        <w:t xml:space="preserve">, </w:t>
      </w:r>
      <w:r>
        <w:rPr>
          <w:i/>
        </w:rPr>
        <w:t>Achilles Fights the River</w:t>
      </w:r>
      <w:r>
        <w:t>,</w:t>
      </w:r>
      <w:r w:rsidR="001202E3">
        <w:t xml:space="preserve"> Achilles’ loss of rationality</w:t>
      </w:r>
      <w:r w:rsidR="00460AB3">
        <w:t xml:space="preserve"> results in him killing so many Trojans in River Scamander that he ends up battling the River-god, almost loses his life, and is only saved by the intervention of Hephaestus and Hera.</w:t>
      </w:r>
      <w:r w:rsidR="009944B8">
        <w:rPr>
          <w:rStyle w:val="FootnoteReference"/>
        </w:rPr>
        <w:footnoteReference w:id="26"/>
      </w:r>
      <w:r w:rsidR="00460AB3">
        <w:t xml:space="preserve"> Achilles’ rampage culminates in </w:t>
      </w:r>
      <w:r w:rsidR="009944B8">
        <w:t>b</w:t>
      </w:r>
      <w:r w:rsidR="00460AB3">
        <w:t>ook 22 in the somewhat anti-climactic defeat of Hector</w:t>
      </w:r>
      <w:r w:rsidR="009944B8">
        <w:t>, achieved</w:t>
      </w:r>
      <w:r w:rsidR="00460AB3">
        <w:t xml:space="preserve"> with the complicity of Athena,</w:t>
      </w:r>
      <w:r w:rsidR="009944B8">
        <w:rPr>
          <w:rStyle w:val="FootnoteReference"/>
        </w:rPr>
        <w:footnoteReference w:id="27"/>
      </w:r>
      <w:r w:rsidR="00460AB3">
        <w:t xml:space="preserve"> </w:t>
      </w:r>
      <w:r w:rsidR="009944B8">
        <w:t xml:space="preserve">preventing him from gaining </w:t>
      </w:r>
      <w:r w:rsidR="009944B8">
        <w:rPr>
          <w:i/>
        </w:rPr>
        <w:t xml:space="preserve">kleos </w:t>
      </w:r>
      <w:r w:rsidR="009944B8">
        <w:t>(glory).</w:t>
      </w:r>
    </w:p>
    <w:p w14:paraId="7D5DDCF3" w14:textId="484A9804" w:rsidR="00DA31F9" w:rsidRDefault="009944B8" w:rsidP="00A15A53">
      <w:r>
        <w:t xml:space="preserve"> </w:t>
      </w:r>
    </w:p>
    <w:p w14:paraId="7B2AE715" w14:textId="065F2C68" w:rsidR="00FF4083" w:rsidRDefault="00D71F81" w:rsidP="00A4328C">
      <w:r>
        <w:t xml:space="preserve">Hector’s motivations are first shown in book 6, </w:t>
      </w:r>
      <w:r w:rsidR="009944B8">
        <w:rPr>
          <w:i/>
        </w:rPr>
        <w:t>Andromache and Hector</w:t>
      </w:r>
      <w:r w:rsidR="009944B8">
        <w:t>,</w:t>
      </w:r>
      <w:r>
        <w:t xml:space="preserve"> when his relationship with his family, and particularly his relationship with his wife and son, are depicted.</w:t>
      </w:r>
      <w:r>
        <w:rPr>
          <w:rStyle w:val="FootnoteReference"/>
        </w:rPr>
        <w:footnoteReference w:id="28"/>
      </w:r>
      <w:r>
        <w:t xml:space="preserve"> This is where Hector’s </w:t>
      </w:r>
      <w:r w:rsidR="009944B8">
        <w:t>sense</w:t>
      </w:r>
      <w:r>
        <w:t xml:space="preserve"> of </w:t>
      </w:r>
      <w:r>
        <w:rPr>
          <w:i/>
        </w:rPr>
        <w:t>oikos</w:t>
      </w:r>
      <w:r>
        <w:t>, for his family and the city, is first noted. After Andromache begs him to stay inside the walls he assures her that he is fighting to protect the city from the Greeks and to protect her from enslavement.</w:t>
      </w:r>
      <w:r>
        <w:rPr>
          <w:rStyle w:val="FootnoteReference"/>
        </w:rPr>
        <w:footnoteReference w:id="29"/>
      </w:r>
      <w:r w:rsidR="007D4725">
        <w:t xml:space="preserve"> Despite the display of </w:t>
      </w:r>
      <w:r w:rsidR="007D4725">
        <w:rPr>
          <w:i/>
        </w:rPr>
        <w:t>philos</w:t>
      </w:r>
      <w:r w:rsidR="007D4725">
        <w:t xml:space="preserve"> and the tenderness of this family scene, Hector feels that as the leader of the Trojan armies, and as the greatest fighter of the Trojans, that this is his </w:t>
      </w:r>
      <w:r w:rsidR="007D4725">
        <w:rPr>
          <w:i/>
        </w:rPr>
        <w:t>oikos</w:t>
      </w:r>
      <w:r w:rsidR="007D4725">
        <w:t xml:space="preserve">. </w:t>
      </w:r>
      <w:r w:rsidR="009944B8">
        <w:t xml:space="preserve">If </w:t>
      </w:r>
      <w:r w:rsidR="007D4725">
        <w:t xml:space="preserve">he falls then the rest of Troy will perish, and it is this that motivates him to remain outside the walls. Hector is </w:t>
      </w:r>
      <w:r w:rsidR="00031EA8">
        <w:t>described within the text as ‘great’</w:t>
      </w:r>
      <w:r w:rsidR="00031EA8">
        <w:rPr>
          <w:rStyle w:val="FootnoteReference"/>
        </w:rPr>
        <w:footnoteReference w:id="30"/>
      </w:r>
      <w:r w:rsidR="00031EA8">
        <w:t xml:space="preserve"> and ‘glorious’</w:t>
      </w:r>
      <w:r w:rsidR="00031EA8">
        <w:rPr>
          <w:rStyle w:val="FootnoteReference"/>
        </w:rPr>
        <w:footnoteReference w:id="31"/>
      </w:r>
      <w:r w:rsidR="00031EA8">
        <w:t xml:space="preserve"> and has consistently been characterised by scholars as the saviour or defender of Troy.</w:t>
      </w:r>
      <w:r w:rsidR="00031EA8">
        <w:rPr>
          <w:rStyle w:val="FootnoteReference"/>
        </w:rPr>
        <w:footnoteReference w:id="32"/>
      </w:r>
      <w:r w:rsidR="00031EA8">
        <w:t xml:space="preserve"> Farron, however, perceives Hector as “trapped by his role and reputation as the great hero and defender,”</w:t>
      </w:r>
      <w:r w:rsidR="00031EA8">
        <w:rPr>
          <w:rStyle w:val="FootnoteReference"/>
        </w:rPr>
        <w:footnoteReference w:id="33"/>
      </w:r>
      <w:r w:rsidR="00031EA8">
        <w:t xml:space="preserve"> and that he is unable to fulfil his prescribed role. When facing Achilles, Hector cannot live up to the “boasts and decisions that were promoted by his attempt to fulfil his role and reputation.”</w:t>
      </w:r>
      <w:r w:rsidR="00031EA8">
        <w:rPr>
          <w:rStyle w:val="FootnoteReference"/>
        </w:rPr>
        <w:footnoteReference w:id="34"/>
      </w:r>
      <w:r w:rsidR="00031EA8">
        <w:t xml:space="preserve"> Bassett further suggests that after killing Patroclus “he [Hector] now thinks himself a match for Achilles.”</w:t>
      </w:r>
      <w:r w:rsidR="00031EA8">
        <w:rPr>
          <w:rStyle w:val="FootnoteReference"/>
        </w:rPr>
        <w:footnoteReference w:id="35"/>
      </w:r>
    </w:p>
    <w:p w14:paraId="73D6F068" w14:textId="17D1AB3D" w:rsidR="00031EA8" w:rsidRDefault="00031EA8" w:rsidP="00A4328C"/>
    <w:p w14:paraId="61A2F489" w14:textId="38C94C62" w:rsidR="00031EA8" w:rsidRDefault="009944B8" w:rsidP="00A4328C">
      <w:r>
        <w:t>One of the primary motivations for</w:t>
      </w:r>
      <w:r w:rsidR="00031EA8">
        <w:t xml:space="preserve"> Hector </w:t>
      </w:r>
      <w:r>
        <w:t>staying</w:t>
      </w:r>
      <w:r w:rsidR="00031EA8">
        <w:t xml:space="preserve"> outside the walls of Troy instead of retreating inside with the rest of his men</w:t>
      </w:r>
      <w:r w:rsidR="00031EA8">
        <w:rPr>
          <w:rStyle w:val="FootnoteReference"/>
        </w:rPr>
        <w:footnoteReference w:id="36"/>
      </w:r>
      <w:r w:rsidR="00031EA8">
        <w:t xml:space="preserve"> is to protect his </w:t>
      </w:r>
      <w:r w:rsidR="00031EA8">
        <w:rPr>
          <w:i/>
        </w:rPr>
        <w:t>time</w:t>
      </w:r>
      <w:r w:rsidR="00031EA8">
        <w:t xml:space="preserve">. In book 13, </w:t>
      </w:r>
      <w:r>
        <w:rPr>
          <w:i/>
        </w:rPr>
        <w:t>The Battle at the Ships</w:t>
      </w:r>
      <w:r>
        <w:t>,</w:t>
      </w:r>
      <w:r w:rsidR="00031EA8">
        <w:t xml:space="preserve"> Hector ignores the strategic advice from Polydamas to regroup, and not fight at the Greek ships in a scattered way.</w:t>
      </w:r>
      <w:r w:rsidR="00031EA8">
        <w:rPr>
          <w:rStyle w:val="FootnoteReference"/>
        </w:rPr>
        <w:footnoteReference w:id="37"/>
      </w:r>
      <w:r w:rsidR="00031EA8">
        <w:t xml:space="preserve"> As a result of </w:t>
      </w:r>
      <w:r>
        <w:t>ignoring Polydamas’ advice,</w:t>
      </w:r>
      <w:r w:rsidR="00031EA8">
        <w:t xml:space="preserve"> many of the Trojans are slaughtered by the Greeks with Achilles as the primary aggressor. In book 22, whilst Hector’s parents are begging him to come back inside the walls he speaks to them and says:</w:t>
      </w:r>
    </w:p>
    <w:p w14:paraId="25E996FF" w14:textId="0D52796D" w:rsidR="00031EA8" w:rsidRDefault="00031EA8" w:rsidP="00A4328C"/>
    <w:p w14:paraId="3008F456" w14:textId="31031A29" w:rsidR="00031EA8" w:rsidRDefault="00031EA8" w:rsidP="00A4328C">
      <w:r>
        <w:t>“if I retire behind the gate and the wall Polydamas will be the first to point the finger of blae at me that […] I did not take his advice and order a withdrawal […] I could not bear to hear some second-rater say ‘Hector trusted in his own right arm and lost an army’ […]”</w:t>
      </w:r>
      <w:r>
        <w:rPr>
          <w:rStyle w:val="FootnoteReference"/>
        </w:rPr>
        <w:footnoteReference w:id="38"/>
      </w:r>
    </w:p>
    <w:p w14:paraId="5F0F5EC0" w14:textId="6BB2CD01" w:rsidR="00031EA8" w:rsidRDefault="00031EA8" w:rsidP="00A4328C"/>
    <w:p w14:paraId="456F96B9" w14:textId="19C4AF7E" w:rsidR="00031EA8" w:rsidRDefault="00031EA8" w:rsidP="00A4328C">
      <w:r>
        <w:t>This is not the first time that Hector turned down the advice to not fight at the Greek ships. Andromache also tries to give some advice</w:t>
      </w:r>
      <w:r w:rsidR="00B75085">
        <w:t xml:space="preserve"> to Hector to “rally the Trojans by the fig-tree, where the wall is easiest to scale.”</w:t>
      </w:r>
      <w:r w:rsidR="00B75085">
        <w:rPr>
          <w:rStyle w:val="FootnoteReference"/>
        </w:rPr>
        <w:footnoteReference w:id="39"/>
      </w:r>
      <w:r w:rsidR="00B75085">
        <w:t xml:space="preserve"> However, </w:t>
      </w:r>
      <w:r w:rsidR="00A4696F">
        <w:t>instead of acknowledging her advice he tells her that “war is men’s</w:t>
      </w:r>
      <w:r w:rsidR="009944B8">
        <w:t xml:space="preserve"> </w:t>
      </w:r>
      <w:r w:rsidR="00A4696F">
        <w:t>business” an</w:t>
      </w:r>
      <w:r w:rsidR="009944B8">
        <w:t>d to go back home to work on the loom and not to distress herself</w:t>
      </w:r>
      <w:r w:rsidR="00B75085">
        <w:t>.</w:t>
      </w:r>
      <w:r w:rsidR="00A4696F">
        <w:rPr>
          <w:rStyle w:val="FootnoteReference"/>
        </w:rPr>
        <w:footnoteReference w:id="40"/>
      </w:r>
      <w:r w:rsidR="00B75085">
        <w:t xml:space="preserve"> </w:t>
      </w:r>
      <w:r w:rsidR="009944B8">
        <w:t xml:space="preserve">He reminds her that he is fighting so that she will not be captured by the Greeks and the he would feel </w:t>
      </w:r>
      <w:r w:rsidR="009944B8">
        <w:rPr>
          <w:i/>
        </w:rPr>
        <w:t>aidos</w:t>
      </w:r>
      <w:r w:rsidR="009944B8">
        <w:t xml:space="preserve"> if he were not fighting on the front line.</w:t>
      </w:r>
      <w:r w:rsidR="009944B8">
        <w:rPr>
          <w:rStyle w:val="FootnoteReference"/>
        </w:rPr>
        <w:footnoteReference w:id="41"/>
      </w:r>
      <w:r w:rsidR="002E64B1">
        <w:t xml:space="preserve"> </w:t>
      </w:r>
      <w:r w:rsidR="00B75085">
        <w:t xml:space="preserve">Hector’s </w:t>
      </w:r>
      <w:r w:rsidR="00B75085">
        <w:rPr>
          <w:i/>
        </w:rPr>
        <w:t>aidos</w:t>
      </w:r>
      <w:r w:rsidR="00B75085">
        <w:t xml:space="preserve"> at his strategic error seems to feed into his </w:t>
      </w:r>
      <w:r w:rsidR="002E64B1">
        <w:t>fear</w:t>
      </w:r>
      <w:r w:rsidR="00B75085">
        <w:t xml:space="preserve"> </w:t>
      </w:r>
      <w:r w:rsidR="002E64B1">
        <w:t>of potentially losing his</w:t>
      </w:r>
      <w:r w:rsidR="00B75085">
        <w:t xml:space="preserve"> </w:t>
      </w:r>
      <w:r w:rsidR="00B75085">
        <w:rPr>
          <w:i/>
        </w:rPr>
        <w:t>time</w:t>
      </w:r>
      <w:r w:rsidR="00B75085">
        <w:t xml:space="preserve"> during the Trojans</w:t>
      </w:r>
      <w:r w:rsidR="002E64B1">
        <w:t>’</w:t>
      </w:r>
      <w:r w:rsidR="00B75085">
        <w:t xml:space="preserve"> retreat at the start of book 22. It is because he ignored the advice Andromache in book 6 and Polydamas in book 13 </w:t>
      </w:r>
      <w:r w:rsidR="002E64B1">
        <w:t xml:space="preserve">that he is now scrambling to regain </w:t>
      </w:r>
      <w:r w:rsidR="002E64B1">
        <w:rPr>
          <w:i/>
        </w:rPr>
        <w:t>time</w:t>
      </w:r>
      <w:r w:rsidR="002E64B1">
        <w:t xml:space="preserve"> by stating outside of the city walls. Basset draws a parallel between</w:t>
      </w:r>
      <w:r w:rsidR="00B75085">
        <w:t xml:space="preserve"> Hector </w:t>
      </w:r>
      <w:r w:rsidR="002E64B1">
        <w:t>and</w:t>
      </w:r>
      <w:r w:rsidR="00B75085">
        <w:t xml:space="preserve"> Patroclus in </w:t>
      </w:r>
      <w:r w:rsidR="002E64B1">
        <w:t>observing</w:t>
      </w:r>
      <w:r w:rsidR="00B75085">
        <w:t xml:space="preserve"> that they both made mistakes in wanting more </w:t>
      </w:r>
      <w:r w:rsidR="00B75085">
        <w:rPr>
          <w:i/>
        </w:rPr>
        <w:t>time</w:t>
      </w:r>
      <w:r w:rsidR="00B75085">
        <w:t xml:space="preserve"> and as a result were both killed.</w:t>
      </w:r>
      <w:r w:rsidR="00B75085">
        <w:rPr>
          <w:rStyle w:val="FootnoteReference"/>
        </w:rPr>
        <w:footnoteReference w:id="42"/>
      </w:r>
    </w:p>
    <w:p w14:paraId="5E483B91" w14:textId="1422253C" w:rsidR="00B75085" w:rsidRDefault="00B75085" w:rsidP="00A4328C"/>
    <w:p w14:paraId="0AF28087" w14:textId="3E469B2D" w:rsidR="002E64B1" w:rsidRDefault="002E64B1" w:rsidP="00A4328C">
      <w:r>
        <w:t xml:space="preserve">Whereas Achilles’ </w:t>
      </w:r>
      <w:r>
        <w:rPr>
          <w:i/>
        </w:rPr>
        <w:t>menis</w:t>
      </w:r>
      <w:r>
        <w:t xml:space="preserve"> is a dominating motivation, with his </w:t>
      </w:r>
      <w:r>
        <w:rPr>
          <w:i/>
        </w:rPr>
        <w:t>menis</w:t>
      </w:r>
      <w:r>
        <w:t xml:space="preserve">, </w:t>
      </w:r>
      <w:r>
        <w:rPr>
          <w:i/>
        </w:rPr>
        <w:t>aidos</w:t>
      </w:r>
      <w:r>
        <w:t xml:space="preserve"> and </w:t>
      </w:r>
      <w:r>
        <w:rPr>
          <w:i/>
        </w:rPr>
        <w:t>philos</w:t>
      </w:r>
      <w:r>
        <w:t xml:space="preserve"> feeding into his need for revenge, Hector’s </w:t>
      </w:r>
      <w:r>
        <w:rPr>
          <w:i/>
        </w:rPr>
        <w:t>time</w:t>
      </w:r>
      <w:r>
        <w:t xml:space="preserve"> and </w:t>
      </w:r>
      <w:r>
        <w:rPr>
          <w:i/>
        </w:rPr>
        <w:t>oikos</w:t>
      </w:r>
      <w:r>
        <w:t xml:space="preserve"> appear to be balanced with neither one outweighing the other. Hector’s </w:t>
      </w:r>
      <w:r>
        <w:rPr>
          <w:i/>
        </w:rPr>
        <w:t>time</w:t>
      </w:r>
      <w:r>
        <w:t xml:space="preserve"> and </w:t>
      </w:r>
      <w:r>
        <w:rPr>
          <w:i/>
        </w:rPr>
        <w:t>oikos</w:t>
      </w:r>
      <w:r>
        <w:t xml:space="preserve"> are also integrally connected, as Hector finds </w:t>
      </w:r>
      <w:r>
        <w:rPr>
          <w:i/>
        </w:rPr>
        <w:t>time</w:t>
      </w:r>
      <w:r>
        <w:t xml:space="preserve"> in his fulfilment of </w:t>
      </w:r>
      <w:r>
        <w:rPr>
          <w:i/>
        </w:rPr>
        <w:t>oikos</w:t>
      </w:r>
      <w:r>
        <w:t xml:space="preserve">. This can be seen in book 6 in the scene between him and Andromache where he provides evidence for his motivation of </w:t>
      </w:r>
      <w:r>
        <w:rPr>
          <w:i/>
        </w:rPr>
        <w:t>oikos</w:t>
      </w:r>
      <w:r>
        <w:t xml:space="preserve"> to protect them as well as the city.</w:t>
      </w:r>
      <w:r>
        <w:rPr>
          <w:rStyle w:val="FootnoteReference"/>
        </w:rPr>
        <w:footnoteReference w:id="43"/>
      </w:r>
      <w:r>
        <w:t xml:space="preserve"> In doing this he fulfils his need to gain </w:t>
      </w:r>
      <w:r>
        <w:rPr>
          <w:i/>
        </w:rPr>
        <w:t>time</w:t>
      </w:r>
      <w:r>
        <w:t xml:space="preserve"> from those around his to look to him for familial, civic and military protection.</w:t>
      </w:r>
    </w:p>
    <w:p w14:paraId="35BBE9CF" w14:textId="05058996" w:rsidR="002E64B1" w:rsidRDefault="002E64B1" w:rsidP="00A4328C"/>
    <w:p w14:paraId="7C7FA526" w14:textId="7A2A399A" w:rsidR="00EC79CD" w:rsidRDefault="002E64B1" w:rsidP="00A4328C">
      <w:r>
        <w:t xml:space="preserve">Furthermore, Hector’s </w:t>
      </w:r>
      <w:r>
        <w:rPr>
          <w:i/>
        </w:rPr>
        <w:t>time</w:t>
      </w:r>
      <w:r>
        <w:t xml:space="preserve"> and </w:t>
      </w:r>
      <w:r>
        <w:rPr>
          <w:i/>
        </w:rPr>
        <w:t>philos</w:t>
      </w:r>
      <w:r>
        <w:t xml:space="preserve"> feed into his fear, or his fear of </w:t>
      </w:r>
      <w:r>
        <w:rPr>
          <w:i/>
        </w:rPr>
        <w:t>aidos</w:t>
      </w:r>
      <w:r>
        <w:t xml:space="preserve">. At the start of book 22 Hector is resolved to stand in front of the walls of Troy and not retreat inside, despite the begging of both his </w:t>
      </w:r>
      <w:r w:rsidR="00B75085">
        <w:t>parents.</w:t>
      </w:r>
      <w:r w:rsidR="00B75085">
        <w:rPr>
          <w:rStyle w:val="FootnoteReference"/>
        </w:rPr>
        <w:footnoteReference w:id="44"/>
      </w:r>
      <w:r w:rsidR="00B75085">
        <w:t xml:space="preserve"> However, when he spies Achilles charging at him Hector flees in fear.</w:t>
      </w:r>
      <w:r w:rsidR="00B75085">
        <w:rPr>
          <w:rStyle w:val="FootnoteReference"/>
        </w:rPr>
        <w:footnoteReference w:id="45"/>
      </w:r>
      <w:r>
        <w:t xml:space="preserve"> In his fear, Hector’s </w:t>
      </w:r>
      <w:r>
        <w:rPr>
          <w:i/>
        </w:rPr>
        <w:t>philos</w:t>
      </w:r>
      <w:r>
        <w:t xml:space="preserve"> is fundamental. He is scared for the fate of his family should Troy fall, and </w:t>
      </w:r>
      <w:r>
        <w:rPr>
          <w:i/>
        </w:rPr>
        <w:t>philos</w:t>
      </w:r>
      <w:r>
        <w:t xml:space="preserve"> may even be his downfall. He is so focused on caring </w:t>
      </w:r>
      <w:r>
        <w:lastRenderedPageBreak/>
        <w:t xml:space="preserve">for his family that he makes the strategic mistake that lead to the combat between him and Achilles. </w:t>
      </w:r>
      <w:r w:rsidR="00F1241D">
        <w:t xml:space="preserve">Hector’s relationship with family members also put him into a structural opposition to Achilles within the text. Similarly, it could be perceived that </w:t>
      </w:r>
      <w:r w:rsidR="00F1241D">
        <w:rPr>
          <w:i/>
        </w:rPr>
        <w:t>philos</w:t>
      </w:r>
      <w:r w:rsidR="00F1241D">
        <w:t xml:space="preserve"> leads to Achilles’ downfall, his love for Patroclus sending him into a spiral of overwhelming emotion after Patroclus’ death.</w:t>
      </w:r>
    </w:p>
    <w:p w14:paraId="4A6D9DD0" w14:textId="77777777" w:rsidR="00A4328C" w:rsidRDefault="00A4328C" w:rsidP="00A4328C"/>
    <w:p w14:paraId="01A384AC" w14:textId="2D740D79" w:rsidR="00A4328C" w:rsidRDefault="00541414" w:rsidP="00A4328C">
      <w:r>
        <w:t>Further parallels, or ‘polarities’ as Schein</w:t>
      </w:r>
      <w:r>
        <w:rPr>
          <w:rStyle w:val="FootnoteReference"/>
        </w:rPr>
        <w:footnoteReference w:id="46"/>
      </w:r>
      <w:r>
        <w:t xml:space="preserve"> describes these structural oppositions / devices of the two heroes is the core</w:t>
      </w:r>
      <w:r w:rsidR="00E03EB9">
        <w:t xml:space="preserve"> of their motivations.</w:t>
      </w:r>
      <w:r w:rsidR="00F1241D">
        <w:t xml:space="preserve"> Hector’s motivations are cooperatively based, and Achilles’ motivations are individualistic. Hector mentions that his </w:t>
      </w:r>
      <w:r w:rsidR="00F1241D">
        <w:rPr>
          <w:i/>
        </w:rPr>
        <w:t>oikos</w:t>
      </w:r>
      <w:r w:rsidR="00F1241D">
        <w:t xml:space="preserve"> is to the city and his family; that in gaining </w:t>
      </w:r>
      <w:r w:rsidR="00F1241D">
        <w:rPr>
          <w:i/>
        </w:rPr>
        <w:t>time</w:t>
      </w:r>
      <w:r w:rsidR="00F1241D">
        <w:t xml:space="preserve"> and </w:t>
      </w:r>
      <w:r w:rsidR="00F1241D">
        <w:rPr>
          <w:i/>
        </w:rPr>
        <w:t>kleos</w:t>
      </w:r>
      <w:r w:rsidR="00F1241D">
        <w:t xml:space="preserve"> his is not just receiving this for himself but also on behalf of his father Priam. His fear is for the fate of his family and Troy in that he would be failing them by dying, as with his death comes the fall of Troy.</w:t>
      </w:r>
      <w:r w:rsidR="00F1241D">
        <w:rPr>
          <w:rStyle w:val="FootnoteReference"/>
        </w:rPr>
        <w:footnoteReference w:id="47"/>
      </w:r>
      <w:r w:rsidR="00F1241D">
        <w:t xml:space="preserve"> Achilles, on the other hand, leaves the war because of his </w:t>
      </w:r>
      <w:r w:rsidR="00F1241D">
        <w:rPr>
          <w:i/>
        </w:rPr>
        <w:t>menis</w:t>
      </w:r>
      <w:r w:rsidR="00F1241D">
        <w:t xml:space="preserve"> with Agamemnon in book 1, and it is because of his personal </w:t>
      </w:r>
      <w:r w:rsidR="00F1241D">
        <w:rPr>
          <w:i/>
        </w:rPr>
        <w:t>menis</w:t>
      </w:r>
      <w:r w:rsidR="00F1241D">
        <w:t xml:space="preserve"> that the and the Myrmid</w:t>
      </w:r>
      <w:r w:rsidR="007B5AC4">
        <w:t>on</w:t>
      </w:r>
      <w:r w:rsidR="00F1241D">
        <w:t xml:space="preserve">s stop fighting. His </w:t>
      </w:r>
      <w:r w:rsidR="00F1241D">
        <w:rPr>
          <w:i/>
        </w:rPr>
        <w:t>aidos</w:t>
      </w:r>
      <w:r w:rsidR="00F1241D">
        <w:t xml:space="preserve"> comes about with the death of Patroclus, which he blames himself for, again making it an individualistic motivation. Finally, as mentioned above, Achilles’ need for revenge is fed by his </w:t>
      </w:r>
      <w:r w:rsidR="00F1241D">
        <w:rPr>
          <w:i/>
        </w:rPr>
        <w:t>aidos</w:t>
      </w:r>
      <w:r w:rsidR="00F1241D">
        <w:t xml:space="preserve"> and </w:t>
      </w:r>
      <w:r w:rsidR="00F1241D">
        <w:rPr>
          <w:i/>
        </w:rPr>
        <w:t>menis</w:t>
      </w:r>
      <w:r w:rsidR="00F1241D">
        <w:t>, truly confirming his motivations as individualistic.</w:t>
      </w:r>
    </w:p>
    <w:p w14:paraId="4242E423" w14:textId="1B36FA58" w:rsidR="00F1241D" w:rsidRDefault="00F1241D" w:rsidP="00A4328C"/>
    <w:p w14:paraId="272EBD77" w14:textId="458560EF" w:rsidR="00F1241D" w:rsidRDefault="00F1241D" w:rsidP="00A4328C">
      <w:r>
        <w:t xml:space="preserve">These cooperative and individualistic cores of Achilles and Hector’s motivations are not just paralleling for the two characters, but also for the depictions of the Trojans and the Greeks. The Trojans are more likely to be given a domestic and familial scene. Along with Hector, Priam is also shown to be a gentle man, as can be seen in him begging Hector to come back inside the walls, his lament at Hector’s death, and in addition when he goes to Achilles in the Greek camp to ask for Hector’s body to be returned in book 24, </w:t>
      </w:r>
      <w:r>
        <w:rPr>
          <w:i/>
        </w:rPr>
        <w:t>Priam and Achilles</w:t>
      </w:r>
      <w:r>
        <w:t>.</w:t>
      </w:r>
      <w:r>
        <w:rPr>
          <w:rStyle w:val="FootnoteReference"/>
        </w:rPr>
        <w:footnoteReference w:id="48"/>
      </w:r>
      <w:r>
        <w:t xml:space="preserve"> Domestic and familial scenes are not depicted for the Greeks, although </w:t>
      </w:r>
      <w:r w:rsidR="003066DB">
        <w:t>tenderness for Patroclus is displayed by Achilles.</w:t>
      </w:r>
      <w:r w:rsidR="003066DB">
        <w:rPr>
          <w:rStyle w:val="FootnoteReference"/>
        </w:rPr>
        <w:footnoteReference w:id="49"/>
      </w:r>
      <w:r w:rsidR="003066DB">
        <w:t xml:space="preserve"> In his descriptions of the Greeks and the Trojans, Homer appears to depict the Greeks as more ruthless and the Trojans as more caring. However, this emotional wall shown by the Greeks could be as a result of them fighting </w:t>
      </w:r>
      <w:r w:rsidR="007B5AC4">
        <w:t>i</w:t>
      </w:r>
      <w:r w:rsidR="003066DB">
        <w:t xml:space="preserve">n “foreign </w:t>
      </w:r>
      <w:r w:rsidR="007B5AC4">
        <w:t>land</w:t>
      </w:r>
      <w:r w:rsidR="003066DB">
        <w:t>”</w:t>
      </w:r>
      <w:r w:rsidR="003066DB">
        <w:rPr>
          <w:rStyle w:val="FootnoteReference"/>
        </w:rPr>
        <w:footnoteReference w:id="50"/>
      </w:r>
      <w:r w:rsidR="003066DB">
        <w:t xml:space="preserve"> separated from their domestic context and without their family members.</w:t>
      </w:r>
    </w:p>
    <w:p w14:paraId="5F8DF39C" w14:textId="63C79644" w:rsidR="003066DB" w:rsidRDefault="003066DB" w:rsidP="00A4328C"/>
    <w:p w14:paraId="7ADC8C6F" w14:textId="651D037F" w:rsidR="003066DB" w:rsidRPr="003066DB" w:rsidRDefault="003066DB" w:rsidP="00A4328C">
      <w:r>
        <w:t xml:space="preserve">In terms of </w:t>
      </w:r>
      <w:r>
        <w:rPr>
          <w:i/>
        </w:rPr>
        <w:t>The Iliad’s</w:t>
      </w:r>
      <w:r>
        <w:t xml:space="preserve"> structure, many scholars have noted a parallel between book 3, </w:t>
      </w:r>
      <w:r>
        <w:rPr>
          <w:i/>
        </w:rPr>
        <w:t>A Duel and a Trojan View of the Greeks</w:t>
      </w:r>
      <w:r>
        <w:t>, and book 22. The duel in book 3 between Menelaus and Paris, both of whom are the husbands of Helen and the instigators of the Trojan war, has been paralleled with the combat in book 22 between Achilles and Hector, at the end of which Hector is killed, bringing about the end of the war, as when Hector dies, Troy will ultimately fall.</w:t>
      </w:r>
      <w:r>
        <w:rPr>
          <w:rStyle w:val="FootnoteReference"/>
        </w:rPr>
        <w:footnoteReference w:id="51"/>
      </w:r>
      <w:r>
        <w:t xml:space="preserve"> Furthermore, the duel between Menelaus and Paris is the first combat of the poem, serving as a reminder for the audience of the origins of the war, and the duel between Achilles and Hector is the final combat of the poem.</w:t>
      </w:r>
      <w:r>
        <w:rPr>
          <w:rStyle w:val="FootnoteReference"/>
        </w:rPr>
        <w:footnoteReference w:id="52"/>
      </w:r>
      <w:r>
        <w:t xml:space="preserve"> The structure of these books and the positioning of the battles at these points within the epic offers a cyclical form that has been noted by Schein and Louden, an artistic organisation that Hughes notes reflects </w:t>
      </w:r>
      <w:r>
        <w:lastRenderedPageBreak/>
        <w:t>the principle of balance inherent in later Greek culture.</w:t>
      </w:r>
      <w:r>
        <w:rPr>
          <w:rStyle w:val="FootnoteReference"/>
        </w:rPr>
        <w:footnoteReference w:id="53"/>
      </w:r>
      <w:r>
        <w:t xml:space="preserve"> However, the narrative arc of </w:t>
      </w:r>
      <w:r>
        <w:rPr>
          <w:i/>
        </w:rPr>
        <w:t>The Iliad</w:t>
      </w:r>
      <w:r>
        <w:t>, as commented on by Schein, is linear rather than cyclical, and leads towards the death of Hector and Achilles, and the destruction of Troy and is a “representation of the tragically urgent and limited human condition.”</w:t>
      </w:r>
      <w:r>
        <w:rPr>
          <w:rStyle w:val="FootnoteReference"/>
        </w:rPr>
        <w:footnoteReference w:id="54"/>
      </w:r>
      <w:r>
        <w:t xml:space="preserve"> Schein further comments that this combination of the linear narrative and the ring cycle gives the epic its power.</w:t>
      </w:r>
      <w:r>
        <w:rPr>
          <w:rStyle w:val="FootnoteReference"/>
        </w:rPr>
        <w:footnoteReference w:id="55"/>
      </w:r>
    </w:p>
    <w:p w14:paraId="4859BEFF" w14:textId="4A73042E" w:rsidR="00095311" w:rsidRDefault="00095311" w:rsidP="00A4328C"/>
    <w:p w14:paraId="39743BFE" w14:textId="3FE7AB25" w:rsidR="003066DB" w:rsidRDefault="003066DB" w:rsidP="00A4328C">
      <w:r>
        <w:t xml:space="preserve">The linear narrative also depends upon the motivations of both Hector and Achilles, particularly Achilles’ </w:t>
      </w:r>
      <w:r>
        <w:rPr>
          <w:i/>
        </w:rPr>
        <w:t>menis</w:t>
      </w:r>
      <w:r>
        <w:t xml:space="preserve">. This dependency is not exclusive to the motivations of Hector and Achilles, and the development of the narrative also relies on other characters such as Menelaus and Agamemnon. However, it is Achilles’ overwhelming </w:t>
      </w:r>
      <w:r>
        <w:rPr>
          <w:i/>
        </w:rPr>
        <w:t>menis</w:t>
      </w:r>
      <w:r>
        <w:t>, noted by Feeney who describes Achilles’ wrath as a “structural and thematic” device,</w:t>
      </w:r>
      <w:r>
        <w:rPr>
          <w:rStyle w:val="FootnoteReference"/>
        </w:rPr>
        <w:footnoteReference w:id="56"/>
      </w:r>
      <w:r w:rsidR="00E864D0">
        <w:t xml:space="preserve"> that fed by his </w:t>
      </w:r>
      <w:r w:rsidR="00E864D0">
        <w:rPr>
          <w:i/>
        </w:rPr>
        <w:t>aidos</w:t>
      </w:r>
      <w:r w:rsidR="00E864D0">
        <w:t xml:space="preserve"> and </w:t>
      </w:r>
      <w:r w:rsidR="00E864D0">
        <w:rPr>
          <w:i/>
        </w:rPr>
        <w:t>philos</w:t>
      </w:r>
      <w:r w:rsidR="00E864D0">
        <w:t xml:space="preserve"> drives the narrative forward in such a brutal fashion.</w:t>
      </w:r>
    </w:p>
    <w:p w14:paraId="359D92F8" w14:textId="791BF67A" w:rsidR="00E864D0" w:rsidRDefault="00E864D0" w:rsidP="00A4328C"/>
    <w:p w14:paraId="40CBA3FA" w14:textId="6D865BFE" w:rsidR="00E864D0" w:rsidRDefault="00E864D0" w:rsidP="00A4328C">
      <w:r>
        <w:t xml:space="preserve">Hector, as the leader of the Trojan armies, and the embodiment of Troy has become so relied upon by the Trojans that his sense of civic </w:t>
      </w:r>
      <w:r>
        <w:rPr>
          <w:i/>
        </w:rPr>
        <w:t>oikos</w:t>
      </w:r>
      <w:r>
        <w:t xml:space="preserve"> overpowers him. He therefore does not heed the strategic advice given to him by Polydamas,</w:t>
      </w:r>
      <w:r>
        <w:rPr>
          <w:rStyle w:val="FootnoteReference"/>
        </w:rPr>
        <w:footnoteReference w:id="57"/>
      </w:r>
      <w:r>
        <w:t xml:space="preserve"> Andromache,</w:t>
      </w:r>
      <w:r>
        <w:rPr>
          <w:rStyle w:val="FootnoteReference"/>
        </w:rPr>
        <w:footnoteReference w:id="58"/>
      </w:r>
      <w:r w:rsidR="006F74B5">
        <w:t xml:space="preserve"> and even his parents’ piteous address not to fight Achilles in book 22.</w:t>
      </w:r>
      <w:r w:rsidR="006F74B5">
        <w:rPr>
          <w:rStyle w:val="FootnoteReference"/>
        </w:rPr>
        <w:footnoteReference w:id="59"/>
      </w:r>
      <w:r w:rsidR="006F74B5">
        <w:t xml:space="preserve"> As a result, his sense of civic and familial </w:t>
      </w:r>
      <w:r w:rsidR="006F74B5">
        <w:rPr>
          <w:i/>
        </w:rPr>
        <w:t>oikos</w:t>
      </w:r>
      <w:r w:rsidR="006F74B5">
        <w:t xml:space="preserve"> leads him to disregard his rationality and forces upon him the necessity to believe that he is able to withstand the onslaught of Achilles’ </w:t>
      </w:r>
      <w:r w:rsidR="006F74B5">
        <w:rPr>
          <w:i/>
        </w:rPr>
        <w:t>menis</w:t>
      </w:r>
      <w:r w:rsidR="006F74B5">
        <w:t xml:space="preserve">. The weight of the expectations of Troy, and his </w:t>
      </w:r>
      <w:r w:rsidR="006F74B5">
        <w:rPr>
          <w:i/>
        </w:rPr>
        <w:t>oikos</w:t>
      </w:r>
      <w:r w:rsidR="006F74B5">
        <w:t>, have led him to this inevitable point.</w:t>
      </w:r>
    </w:p>
    <w:p w14:paraId="568419C8" w14:textId="24DDE6E6" w:rsidR="006F74B5" w:rsidRDefault="006F74B5" w:rsidP="00A4328C"/>
    <w:p w14:paraId="6FEFC5D7" w14:textId="0A06D23E" w:rsidR="006F74B5" w:rsidRDefault="006F74B5" w:rsidP="00A4328C">
      <w:r>
        <w:t xml:space="preserve">Within </w:t>
      </w:r>
      <w:r>
        <w:rPr>
          <w:i/>
        </w:rPr>
        <w:t>The Iliad</w:t>
      </w:r>
      <w:r>
        <w:t xml:space="preserve"> there appears to be a minimising of Hector’s abilities on the battlefield when duelling with the Greek characters, for example when he fights Ajax in book 7, </w:t>
      </w:r>
      <w:r>
        <w:rPr>
          <w:i/>
        </w:rPr>
        <w:t>Ajax Fights Hector</w:t>
      </w:r>
      <w:r>
        <w:t>. This bias against Hector is reflected in the lack of scholarship focusing on Hector’s prowess on the battlefield. Traill notes this in his article ‘Unfair to Hector?’ in which he discusses how Hector seems to always come up short in his duels with the Greeks. Triall challenges Homer’s depiction of the Trojans, and comments that if the Trojans have managed to keep the Greeks at bay for ten years then it is odd that Hector, as their greatest warrior and described as second in battle only to Achilles, cannot defeat the great Greek heroes.</w:t>
      </w:r>
      <w:r>
        <w:rPr>
          <w:rStyle w:val="FootnoteReference"/>
        </w:rPr>
        <w:footnoteReference w:id="60"/>
      </w:r>
      <w:r>
        <w:t xml:space="preserve"> It could be that it is Homer’s bias, as a Greek telling the story of the Trojan defeat, that awards status to one side or another and one character or another, and this will consequently be reflected in the capacity of the scholarship to critique Homer’s depiction of the victorious or the vanquished. However, the Trojans receive greater emphasis from Homer in terms of their representation of </w:t>
      </w:r>
      <w:r>
        <w:rPr>
          <w:i/>
        </w:rPr>
        <w:t>philos</w:t>
      </w:r>
      <w:r>
        <w:t>, although this may be as a result of the lack of opportunity that the Greeks have to express this as they are away from their families.</w:t>
      </w:r>
    </w:p>
    <w:p w14:paraId="42BC5377" w14:textId="5DAC8499" w:rsidR="006F74B5" w:rsidRDefault="006F74B5" w:rsidP="00A4328C"/>
    <w:p w14:paraId="3E67D319" w14:textId="64E340ED" w:rsidR="00657459" w:rsidRDefault="00657459" w:rsidP="00A4328C">
      <w:r>
        <w:t xml:space="preserve">This essay has identified three primary motivations for both Hector and Achilles leading up to their combat in book 22, and analysed the core behind their motivations, and how this further relates to the city or state that they represent as a character, with much </w:t>
      </w:r>
      <w:r>
        <w:lastRenderedPageBreak/>
        <w:t xml:space="preserve">consideration to the relevant scholarship. There was found to be more scholarship on Achilles over Hector, revealing a bias within contemporary writings. In studying the structure of </w:t>
      </w:r>
      <w:r>
        <w:rPr>
          <w:i/>
        </w:rPr>
        <w:t>The Iliad</w:t>
      </w:r>
      <w:r>
        <w:t xml:space="preserve"> there has been a greater understanding of the epic and how the linear narrative and ring cycle are able to create parallels between specific books, and even characters. This has further increased understanding of how the motivations of the characters, Achilles and Hector, propels the linear narrative toward book 22 and the outcome of the war, which is left unfinished at the end of the poem.</w:t>
      </w:r>
      <w:r w:rsidR="00384393">
        <w:t xml:space="preserve"> Although this essay has considered the </w:t>
      </w:r>
      <w:r w:rsidR="005D063F">
        <w:t>motivations</w:t>
      </w:r>
      <w:r w:rsidR="00384393">
        <w:t xml:space="preserve"> of Hector and Achilles and </w:t>
      </w:r>
      <w:r w:rsidR="005D063F">
        <w:t>the role that various values have playing in driving the characters towards the conclusion and resolution of the epic, it has not considered the role of the gods and their interventions and manipulations of characters within the epic, nor the role of fate in the individual arc of each characte</w:t>
      </w:r>
      <w:r w:rsidR="00A63B6F">
        <w:t>r. An example of this is when a god or goddess would save their favoured hero, such as the intervention of Apollo in book … when he saved Hector from Achilles, and then held the gates of the city for him;</w:t>
      </w:r>
      <w:r w:rsidR="00A63B6F">
        <w:rPr>
          <w:rStyle w:val="FootnoteReference"/>
        </w:rPr>
        <w:footnoteReference w:id="61"/>
      </w:r>
      <w:r w:rsidR="00A63B6F">
        <w:t xml:space="preserve"> or Aphrodite removing Paris from his duel with Menelaus and placing him back inside the city of Troy.</w:t>
      </w:r>
      <w:r w:rsidR="00A63B6F">
        <w:rPr>
          <w:rStyle w:val="FootnoteReference"/>
        </w:rPr>
        <w:footnoteReference w:id="62"/>
      </w:r>
      <w:r w:rsidR="00A63B6F">
        <w:t xml:space="preserve"> However, even the gods did not intervene with fate, and as a result did not save Hector from Achilles because he was fated to die at his hands once he killed Patroclus.</w:t>
      </w:r>
      <w:r w:rsidR="00A63B6F">
        <w:rPr>
          <w:rStyle w:val="FootnoteReference"/>
        </w:rPr>
        <w:footnoteReference w:id="63"/>
      </w:r>
      <w:r w:rsidR="00A63B6F">
        <w:t xml:space="preserve"> Therefore a further avenue of research of this essay would be an analysis of the intervention of the gods and how fate led to their actions within the epic.</w:t>
      </w:r>
    </w:p>
    <w:p w14:paraId="7D3E9FE2" w14:textId="66888E7F" w:rsidR="00C66FB5" w:rsidRDefault="00C66FB5">
      <w:r>
        <w:br w:type="page"/>
      </w:r>
    </w:p>
    <w:p w14:paraId="1FCF7F79" w14:textId="42393BA7" w:rsidR="00C66FB5" w:rsidRDefault="00C66FB5" w:rsidP="00A4328C">
      <w:r>
        <w:rPr>
          <w:b/>
          <w:u w:val="single"/>
        </w:rPr>
        <w:lastRenderedPageBreak/>
        <w:t>Bibliography</w:t>
      </w:r>
    </w:p>
    <w:p w14:paraId="28B24791" w14:textId="5A704D9B" w:rsidR="00C66FB5" w:rsidRDefault="00C66FB5" w:rsidP="00A4328C"/>
    <w:p w14:paraId="325323A6" w14:textId="77777777" w:rsidR="00C66FB5" w:rsidRPr="00C05D95" w:rsidRDefault="00C66FB5" w:rsidP="00C66FB5">
      <w:pPr>
        <w:rPr>
          <w:b/>
          <w:u w:val="single"/>
        </w:rPr>
      </w:pPr>
      <w:r w:rsidRPr="00C05D95">
        <w:rPr>
          <w:b/>
          <w:u w:val="single"/>
        </w:rPr>
        <w:t>Ancient</w:t>
      </w:r>
    </w:p>
    <w:p w14:paraId="3A8B58B8" w14:textId="77777777" w:rsidR="00C66FB5" w:rsidRDefault="00C66FB5" w:rsidP="00C66FB5"/>
    <w:p w14:paraId="0ED75447" w14:textId="77777777" w:rsidR="00C66FB5" w:rsidRPr="00CA0418" w:rsidRDefault="00C66FB5" w:rsidP="00C66FB5">
      <w:r>
        <w:t xml:space="preserve">Homer, </w:t>
      </w:r>
      <w:r>
        <w:rPr>
          <w:i/>
        </w:rPr>
        <w:t>The Iliad</w:t>
      </w:r>
      <w:r>
        <w:t>. P. Jones (trans.). 2003. London: Penguin Books</w:t>
      </w:r>
    </w:p>
    <w:p w14:paraId="75C8DB91" w14:textId="77777777" w:rsidR="00C66FB5" w:rsidRDefault="00C66FB5" w:rsidP="00C66FB5"/>
    <w:p w14:paraId="359C3739" w14:textId="77777777" w:rsidR="00C66FB5" w:rsidRPr="00C05D95" w:rsidRDefault="00C66FB5" w:rsidP="00C66FB5">
      <w:pPr>
        <w:rPr>
          <w:b/>
          <w:u w:val="single"/>
        </w:rPr>
      </w:pPr>
      <w:r w:rsidRPr="00C05D95">
        <w:rPr>
          <w:b/>
          <w:u w:val="single"/>
        </w:rPr>
        <w:t>Modern</w:t>
      </w:r>
    </w:p>
    <w:p w14:paraId="44FF4EC3" w14:textId="77777777" w:rsidR="00C66FB5" w:rsidRDefault="00C66FB5" w:rsidP="00C66FB5"/>
    <w:p w14:paraId="117D6C81" w14:textId="77777777" w:rsidR="00C66FB5" w:rsidRPr="008B7F5A" w:rsidRDefault="00C66FB5" w:rsidP="00C66FB5">
      <w:r>
        <w:t xml:space="preserve">Adkins, A. W. H. (1962) ‘’Friendship’ and ‘Self-Sufficiency’ in Homer and Aristotle’, </w:t>
      </w:r>
      <w:r>
        <w:rPr>
          <w:i/>
        </w:rPr>
        <w:t>The Classical Quarterly</w:t>
      </w:r>
      <w:r>
        <w:t>, 13(1), pp. 30-45.</w:t>
      </w:r>
    </w:p>
    <w:p w14:paraId="13B8464A" w14:textId="77777777" w:rsidR="00C66FB5" w:rsidRDefault="00C66FB5" w:rsidP="00C66FB5"/>
    <w:p w14:paraId="1F6D4BEB" w14:textId="77777777" w:rsidR="00C66FB5" w:rsidRPr="002F25FB" w:rsidRDefault="00C66FB5" w:rsidP="00C66FB5">
      <w:r>
        <w:t xml:space="preserve">Adkins, A. W. H. (1982) ‘Values, Goals, and Emotions in the Iliad’, </w:t>
      </w:r>
      <w:r>
        <w:rPr>
          <w:i/>
        </w:rPr>
        <w:t>Classical Philology</w:t>
      </w:r>
      <w:r>
        <w:t>, 77(4), pp. 292-326.</w:t>
      </w:r>
    </w:p>
    <w:p w14:paraId="3F063157" w14:textId="77777777" w:rsidR="00C66FB5" w:rsidRDefault="00C66FB5" w:rsidP="00C66FB5"/>
    <w:p w14:paraId="6B9FAE92" w14:textId="77777777" w:rsidR="00C66FB5" w:rsidRPr="00C05D95" w:rsidRDefault="00C66FB5" w:rsidP="00C66FB5">
      <w:r>
        <w:t xml:space="preserve">Arieti, J. A. (1985) ‘Achilles’ Guilt’, </w:t>
      </w:r>
      <w:r>
        <w:rPr>
          <w:i/>
        </w:rPr>
        <w:t>The Classical Journal</w:t>
      </w:r>
      <w:r>
        <w:t>, 80(3), pp. 193-203.</w:t>
      </w:r>
    </w:p>
    <w:p w14:paraId="67F8FA51" w14:textId="77777777" w:rsidR="00C66FB5" w:rsidRDefault="00C66FB5" w:rsidP="00C66FB5"/>
    <w:p w14:paraId="55A7E930" w14:textId="77777777" w:rsidR="00C66FB5" w:rsidRDefault="00C66FB5" w:rsidP="00C66FB5">
      <w:r>
        <w:t xml:space="preserve">Bassett, S. E. (1923) ‘Hector’s Fault in Honour’, </w:t>
      </w:r>
      <w:r>
        <w:rPr>
          <w:i/>
        </w:rPr>
        <w:t>Transactions and Proceedings of the American Philological Association</w:t>
      </w:r>
      <w:r>
        <w:t>, 54, pp. 117-127.</w:t>
      </w:r>
    </w:p>
    <w:p w14:paraId="25A9C8A1" w14:textId="77777777" w:rsidR="00C66FB5" w:rsidRDefault="00C66FB5" w:rsidP="00C66FB5"/>
    <w:p w14:paraId="7D829B6E" w14:textId="77777777" w:rsidR="00C66FB5" w:rsidRPr="001E0D97" w:rsidRDefault="00C66FB5" w:rsidP="00C66FB5">
      <w:r>
        <w:t xml:space="preserve">Bassett, S. E. (1933) ‘Achilles’ Treatment of Hector’s Body’, in </w:t>
      </w:r>
      <w:r>
        <w:rPr>
          <w:i/>
        </w:rPr>
        <w:t>Transactions and Proceedings of the American Philological Association</w:t>
      </w:r>
      <w:r>
        <w:t>, 24, pp. 41-65</w:t>
      </w:r>
    </w:p>
    <w:p w14:paraId="1691CE17" w14:textId="77777777" w:rsidR="00C66FB5" w:rsidRDefault="00C66FB5" w:rsidP="00C66FB5"/>
    <w:p w14:paraId="729BF708" w14:textId="77777777" w:rsidR="00C66FB5" w:rsidRDefault="00C66FB5" w:rsidP="00C66FB5">
      <w:r>
        <w:t xml:space="preserve">Bassett, S. E. (1933) ‘Hector’s Last Words, “Iliad” XXII, 358-60’, </w:t>
      </w:r>
      <w:r>
        <w:rPr>
          <w:i/>
        </w:rPr>
        <w:t>The Classical Journal</w:t>
      </w:r>
      <w:r>
        <w:t>, 29(2), pp. 133-135.</w:t>
      </w:r>
    </w:p>
    <w:p w14:paraId="6460F453" w14:textId="77777777" w:rsidR="00C66FB5" w:rsidRDefault="00C66FB5" w:rsidP="00C66FB5"/>
    <w:p w14:paraId="768A0F42" w14:textId="77777777" w:rsidR="00C66FB5" w:rsidRDefault="00C66FB5" w:rsidP="00C66FB5">
      <w:r>
        <w:t xml:space="preserve">Benardete, S. (1963) ‘Achilles and the Iliad’, </w:t>
      </w:r>
      <w:r>
        <w:rPr>
          <w:i/>
        </w:rPr>
        <w:t>Hermes</w:t>
      </w:r>
      <w:r>
        <w:t>, 91, 1 pp. 1-16.</w:t>
      </w:r>
    </w:p>
    <w:p w14:paraId="29784187" w14:textId="77777777" w:rsidR="00C66FB5" w:rsidRDefault="00C66FB5" w:rsidP="00C66FB5"/>
    <w:p w14:paraId="057696E9" w14:textId="77777777" w:rsidR="00C66FB5" w:rsidRPr="00482547" w:rsidRDefault="00C66FB5" w:rsidP="00C66FB5">
      <w:r>
        <w:t xml:space="preserve">Brown, E. W. (1965) ‘Sophocles’ Ajax and Homer’s Hector’, in </w:t>
      </w:r>
      <w:r>
        <w:rPr>
          <w:i/>
        </w:rPr>
        <w:t>The Classical Journal</w:t>
      </w:r>
      <w:r>
        <w:t>, 61(3), pp. 118-121</w:t>
      </w:r>
    </w:p>
    <w:p w14:paraId="31882B55" w14:textId="77777777" w:rsidR="00C66FB5" w:rsidRDefault="00C66FB5" w:rsidP="00C66FB5"/>
    <w:p w14:paraId="4FF328AE" w14:textId="77777777" w:rsidR="00C66FB5" w:rsidRPr="007B69A5" w:rsidRDefault="00C66FB5" w:rsidP="00C66FB5">
      <w:r>
        <w:t xml:space="preserve">Claus, D. B. (1975) ‘Aidos in the Language of Achilles’, in </w:t>
      </w:r>
      <w:r>
        <w:rPr>
          <w:i/>
        </w:rPr>
        <w:t>Transactions of the American Philological Association</w:t>
      </w:r>
      <w:r>
        <w:t>. 105, pp. 13-28</w:t>
      </w:r>
    </w:p>
    <w:p w14:paraId="3E6C7C05" w14:textId="77777777" w:rsidR="00C66FB5" w:rsidRDefault="00C66FB5" w:rsidP="00C66FB5"/>
    <w:p w14:paraId="62DE995E" w14:textId="77777777" w:rsidR="00C66FB5" w:rsidRDefault="00C66FB5" w:rsidP="00C66FB5">
      <w:r>
        <w:t xml:space="preserve">De Jong, I. (2011) </w:t>
      </w:r>
      <w:r>
        <w:rPr>
          <w:i/>
        </w:rPr>
        <w:t>Homer: Iliad Book XXII</w:t>
      </w:r>
      <w:r>
        <w:t>. Cambridge: Cambridge University Press.</w:t>
      </w:r>
    </w:p>
    <w:p w14:paraId="10AE84EA" w14:textId="77777777" w:rsidR="00C66FB5" w:rsidRDefault="00C66FB5" w:rsidP="00C66FB5"/>
    <w:p w14:paraId="122DCFB7" w14:textId="77777777" w:rsidR="00C66FB5" w:rsidRPr="00CE1624" w:rsidRDefault="00C66FB5" w:rsidP="00C66FB5">
      <w:r>
        <w:t xml:space="preserve">Dodds, E. R. (1951) </w:t>
      </w:r>
      <w:r>
        <w:rPr>
          <w:i/>
        </w:rPr>
        <w:t>The Greeks and the Irrational</w:t>
      </w:r>
      <w:r>
        <w:t>. California: University of California Press.</w:t>
      </w:r>
    </w:p>
    <w:p w14:paraId="028656A2" w14:textId="77777777" w:rsidR="00C66FB5" w:rsidRDefault="00C66FB5" w:rsidP="00C66FB5"/>
    <w:p w14:paraId="76B62C56" w14:textId="77777777" w:rsidR="00C66FB5" w:rsidRDefault="00C66FB5" w:rsidP="00C66FB5">
      <w:r>
        <w:t xml:space="preserve">Edwards, M. (1987) </w:t>
      </w:r>
      <w:r>
        <w:rPr>
          <w:i/>
        </w:rPr>
        <w:t>Homer, Poet of the Iliad</w:t>
      </w:r>
      <w:r>
        <w:t>. London: The Johns Hopkins Press.</w:t>
      </w:r>
    </w:p>
    <w:p w14:paraId="45CFD4E2" w14:textId="77777777" w:rsidR="00C66FB5" w:rsidRDefault="00C66FB5" w:rsidP="00C66FB5"/>
    <w:p w14:paraId="5126B366" w14:textId="77777777" w:rsidR="00C66FB5" w:rsidRPr="003C778B" w:rsidRDefault="00C66FB5" w:rsidP="00C66FB5">
      <w:r>
        <w:t xml:space="preserve">Edwards, E. T. (1984) ‘”Aristos Achaion”: Heroic Death and Dramatic Structure in the “Iliad”’, </w:t>
      </w:r>
      <w:r>
        <w:rPr>
          <w:i/>
        </w:rPr>
        <w:t>Quaderni Urbinati di Cultura Classica</w:t>
      </w:r>
      <w:r>
        <w:t>, 17(2), pp. 61-80</w:t>
      </w:r>
    </w:p>
    <w:p w14:paraId="54BD2CF7" w14:textId="77777777" w:rsidR="00C66FB5" w:rsidRDefault="00C66FB5" w:rsidP="00C66FB5"/>
    <w:p w14:paraId="7872E28F" w14:textId="77777777" w:rsidR="00C66FB5" w:rsidRPr="00C05D95" w:rsidRDefault="00C66FB5" w:rsidP="00C66FB5">
      <w:r>
        <w:t xml:space="preserve">Farron, S. (1978) ‘The Character of Hector in the Iliad’, </w:t>
      </w:r>
      <w:r>
        <w:rPr>
          <w:i/>
        </w:rPr>
        <w:t>Acta Classica</w:t>
      </w:r>
      <w:r>
        <w:t>, 21, pp. 39-57.</w:t>
      </w:r>
    </w:p>
    <w:p w14:paraId="6A6A7831" w14:textId="77777777" w:rsidR="00C66FB5" w:rsidRDefault="00C66FB5" w:rsidP="00C66FB5"/>
    <w:p w14:paraId="1191CD8A" w14:textId="77777777" w:rsidR="00C66FB5" w:rsidRDefault="00C66FB5" w:rsidP="00C66FB5">
      <w:r>
        <w:t xml:space="preserve">Feeney, D. C. (1986) ‘Epic Hero and Epic Fable’, </w:t>
      </w:r>
      <w:r>
        <w:rPr>
          <w:i/>
        </w:rPr>
        <w:t>Comparative Literature</w:t>
      </w:r>
      <w:r>
        <w:t>, 38(2), pp. 137-158.</w:t>
      </w:r>
    </w:p>
    <w:p w14:paraId="2186E387" w14:textId="77777777" w:rsidR="00C66FB5" w:rsidRDefault="00C66FB5" w:rsidP="00C66FB5"/>
    <w:p w14:paraId="4ED374F4" w14:textId="77777777" w:rsidR="00C66FB5" w:rsidRPr="00A54D3E" w:rsidRDefault="00C66FB5" w:rsidP="00C66FB5">
      <w:r>
        <w:t xml:space="preserve">Finkelberg, M. (1998) ‘Time and Arete in Homer’, </w:t>
      </w:r>
      <w:r>
        <w:rPr>
          <w:i/>
        </w:rPr>
        <w:t>The Classical Quarterly</w:t>
      </w:r>
      <w:r>
        <w:t>, 48(1), pp. 14-28.</w:t>
      </w:r>
    </w:p>
    <w:p w14:paraId="213A9659" w14:textId="77777777" w:rsidR="00C66FB5" w:rsidRDefault="00C66FB5" w:rsidP="00C66FB5"/>
    <w:p w14:paraId="5FA6A8C6" w14:textId="77777777" w:rsidR="00C66FB5" w:rsidRDefault="00C66FB5" w:rsidP="00C66FB5">
      <w:r>
        <w:t xml:space="preserve">Gagarin, M. (1987) ‘Morality in Homer’, </w:t>
      </w:r>
      <w:r>
        <w:rPr>
          <w:i/>
        </w:rPr>
        <w:t>Classical Philology</w:t>
      </w:r>
      <w:r>
        <w:t>, 82(4), pp. 285-306.</w:t>
      </w:r>
    </w:p>
    <w:p w14:paraId="17A5A8F8" w14:textId="77777777" w:rsidR="00C66FB5" w:rsidRDefault="00C66FB5" w:rsidP="00C66FB5"/>
    <w:p w14:paraId="4950014B" w14:textId="77777777" w:rsidR="00C66FB5" w:rsidRPr="00DB764A" w:rsidRDefault="00C66FB5" w:rsidP="00C66FB5">
      <w:r>
        <w:t xml:space="preserve">Garrison, E. P. (1991) ‘Attitudes toward Suicide in Ancient Greece’, in </w:t>
      </w:r>
      <w:r>
        <w:rPr>
          <w:i/>
        </w:rPr>
        <w:t>Transactions of the American Philological Association</w:t>
      </w:r>
      <w:r>
        <w:t>, 121, pp. 1-34</w:t>
      </w:r>
    </w:p>
    <w:p w14:paraId="1D4E73DD" w14:textId="77777777" w:rsidR="00C66FB5" w:rsidRDefault="00C66FB5" w:rsidP="00C66FB5"/>
    <w:p w14:paraId="65BFA20D" w14:textId="77777777" w:rsidR="00C66FB5" w:rsidRDefault="00C66FB5" w:rsidP="00C66FB5">
      <w:r>
        <w:t xml:space="preserve">Hooker, J. T. (1987) ‘Homeric Society: A shame culture?’, </w:t>
      </w:r>
      <w:r>
        <w:rPr>
          <w:i/>
        </w:rPr>
        <w:t>Greece and Rome</w:t>
      </w:r>
      <w:r>
        <w:t>, 34(2), pp. 121-125.</w:t>
      </w:r>
    </w:p>
    <w:p w14:paraId="03B8B27B" w14:textId="77777777" w:rsidR="00C66FB5" w:rsidRDefault="00C66FB5" w:rsidP="00C66FB5"/>
    <w:p w14:paraId="5FA3BF6B" w14:textId="77777777" w:rsidR="00C66FB5" w:rsidRPr="00FF47E5" w:rsidRDefault="00C66FB5" w:rsidP="00C66FB5">
      <w:r>
        <w:t xml:space="preserve">Hughs, S. C. </w:t>
      </w:r>
      <w:r>
        <w:rPr>
          <w:i/>
        </w:rPr>
        <w:t>Prelude to the Iliad</w:t>
      </w:r>
      <w:r>
        <w:t xml:space="preserve">. Available at: </w:t>
      </w:r>
      <w:hyperlink r:id="rId8" w:history="1">
        <w:r w:rsidRPr="004946CA">
          <w:rPr>
            <w:rStyle w:val="Hyperlink"/>
          </w:rPr>
          <w:t>https://public.wsu.edu/~hughesc/Prelude_to_the_Iliad.html</w:t>
        </w:r>
      </w:hyperlink>
      <w:r>
        <w:t xml:space="preserve"> (Accessed: 15</w:t>
      </w:r>
      <w:r w:rsidRPr="00FF47E5">
        <w:rPr>
          <w:vertAlign w:val="superscript"/>
        </w:rPr>
        <w:t>th</w:t>
      </w:r>
      <w:r>
        <w:t xml:space="preserve"> May 2019)</w:t>
      </w:r>
    </w:p>
    <w:p w14:paraId="27F3688E" w14:textId="77777777" w:rsidR="00C66FB5" w:rsidRDefault="00C66FB5" w:rsidP="00C66FB5"/>
    <w:p w14:paraId="3FFECCA7" w14:textId="77777777" w:rsidR="00C66FB5" w:rsidRPr="00C05D95" w:rsidRDefault="00C66FB5" w:rsidP="00C66FB5">
      <w:r>
        <w:t xml:space="preserve">Kirk, G. (1933) </w:t>
      </w:r>
      <w:r>
        <w:rPr>
          <w:i/>
        </w:rPr>
        <w:t>The Iliad, a Commentary, Vol. VI</w:t>
      </w:r>
      <w:r>
        <w:t>. Cambridge: Cambridge University Press.</w:t>
      </w:r>
    </w:p>
    <w:p w14:paraId="2CFDFDEF" w14:textId="77777777" w:rsidR="00C66FB5" w:rsidRDefault="00C66FB5" w:rsidP="00C66FB5"/>
    <w:p w14:paraId="27037671" w14:textId="77777777" w:rsidR="00C66FB5" w:rsidRDefault="00C66FB5" w:rsidP="00C66FB5">
      <w:r>
        <w:t xml:space="preserve">Knox, B. (1990) ‘Achilles’, </w:t>
      </w:r>
      <w:r>
        <w:rPr>
          <w:i/>
        </w:rPr>
        <w:t>Grand Street</w:t>
      </w:r>
      <w:r>
        <w:t>, 9(3), pp. 129-150.</w:t>
      </w:r>
    </w:p>
    <w:p w14:paraId="4AE3A4DE" w14:textId="77777777" w:rsidR="00C66FB5" w:rsidRDefault="00C66FB5" w:rsidP="00C66FB5"/>
    <w:p w14:paraId="1A38ADFF" w14:textId="77777777" w:rsidR="00C66FB5" w:rsidRDefault="00C66FB5" w:rsidP="00C66FB5">
      <w:r>
        <w:t xml:space="preserve">Long, A. A. (1970) ‘Morals and Values in Homer’, </w:t>
      </w:r>
      <w:r>
        <w:rPr>
          <w:i/>
        </w:rPr>
        <w:t>The Journal of Hellenic Studies</w:t>
      </w:r>
      <w:r>
        <w:t>, 90, pp. 121-139.</w:t>
      </w:r>
    </w:p>
    <w:p w14:paraId="0B77BED8" w14:textId="77777777" w:rsidR="00C66FB5" w:rsidRDefault="00C66FB5" w:rsidP="00C66FB5"/>
    <w:p w14:paraId="0BE12895" w14:textId="77777777" w:rsidR="00C66FB5" w:rsidRPr="002B1F2A" w:rsidRDefault="00C66FB5" w:rsidP="00C66FB5">
      <w:r>
        <w:t xml:space="preserve">Louden, B. (2006) </w:t>
      </w:r>
      <w:r>
        <w:rPr>
          <w:i/>
        </w:rPr>
        <w:t>The Iliad. Structure, Myth and Meaning</w:t>
      </w:r>
      <w:r>
        <w:t>. Baltimore: Johns Hopkins University Press</w:t>
      </w:r>
    </w:p>
    <w:p w14:paraId="57DE93E0" w14:textId="77777777" w:rsidR="00C66FB5" w:rsidRDefault="00C66FB5" w:rsidP="00C66FB5"/>
    <w:p w14:paraId="10DBD79D" w14:textId="77777777" w:rsidR="00C66FB5" w:rsidRDefault="00C66FB5" w:rsidP="00C66FB5">
      <w:r>
        <w:t xml:space="preserve">Neal, T. (2006) ‘Blood and Hunger in the Iliad’, </w:t>
      </w:r>
      <w:r>
        <w:rPr>
          <w:i/>
        </w:rPr>
        <w:t>Classical Philology</w:t>
      </w:r>
      <w:r>
        <w:t>, 101(1), pp. 15-33.</w:t>
      </w:r>
    </w:p>
    <w:p w14:paraId="5CEB5057" w14:textId="77777777" w:rsidR="00C66FB5" w:rsidRDefault="00C66FB5" w:rsidP="00C66FB5"/>
    <w:p w14:paraId="4A75FD2F" w14:textId="77777777" w:rsidR="00C66FB5" w:rsidRDefault="00C66FB5" w:rsidP="00C66FB5">
      <w:r>
        <w:t xml:space="preserve">Redfield, J. (1975) </w:t>
      </w:r>
      <w:r>
        <w:rPr>
          <w:i/>
        </w:rPr>
        <w:t>Nature and Culture in the Iliad, The Tragedy of Hector</w:t>
      </w:r>
      <w:r>
        <w:t>. Chicago: The University of Chicago Press.</w:t>
      </w:r>
    </w:p>
    <w:p w14:paraId="2B7EDD46" w14:textId="77777777" w:rsidR="00C66FB5" w:rsidRDefault="00C66FB5" w:rsidP="00C66FB5"/>
    <w:p w14:paraId="3CFBA12B" w14:textId="77777777" w:rsidR="00C66FB5" w:rsidRDefault="00C66FB5" w:rsidP="00C66FB5">
      <w:r>
        <w:t xml:space="preserve">Sale, W. (1963) ‘Achilles and Heroic Values’, </w:t>
      </w:r>
      <w:r>
        <w:rPr>
          <w:i/>
        </w:rPr>
        <w:t>Arion: A Journal of Humanities and the Classics</w:t>
      </w:r>
      <w:r>
        <w:t>, 2(3), pp. 86-100.</w:t>
      </w:r>
    </w:p>
    <w:p w14:paraId="1C62C730" w14:textId="77777777" w:rsidR="00C66FB5" w:rsidRDefault="00C66FB5" w:rsidP="00C66FB5"/>
    <w:p w14:paraId="14804ABE" w14:textId="77777777" w:rsidR="00C66FB5" w:rsidRDefault="00C66FB5" w:rsidP="00C66FB5">
      <w:r>
        <w:t xml:space="preserve">Schein, S. (1984) </w:t>
      </w:r>
      <w:r>
        <w:rPr>
          <w:i/>
        </w:rPr>
        <w:t>The Mortal Hero, an Introduction to Homer’s Iliad</w:t>
      </w:r>
      <w:r>
        <w:t>. California: University of California Press.</w:t>
      </w:r>
    </w:p>
    <w:p w14:paraId="18C00762" w14:textId="77777777" w:rsidR="00C66FB5" w:rsidRDefault="00C66FB5" w:rsidP="00C66FB5"/>
    <w:p w14:paraId="19E80276" w14:textId="77777777" w:rsidR="00C66FB5" w:rsidRDefault="00C66FB5" w:rsidP="00C66FB5">
      <w:r>
        <w:t>Schein, S. (1997) ‘Homer as Literature’, in Morris, I. and Powell, B. B. (eds.)</w:t>
      </w:r>
      <w:r>
        <w:rPr>
          <w:i/>
        </w:rPr>
        <w:t xml:space="preserve"> A new companion to Homer</w:t>
      </w:r>
      <w:r>
        <w:t>. Leiden: E. J. Brill.</w:t>
      </w:r>
    </w:p>
    <w:p w14:paraId="74B323C2" w14:textId="77777777" w:rsidR="00C66FB5" w:rsidRDefault="00C66FB5" w:rsidP="00C66FB5"/>
    <w:p w14:paraId="176FC0D7" w14:textId="77777777" w:rsidR="00C66FB5" w:rsidRPr="00CA0418" w:rsidRDefault="00C66FB5" w:rsidP="00C66FB5">
      <w:r>
        <w:t xml:space="preserve">Segal, C. (1971) </w:t>
      </w:r>
      <w:r>
        <w:rPr>
          <w:i/>
        </w:rPr>
        <w:t>The Theme of the Mutilation of the Corpse in the Iliad</w:t>
      </w:r>
      <w:r>
        <w:t>. Netherlands: Brill.</w:t>
      </w:r>
    </w:p>
    <w:p w14:paraId="3545B938" w14:textId="77777777" w:rsidR="00C66FB5" w:rsidRDefault="00C66FB5" w:rsidP="00C66FB5"/>
    <w:p w14:paraId="4EDF6D43" w14:textId="77777777" w:rsidR="00C66FB5" w:rsidRPr="00C05D95" w:rsidRDefault="00C66FB5" w:rsidP="00C66FB5">
      <w:r>
        <w:t xml:space="preserve">Traill, D. A. (1990) ‘Unfair to Hector?’, </w:t>
      </w:r>
      <w:r>
        <w:rPr>
          <w:i/>
        </w:rPr>
        <w:t>Classical Philology</w:t>
      </w:r>
      <w:r>
        <w:t>, 85(4), pp. 299-303.</w:t>
      </w:r>
    </w:p>
    <w:p w14:paraId="6C6F8DF6" w14:textId="77777777" w:rsidR="00C66FB5" w:rsidRDefault="00C66FB5" w:rsidP="00C66FB5"/>
    <w:p w14:paraId="0EA6026B" w14:textId="77777777" w:rsidR="00C66FB5" w:rsidRDefault="00C66FB5" w:rsidP="00C66FB5">
      <w:r>
        <w:t xml:space="preserve">Van de Mije, S. R. (2011) ‘Bad Herbs – the Snake Simile in </w:t>
      </w:r>
      <w:r>
        <w:rPr>
          <w:i/>
        </w:rPr>
        <w:t>Iliad</w:t>
      </w:r>
      <w:r>
        <w:t xml:space="preserve"> 22’, </w:t>
      </w:r>
      <w:r>
        <w:rPr>
          <w:i/>
        </w:rPr>
        <w:t>Mnemosyne</w:t>
      </w:r>
      <w:r>
        <w:t>, 64, pp. 359-382.</w:t>
      </w:r>
    </w:p>
    <w:p w14:paraId="11B773A7" w14:textId="77777777" w:rsidR="00C66FB5" w:rsidRDefault="00C66FB5" w:rsidP="00C66FB5"/>
    <w:p w14:paraId="45DC8AA9" w14:textId="77777777" w:rsidR="00C66FB5" w:rsidRPr="007B69A5" w:rsidRDefault="00C66FB5" w:rsidP="00C66FB5">
      <w:r>
        <w:t xml:space="preserve">Whitehead, D. (1993) ‘Two Notes on Greek Suicide’, in </w:t>
      </w:r>
      <w:r>
        <w:rPr>
          <w:i/>
        </w:rPr>
        <w:t>The Classical Quarterly</w:t>
      </w:r>
      <w:r>
        <w:t>, 43(2), pp. 501-502</w:t>
      </w:r>
    </w:p>
    <w:p w14:paraId="38C049B1" w14:textId="77777777" w:rsidR="00C66FB5" w:rsidRDefault="00C66FB5" w:rsidP="00C66FB5"/>
    <w:p w14:paraId="43D7CC0A" w14:textId="77777777" w:rsidR="00C66FB5" w:rsidRDefault="00C66FB5" w:rsidP="00C66FB5">
      <w:r>
        <w:t xml:space="preserve">Wilcock, M. (1976) </w:t>
      </w:r>
      <w:r>
        <w:rPr>
          <w:i/>
        </w:rPr>
        <w:t>A Companion to the Iliad</w:t>
      </w:r>
      <w:r>
        <w:t>. Chicago: The University of Chicago Press.</w:t>
      </w:r>
    </w:p>
    <w:p w14:paraId="48BB7313" w14:textId="77777777" w:rsidR="00C66FB5" w:rsidRDefault="00C66FB5" w:rsidP="00C66FB5"/>
    <w:p w14:paraId="5A3A78C4" w14:textId="77777777" w:rsidR="00C66FB5" w:rsidRDefault="00C66FB5" w:rsidP="00C66FB5">
      <w:r>
        <w:t xml:space="preserve">Wilson, D. (2002) </w:t>
      </w:r>
      <w:r>
        <w:rPr>
          <w:i/>
        </w:rPr>
        <w:t>Ransom, Revenge, and the Heroic Identity in the Iliad</w:t>
      </w:r>
      <w:r>
        <w:t>. Cambridge: Cambridge University Press.</w:t>
      </w:r>
    </w:p>
    <w:p w14:paraId="1037E161" w14:textId="77777777" w:rsidR="00C66FB5" w:rsidRDefault="00C66FB5" w:rsidP="00C66FB5"/>
    <w:p w14:paraId="4ACE0879" w14:textId="77777777" w:rsidR="00C66FB5" w:rsidRPr="00CA0418" w:rsidRDefault="00C66FB5" w:rsidP="00C66FB5">
      <w:r>
        <w:t xml:space="preserve">Zanker, G. (1996) </w:t>
      </w:r>
      <w:r>
        <w:rPr>
          <w:i/>
        </w:rPr>
        <w:t>The Heart of Achilles, Characterization and Personal Ethics in the Iliad.</w:t>
      </w:r>
      <w:r>
        <w:t xml:space="preserve"> Michigan: The University of Michigan Press.</w:t>
      </w:r>
    </w:p>
    <w:p w14:paraId="215E1B89" w14:textId="77777777" w:rsidR="00C66FB5" w:rsidRPr="00C66FB5" w:rsidRDefault="00C66FB5" w:rsidP="00A4328C">
      <w:bookmarkStart w:id="0" w:name="_GoBack"/>
      <w:bookmarkEnd w:id="0"/>
    </w:p>
    <w:sectPr w:rsidR="00C66FB5" w:rsidRPr="00C66FB5"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EEC32C" w14:textId="77777777" w:rsidR="00811BDF" w:rsidRDefault="00811BDF" w:rsidP="000638A0">
      <w:r>
        <w:separator/>
      </w:r>
    </w:p>
  </w:endnote>
  <w:endnote w:type="continuationSeparator" w:id="0">
    <w:p w14:paraId="5D454EC1" w14:textId="77777777" w:rsidR="00811BDF" w:rsidRDefault="00811BDF" w:rsidP="000638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53444" w14:textId="77777777" w:rsidR="00811BDF" w:rsidRDefault="00811BDF" w:rsidP="000638A0">
      <w:r>
        <w:separator/>
      </w:r>
    </w:p>
  </w:footnote>
  <w:footnote w:type="continuationSeparator" w:id="0">
    <w:p w14:paraId="5C3744B0" w14:textId="77777777" w:rsidR="00811BDF" w:rsidRDefault="00811BDF" w:rsidP="000638A0">
      <w:r>
        <w:continuationSeparator/>
      </w:r>
    </w:p>
  </w:footnote>
  <w:footnote w:id="1">
    <w:p w14:paraId="340A2BB1" w14:textId="5AFDF743" w:rsidR="00E864D0" w:rsidRPr="00904C53" w:rsidRDefault="00E864D0">
      <w:pPr>
        <w:pStyle w:val="FootnoteText"/>
      </w:pPr>
      <w:r>
        <w:rPr>
          <w:rStyle w:val="FootnoteReference"/>
        </w:rPr>
        <w:footnoteRef/>
      </w:r>
      <w:r>
        <w:t xml:space="preserve"> Homer, </w:t>
      </w:r>
      <w:r>
        <w:rPr>
          <w:i/>
        </w:rPr>
        <w:t>Il</w:t>
      </w:r>
      <w:r>
        <w:t>. 18. 20</w:t>
      </w:r>
    </w:p>
  </w:footnote>
  <w:footnote w:id="2">
    <w:p w14:paraId="40182C9E" w14:textId="7C4D8B48" w:rsidR="00E864D0" w:rsidRPr="00904C53" w:rsidRDefault="00E864D0">
      <w:pPr>
        <w:pStyle w:val="FootnoteText"/>
      </w:pPr>
      <w:r>
        <w:rPr>
          <w:rStyle w:val="FootnoteReference"/>
        </w:rPr>
        <w:footnoteRef/>
      </w:r>
      <w:r>
        <w:t xml:space="preserve"> Homer, </w:t>
      </w:r>
      <w:r>
        <w:rPr>
          <w:i/>
        </w:rPr>
        <w:t>Il</w:t>
      </w:r>
      <w:r>
        <w:t>. 18. 98</w:t>
      </w:r>
    </w:p>
  </w:footnote>
  <w:footnote w:id="3">
    <w:p w14:paraId="68862640" w14:textId="72E827E5" w:rsidR="00E864D0" w:rsidRPr="00904C53" w:rsidRDefault="00E864D0">
      <w:pPr>
        <w:pStyle w:val="FootnoteText"/>
      </w:pPr>
      <w:r>
        <w:rPr>
          <w:rStyle w:val="FootnoteReference"/>
        </w:rPr>
        <w:footnoteRef/>
      </w:r>
      <w:r>
        <w:t xml:space="preserve"> Homer, </w:t>
      </w:r>
      <w:r>
        <w:rPr>
          <w:i/>
        </w:rPr>
        <w:t>Il</w:t>
      </w:r>
      <w:r>
        <w:t>. 18. 83</w:t>
      </w:r>
    </w:p>
  </w:footnote>
  <w:footnote w:id="4">
    <w:p w14:paraId="78F338DB" w14:textId="63250650" w:rsidR="00E864D0" w:rsidRPr="00904C53" w:rsidRDefault="00E864D0">
      <w:pPr>
        <w:pStyle w:val="FootnoteText"/>
      </w:pPr>
      <w:r>
        <w:rPr>
          <w:rStyle w:val="FootnoteReference"/>
        </w:rPr>
        <w:footnoteRef/>
      </w:r>
      <w:r>
        <w:t xml:space="preserve"> Homer, </w:t>
      </w:r>
      <w:r>
        <w:rPr>
          <w:i/>
        </w:rPr>
        <w:t>Il</w:t>
      </w:r>
      <w:r>
        <w:t>. 18. 104</w:t>
      </w:r>
    </w:p>
  </w:footnote>
  <w:footnote w:id="5">
    <w:p w14:paraId="77305C2D" w14:textId="70DD47EB" w:rsidR="00E864D0" w:rsidRDefault="00E864D0">
      <w:pPr>
        <w:pStyle w:val="FootnoteText"/>
      </w:pPr>
      <w:r>
        <w:rPr>
          <w:rStyle w:val="FootnoteReference"/>
        </w:rPr>
        <w:footnoteRef/>
      </w:r>
      <w:r>
        <w:t xml:space="preserve"> Knox, 1990, 138</w:t>
      </w:r>
    </w:p>
  </w:footnote>
  <w:footnote w:id="6">
    <w:p w14:paraId="693B62C6" w14:textId="2F565F84" w:rsidR="00E864D0" w:rsidRDefault="00E864D0">
      <w:pPr>
        <w:pStyle w:val="FootnoteText"/>
      </w:pPr>
      <w:r>
        <w:rPr>
          <w:rStyle w:val="FootnoteReference"/>
        </w:rPr>
        <w:footnoteRef/>
      </w:r>
      <w:r>
        <w:t xml:space="preserve"> Arieti, 1985</w:t>
      </w:r>
    </w:p>
  </w:footnote>
  <w:footnote w:id="7">
    <w:p w14:paraId="1E9376EE" w14:textId="208CB56D" w:rsidR="00E864D0" w:rsidRDefault="00E864D0">
      <w:pPr>
        <w:pStyle w:val="FootnoteText"/>
      </w:pPr>
      <w:r>
        <w:rPr>
          <w:rStyle w:val="FootnoteReference"/>
        </w:rPr>
        <w:footnoteRef/>
      </w:r>
      <w:r>
        <w:t xml:space="preserve"> Dodds, 1985, 28 - 63</w:t>
      </w:r>
    </w:p>
  </w:footnote>
  <w:footnote w:id="8">
    <w:p w14:paraId="6239FA7C" w14:textId="719926F4" w:rsidR="00E864D0" w:rsidRDefault="00E864D0">
      <w:pPr>
        <w:pStyle w:val="FootnoteText"/>
      </w:pPr>
      <w:r>
        <w:rPr>
          <w:rStyle w:val="FootnoteReference"/>
        </w:rPr>
        <w:footnoteRef/>
      </w:r>
      <w:r>
        <w:t xml:space="preserve"> Arieti, 1985, 194</w:t>
      </w:r>
    </w:p>
  </w:footnote>
  <w:footnote w:id="9">
    <w:p w14:paraId="53E225B0" w14:textId="11284896" w:rsidR="00E864D0" w:rsidRDefault="00E864D0">
      <w:pPr>
        <w:pStyle w:val="FootnoteText"/>
      </w:pPr>
      <w:r>
        <w:rPr>
          <w:rStyle w:val="FootnoteReference"/>
        </w:rPr>
        <w:footnoteRef/>
      </w:r>
      <w:r>
        <w:t xml:space="preserve"> Hooker, 1987, 121</w:t>
      </w:r>
    </w:p>
  </w:footnote>
  <w:footnote w:id="10">
    <w:p w14:paraId="7BCD12D3" w14:textId="64F0F03D" w:rsidR="00E864D0" w:rsidRDefault="00E864D0">
      <w:pPr>
        <w:pStyle w:val="FootnoteText"/>
      </w:pPr>
      <w:r>
        <w:rPr>
          <w:rStyle w:val="FootnoteReference"/>
        </w:rPr>
        <w:footnoteRef/>
      </w:r>
      <w:r>
        <w:t xml:space="preserve"> Arieti, 1985, 202</w:t>
      </w:r>
    </w:p>
  </w:footnote>
  <w:footnote w:id="11">
    <w:p w14:paraId="0AF5F8E8" w14:textId="616B21B2" w:rsidR="00E864D0" w:rsidRPr="003B594A" w:rsidRDefault="00E864D0">
      <w:pPr>
        <w:pStyle w:val="FootnoteText"/>
      </w:pPr>
      <w:r>
        <w:rPr>
          <w:rStyle w:val="FootnoteReference"/>
        </w:rPr>
        <w:footnoteRef/>
      </w:r>
      <w:r>
        <w:t xml:space="preserve"> Homer, </w:t>
      </w:r>
      <w:r>
        <w:rPr>
          <w:i/>
        </w:rPr>
        <w:t>Il</w:t>
      </w:r>
      <w:r>
        <w:t>. 18.34</w:t>
      </w:r>
    </w:p>
  </w:footnote>
  <w:footnote w:id="12">
    <w:p w14:paraId="6D1515F1" w14:textId="29AE5A8E" w:rsidR="00E864D0" w:rsidRPr="003B594A" w:rsidRDefault="00E864D0">
      <w:pPr>
        <w:pStyle w:val="FootnoteText"/>
      </w:pPr>
      <w:r>
        <w:rPr>
          <w:rStyle w:val="FootnoteReference"/>
        </w:rPr>
        <w:footnoteRef/>
      </w:r>
      <w:r>
        <w:t xml:space="preserve"> Homer, </w:t>
      </w:r>
      <w:r>
        <w:rPr>
          <w:i/>
        </w:rPr>
        <w:t>Il</w:t>
      </w:r>
      <w:r>
        <w:t>. 17. 121</w:t>
      </w:r>
    </w:p>
  </w:footnote>
  <w:footnote w:id="13">
    <w:p w14:paraId="1AA8C781" w14:textId="60EE0425" w:rsidR="00E864D0" w:rsidRDefault="00E864D0">
      <w:pPr>
        <w:pStyle w:val="FootnoteText"/>
      </w:pPr>
      <w:r>
        <w:rPr>
          <w:rStyle w:val="FootnoteReference"/>
        </w:rPr>
        <w:footnoteRef/>
      </w:r>
      <w:r>
        <w:t xml:space="preserve"> Deveruex, 1979</w:t>
      </w:r>
    </w:p>
  </w:footnote>
  <w:footnote w:id="14">
    <w:p w14:paraId="48E859B1" w14:textId="191A29F5" w:rsidR="00E864D0" w:rsidRPr="00EF3958" w:rsidRDefault="00E864D0">
      <w:pPr>
        <w:pStyle w:val="FootnoteText"/>
      </w:pPr>
      <w:r>
        <w:rPr>
          <w:rStyle w:val="FootnoteReference"/>
        </w:rPr>
        <w:footnoteRef/>
      </w:r>
      <w:r>
        <w:t xml:space="preserve"> Homer, </w:t>
      </w:r>
      <w:r>
        <w:rPr>
          <w:i/>
        </w:rPr>
        <w:t>Il</w:t>
      </w:r>
      <w:r>
        <w:t>. 1. 1</w:t>
      </w:r>
    </w:p>
  </w:footnote>
  <w:footnote w:id="15">
    <w:p w14:paraId="28E2F75F" w14:textId="2F6CE1F8" w:rsidR="00E864D0" w:rsidRPr="00EF3958" w:rsidRDefault="00E864D0">
      <w:pPr>
        <w:pStyle w:val="FootnoteText"/>
      </w:pPr>
      <w:r>
        <w:rPr>
          <w:rStyle w:val="FootnoteReference"/>
        </w:rPr>
        <w:footnoteRef/>
      </w:r>
      <w:r>
        <w:t xml:space="preserve"> Homer, </w:t>
      </w:r>
      <w:r>
        <w:rPr>
          <w:i/>
        </w:rPr>
        <w:t>Il</w:t>
      </w:r>
      <w:r>
        <w:t>. 1. 490</w:t>
      </w:r>
    </w:p>
  </w:footnote>
  <w:footnote w:id="16">
    <w:p w14:paraId="780721FB" w14:textId="0EED2AA4" w:rsidR="00E864D0" w:rsidRPr="00EF3958" w:rsidRDefault="00E864D0">
      <w:pPr>
        <w:pStyle w:val="FootnoteText"/>
      </w:pPr>
      <w:r>
        <w:rPr>
          <w:rStyle w:val="FootnoteReference"/>
        </w:rPr>
        <w:footnoteRef/>
      </w:r>
      <w:r>
        <w:t xml:space="preserve"> Homer, </w:t>
      </w:r>
      <w:r>
        <w:rPr>
          <w:i/>
        </w:rPr>
        <w:t>Il</w:t>
      </w:r>
      <w:r>
        <w:t>. 18. 98</w:t>
      </w:r>
    </w:p>
  </w:footnote>
  <w:footnote w:id="17">
    <w:p w14:paraId="715152F9" w14:textId="00381F0D" w:rsidR="00E864D0" w:rsidRDefault="00E864D0">
      <w:pPr>
        <w:pStyle w:val="FootnoteText"/>
      </w:pPr>
      <w:r>
        <w:rPr>
          <w:rStyle w:val="FootnoteReference"/>
        </w:rPr>
        <w:footnoteRef/>
      </w:r>
      <w:r>
        <w:t xml:space="preserve"> Arieti, 1985, 201</w:t>
      </w:r>
    </w:p>
  </w:footnote>
  <w:footnote w:id="18">
    <w:p w14:paraId="7833E00D" w14:textId="5FE48DF1" w:rsidR="00E864D0" w:rsidRDefault="00E864D0">
      <w:pPr>
        <w:pStyle w:val="FootnoteText"/>
      </w:pPr>
      <w:r>
        <w:rPr>
          <w:rStyle w:val="FootnoteReference"/>
        </w:rPr>
        <w:footnoteRef/>
      </w:r>
      <w:r>
        <w:t xml:space="preserve"> Arieti, 1985, 201</w:t>
      </w:r>
    </w:p>
  </w:footnote>
  <w:footnote w:id="19">
    <w:p w14:paraId="79D83DB6" w14:textId="2BBA2893" w:rsidR="00E864D0" w:rsidRDefault="00E864D0">
      <w:pPr>
        <w:pStyle w:val="FootnoteText"/>
      </w:pPr>
      <w:r>
        <w:rPr>
          <w:rStyle w:val="FootnoteReference"/>
        </w:rPr>
        <w:footnoteRef/>
      </w:r>
      <w:r>
        <w:t xml:space="preserve"> Schein, 1984, 98</w:t>
      </w:r>
    </w:p>
  </w:footnote>
  <w:footnote w:id="20">
    <w:p w14:paraId="5E58C185" w14:textId="46D40E84" w:rsidR="00E864D0" w:rsidRDefault="00E864D0">
      <w:pPr>
        <w:pStyle w:val="FootnoteText"/>
      </w:pPr>
      <w:r>
        <w:rPr>
          <w:rStyle w:val="FootnoteReference"/>
        </w:rPr>
        <w:footnoteRef/>
      </w:r>
      <w:r>
        <w:t xml:space="preserve"> Arieti, 1985, 201</w:t>
      </w:r>
    </w:p>
  </w:footnote>
  <w:footnote w:id="21">
    <w:p w14:paraId="49C6D89E" w14:textId="2F6B266B" w:rsidR="00E864D0" w:rsidRPr="00B134EF" w:rsidRDefault="00E864D0">
      <w:pPr>
        <w:pStyle w:val="FootnoteText"/>
      </w:pPr>
      <w:r>
        <w:rPr>
          <w:rStyle w:val="FootnoteReference"/>
        </w:rPr>
        <w:footnoteRef/>
      </w:r>
      <w:r>
        <w:t xml:space="preserve"> Homer, </w:t>
      </w:r>
      <w:r>
        <w:rPr>
          <w:i/>
        </w:rPr>
        <w:t>Il</w:t>
      </w:r>
      <w:r>
        <w:t xml:space="preserve">, 22. </w:t>
      </w:r>
      <w:r w:rsidR="00A63B6F">
        <w:t>397 - 399</w:t>
      </w:r>
    </w:p>
  </w:footnote>
  <w:footnote w:id="22">
    <w:p w14:paraId="595E7E8D" w14:textId="7816E506" w:rsidR="00E864D0" w:rsidRDefault="00E864D0">
      <w:pPr>
        <w:pStyle w:val="FootnoteText"/>
      </w:pPr>
      <w:r>
        <w:rPr>
          <w:rStyle w:val="FootnoteReference"/>
        </w:rPr>
        <w:footnoteRef/>
      </w:r>
      <w:r>
        <w:t xml:space="preserve"> De Jong, 2012, 11</w:t>
      </w:r>
    </w:p>
  </w:footnote>
  <w:footnote w:id="23">
    <w:p w14:paraId="6D508E68" w14:textId="0F55AC6D" w:rsidR="00E864D0" w:rsidRPr="001202E3" w:rsidRDefault="00E864D0">
      <w:pPr>
        <w:pStyle w:val="FootnoteText"/>
      </w:pPr>
      <w:r>
        <w:rPr>
          <w:rStyle w:val="FootnoteReference"/>
        </w:rPr>
        <w:footnoteRef/>
      </w:r>
      <w:r>
        <w:t xml:space="preserve"> Homer, </w:t>
      </w:r>
      <w:r>
        <w:rPr>
          <w:i/>
        </w:rPr>
        <w:t>Il.</w:t>
      </w:r>
      <w:r>
        <w:t xml:space="preserve"> 18. 98</w:t>
      </w:r>
    </w:p>
  </w:footnote>
  <w:footnote w:id="24">
    <w:p w14:paraId="6F30B21A" w14:textId="01E365DE" w:rsidR="00E864D0" w:rsidRDefault="00E864D0">
      <w:pPr>
        <w:pStyle w:val="FootnoteText"/>
      </w:pPr>
      <w:r>
        <w:rPr>
          <w:rStyle w:val="FootnoteReference"/>
        </w:rPr>
        <w:footnoteRef/>
      </w:r>
      <w:r>
        <w:t xml:space="preserve"> Van de Mije, 2009, 380</w:t>
      </w:r>
    </w:p>
  </w:footnote>
  <w:footnote w:id="25">
    <w:p w14:paraId="07C0EA82" w14:textId="5F70E5E6" w:rsidR="00E864D0" w:rsidRPr="001202E3" w:rsidRDefault="00E864D0">
      <w:pPr>
        <w:pStyle w:val="FootnoteText"/>
      </w:pPr>
      <w:r>
        <w:rPr>
          <w:rStyle w:val="FootnoteReference"/>
        </w:rPr>
        <w:footnoteRef/>
      </w:r>
      <w:r>
        <w:t xml:space="preserve"> Homer, </w:t>
      </w:r>
      <w:r>
        <w:rPr>
          <w:i/>
        </w:rPr>
        <w:t>Il</w:t>
      </w:r>
      <w:r>
        <w:t>. 20. 493</w:t>
      </w:r>
    </w:p>
  </w:footnote>
  <w:footnote w:id="26">
    <w:p w14:paraId="7691E674" w14:textId="24F238AB" w:rsidR="00E864D0" w:rsidRPr="009944B8" w:rsidRDefault="00E864D0">
      <w:pPr>
        <w:pStyle w:val="FootnoteText"/>
      </w:pPr>
      <w:r>
        <w:rPr>
          <w:rStyle w:val="FootnoteReference"/>
        </w:rPr>
        <w:footnoteRef/>
      </w:r>
      <w:r>
        <w:t xml:space="preserve"> Homer, </w:t>
      </w:r>
      <w:r>
        <w:rPr>
          <w:i/>
        </w:rPr>
        <w:t>Il</w:t>
      </w:r>
      <w:r>
        <w:t xml:space="preserve">. 21. </w:t>
      </w:r>
      <w:r w:rsidR="00A63B6F">
        <w:t>3</w:t>
      </w:r>
      <w:r w:rsidR="0082455B">
        <w:t>30 - 380</w:t>
      </w:r>
    </w:p>
  </w:footnote>
  <w:footnote w:id="27">
    <w:p w14:paraId="4BAC2992" w14:textId="3E8377DA" w:rsidR="00E864D0" w:rsidRPr="009944B8" w:rsidRDefault="00E864D0">
      <w:pPr>
        <w:pStyle w:val="FootnoteText"/>
      </w:pPr>
      <w:r>
        <w:rPr>
          <w:rStyle w:val="FootnoteReference"/>
        </w:rPr>
        <w:footnoteRef/>
      </w:r>
      <w:r>
        <w:t xml:space="preserve"> Homer, </w:t>
      </w:r>
      <w:r>
        <w:rPr>
          <w:i/>
        </w:rPr>
        <w:t>Il</w:t>
      </w:r>
      <w:r>
        <w:t xml:space="preserve">. 22. </w:t>
      </w:r>
      <w:r w:rsidR="0082455B">
        <w:t>300</w:t>
      </w:r>
    </w:p>
  </w:footnote>
  <w:footnote w:id="28">
    <w:p w14:paraId="256147B2" w14:textId="023AEE93" w:rsidR="00E864D0" w:rsidRPr="00D71F81" w:rsidRDefault="00E864D0">
      <w:pPr>
        <w:pStyle w:val="FootnoteText"/>
      </w:pPr>
      <w:r>
        <w:rPr>
          <w:rStyle w:val="FootnoteReference"/>
        </w:rPr>
        <w:footnoteRef/>
      </w:r>
      <w:r>
        <w:t xml:space="preserve"> Homer, </w:t>
      </w:r>
      <w:r>
        <w:rPr>
          <w:i/>
        </w:rPr>
        <w:t>Il</w:t>
      </w:r>
      <w:r>
        <w:t>. 6</w:t>
      </w:r>
    </w:p>
  </w:footnote>
  <w:footnote w:id="29">
    <w:p w14:paraId="304B4AAC" w14:textId="051818E8" w:rsidR="00E864D0" w:rsidRPr="00D71F81" w:rsidRDefault="00E864D0">
      <w:pPr>
        <w:pStyle w:val="FootnoteText"/>
      </w:pPr>
      <w:r>
        <w:rPr>
          <w:rStyle w:val="FootnoteReference"/>
        </w:rPr>
        <w:footnoteRef/>
      </w:r>
      <w:r>
        <w:t xml:space="preserve"> Homer, </w:t>
      </w:r>
      <w:r>
        <w:rPr>
          <w:i/>
        </w:rPr>
        <w:t>Il</w:t>
      </w:r>
      <w:r>
        <w:t>. 6. 440 - 467</w:t>
      </w:r>
    </w:p>
  </w:footnote>
  <w:footnote w:id="30">
    <w:p w14:paraId="5CB80511" w14:textId="27B43AE1" w:rsidR="00E864D0" w:rsidRPr="00031EA8" w:rsidRDefault="00E864D0">
      <w:pPr>
        <w:pStyle w:val="FootnoteText"/>
      </w:pPr>
      <w:r>
        <w:rPr>
          <w:rStyle w:val="FootnoteReference"/>
        </w:rPr>
        <w:footnoteRef/>
      </w:r>
      <w:r>
        <w:t xml:space="preserve"> Homer, </w:t>
      </w:r>
      <w:r>
        <w:rPr>
          <w:i/>
        </w:rPr>
        <w:t>Il</w:t>
      </w:r>
      <w:r>
        <w:t>. 6. 263, 359. 22. 232</w:t>
      </w:r>
    </w:p>
  </w:footnote>
  <w:footnote w:id="31">
    <w:p w14:paraId="4ECCB9FC" w14:textId="6A4CD600" w:rsidR="00E864D0" w:rsidRPr="00031EA8" w:rsidRDefault="00E864D0">
      <w:pPr>
        <w:pStyle w:val="FootnoteText"/>
      </w:pPr>
      <w:r>
        <w:rPr>
          <w:rStyle w:val="FootnoteReference"/>
        </w:rPr>
        <w:footnoteRef/>
      </w:r>
      <w:r>
        <w:t xml:space="preserve"> Homer, </w:t>
      </w:r>
      <w:r>
        <w:rPr>
          <w:i/>
        </w:rPr>
        <w:t>Il</w:t>
      </w:r>
      <w:r>
        <w:t>. 6. 468</w:t>
      </w:r>
    </w:p>
  </w:footnote>
  <w:footnote w:id="32">
    <w:p w14:paraId="7112F3EF" w14:textId="7BDE9035" w:rsidR="00E864D0" w:rsidRDefault="00E864D0">
      <w:pPr>
        <w:pStyle w:val="FootnoteText"/>
      </w:pPr>
      <w:r>
        <w:rPr>
          <w:rStyle w:val="FootnoteReference"/>
        </w:rPr>
        <w:footnoteRef/>
      </w:r>
      <w:r>
        <w:t xml:space="preserve"> Arieti, 1985</w:t>
      </w:r>
      <w:r w:rsidR="00C7773F">
        <w:t>; Schein, 1997; Traill, 1990</w:t>
      </w:r>
    </w:p>
  </w:footnote>
  <w:footnote w:id="33">
    <w:p w14:paraId="110D26F6" w14:textId="131F79CF" w:rsidR="00E864D0" w:rsidRDefault="00E864D0">
      <w:pPr>
        <w:pStyle w:val="FootnoteText"/>
      </w:pPr>
      <w:r>
        <w:rPr>
          <w:rStyle w:val="FootnoteReference"/>
        </w:rPr>
        <w:footnoteRef/>
      </w:r>
      <w:r>
        <w:t xml:space="preserve"> Farron, 1978, 52</w:t>
      </w:r>
    </w:p>
  </w:footnote>
  <w:footnote w:id="34">
    <w:p w14:paraId="04F8654F" w14:textId="68B01819" w:rsidR="00E864D0" w:rsidRDefault="00E864D0">
      <w:pPr>
        <w:pStyle w:val="FootnoteText"/>
      </w:pPr>
      <w:r>
        <w:rPr>
          <w:rStyle w:val="FootnoteReference"/>
        </w:rPr>
        <w:footnoteRef/>
      </w:r>
      <w:r>
        <w:t xml:space="preserve"> Farron, 1978, 52 - 53</w:t>
      </w:r>
    </w:p>
  </w:footnote>
  <w:footnote w:id="35">
    <w:p w14:paraId="3BDB2B8A" w14:textId="78EBD696" w:rsidR="00E864D0" w:rsidRDefault="00E864D0">
      <w:pPr>
        <w:pStyle w:val="FootnoteText"/>
      </w:pPr>
      <w:r>
        <w:rPr>
          <w:rStyle w:val="FootnoteReference"/>
        </w:rPr>
        <w:footnoteRef/>
      </w:r>
      <w:r>
        <w:t xml:space="preserve"> Bassett, 1923, 122</w:t>
      </w:r>
    </w:p>
  </w:footnote>
  <w:footnote w:id="36">
    <w:p w14:paraId="4A873DB3" w14:textId="065F6687" w:rsidR="00E864D0" w:rsidRPr="00031EA8" w:rsidRDefault="00E864D0">
      <w:pPr>
        <w:pStyle w:val="FootnoteText"/>
      </w:pPr>
      <w:r>
        <w:rPr>
          <w:rStyle w:val="FootnoteReference"/>
        </w:rPr>
        <w:footnoteRef/>
      </w:r>
      <w:r>
        <w:t xml:space="preserve"> Homer, </w:t>
      </w:r>
      <w:r>
        <w:rPr>
          <w:i/>
        </w:rPr>
        <w:t>Il</w:t>
      </w:r>
      <w:r>
        <w:t>. 22. 1 - 24</w:t>
      </w:r>
    </w:p>
  </w:footnote>
  <w:footnote w:id="37">
    <w:p w14:paraId="045719CE" w14:textId="2C1D8971" w:rsidR="00E864D0" w:rsidRPr="00031EA8" w:rsidRDefault="00E864D0">
      <w:pPr>
        <w:pStyle w:val="FootnoteText"/>
      </w:pPr>
      <w:r>
        <w:rPr>
          <w:rStyle w:val="FootnoteReference"/>
        </w:rPr>
        <w:footnoteRef/>
      </w:r>
      <w:r>
        <w:t xml:space="preserve"> Homer, </w:t>
      </w:r>
      <w:r>
        <w:rPr>
          <w:i/>
        </w:rPr>
        <w:t>Il</w:t>
      </w:r>
      <w:r>
        <w:t>. 13. 725 - 68</w:t>
      </w:r>
    </w:p>
  </w:footnote>
  <w:footnote w:id="38">
    <w:p w14:paraId="6632297C" w14:textId="737A2C51" w:rsidR="00E864D0" w:rsidRPr="00031EA8" w:rsidRDefault="00E864D0">
      <w:pPr>
        <w:pStyle w:val="FootnoteText"/>
      </w:pPr>
      <w:r>
        <w:rPr>
          <w:rStyle w:val="FootnoteReference"/>
        </w:rPr>
        <w:footnoteRef/>
      </w:r>
      <w:r>
        <w:t xml:space="preserve"> Homer, </w:t>
      </w:r>
      <w:r>
        <w:rPr>
          <w:i/>
        </w:rPr>
        <w:t>Il</w:t>
      </w:r>
      <w:r>
        <w:t>. 22. 99 - 131</w:t>
      </w:r>
    </w:p>
  </w:footnote>
  <w:footnote w:id="39">
    <w:p w14:paraId="32CCEE6F" w14:textId="123CCE55" w:rsidR="00E864D0" w:rsidRPr="00B75085" w:rsidRDefault="00E864D0">
      <w:pPr>
        <w:pStyle w:val="FootnoteText"/>
      </w:pPr>
      <w:r>
        <w:rPr>
          <w:rStyle w:val="FootnoteReference"/>
        </w:rPr>
        <w:footnoteRef/>
      </w:r>
      <w:r>
        <w:t xml:space="preserve"> Homer, </w:t>
      </w:r>
      <w:r>
        <w:rPr>
          <w:i/>
        </w:rPr>
        <w:t>Il</w:t>
      </w:r>
      <w:r>
        <w:t>. 6. 433 - 434</w:t>
      </w:r>
    </w:p>
  </w:footnote>
  <w:footnote w:id="40">
    <w:p w14:paraId="0CEE2734" w14:textId="06C59328" w:rsidR="00E864D0" w:rsidRPr="00A4696F" w:rsidRDefault="00E864D0">
      <w:pPr>
        <w:pStyle w:val="FootnoteText"/>
      </w:pPr>
      <w:r>
        <w:rPr>
          <w:rStyle w:val="FootnoteReference"/>
        </w:rPr>
        <w:footnoteRef/>
      </w:r>
      <w:r>
        <w:t xml:space="preserve"> Homer, </w:t>
      </w:r>
      <w:r>
        <w:rPr>
          <w:i/>
        </w:rPr>
        <w:t>Il</w:t>
      </w:r>
      <w:r>
        <w:t>. 6. 440 - 465</w:t>
      </w:r>
    </w:p>
  </w:footnote>
  <w:footnote w:id="41">
    <w:p w14:paraId="3C2F0108" w14:textId="3D8871C6" w:rsidR="00E864D0" w:rsidRPr="009944B8" w:rsidRDefault="00E864D0">
      <w:pPr>
        <w:pStyle w:val="FootnoteText"/>
      </w:pPr>
      <w:r>
        <w:rPr>
          <w:rStyle w:val="FootnoteReference"/>
        </w:rPr>
        <w:footnoteRef/>
      </w:r>
      <w:r>
        <w:t xml:space="preserve"> Homer, </w:t>
      </w:r>
      <w:r>
        <w:rPr>
          <w:i/>
        </w:rPr>
        <w:t>Il</w:t>
      </w:r>
      <w:r>
        <w:t xml:space="preserve">. 6 </w:t>
      </w:r>
      <w:r w:rsidR="0082455B">
        <w:t>442</w:t>
      </w:r>
    </w:p>
  </w:footnote>
  <w:footnote w:id="42">
    <w:p w14:paraId="5597B03D" w14:textId="1BF80E16" w:rsidR="00E864D0" w:rsidRDefault="00E864D0">
      <w:pPr>
        <w:pStyle w:val="FootnoteText"/>
      </w:pPr>
      <w:r>
        <w:rPr>
          <w:rStyle w:val="FootnoteReference"/>
        </w:rPr>
        <w:footnoteRef/>
      </w:r>
      <w:r>
        <w:t xml:space="preserve"> Bassett, 1923, 121</w:t>
      </w:r>
    </w:p>
  </w:footnote>
  <w:footnote w:id="43">
    <w:p w14:paraId="1183A541" w14:textId="7ED7AFB8" w:rsidR="00E864D0" w:rsidRPr="002E64B1" w:rsidRDefault="00E864D0">
      <w:pPr>
        <w:pStyle w:val="FootnoteText"/>
      </w:pPr>
      <w:r>
        <w:rPr>
          <w:rStyle w:val="FootnoteReference"/>
        </w:rPr>
        <w:footnoteRef/>
      </w:r>
      <w:r>
        <w:t xml:space="preserve"> Homer, </w:t>
      </w:r>
      <w:r>
        <w:rPr>
          <w:i/>
        </w:rPr>
        <w:t>Il</w:t>
      </w:r>
      <w:r>
        <w:t xml:space="preserve">. 6. </w:t>
      </w:r>
      <w:r w:rsidR="0082455B">
        <w:t>440 - 465</w:t>
      </w:r>
    </w:p>
  </w:footnote>
  <w:footnote w:id="44">
    <w:p w14:paraId="32CDB227" w14:textId="4314F129" w:rsidR="00E864D0" w:rsidRPr="00B75085" w:rsidRDefault="00E864D0">
      <w:pPr>
        <w:pStyle w:val="FootnoteText"/>
      </w:pPr>
      <w:r>
        <w:rPr>
          <w:rStyle w:val="FootnoteReference"/>
        </w:rPr>
        <w:footnoteRef/>
      </w:r>
      <w:r>
        <w:t xml:space="preserve"> Homer, </w:t>
      </w:r>
      <w:r>
        <w:rPr>
          <w:i/>
        </w:rPr>
        <w:t>Il</w:t>
      </w:r>
      <w:r>
        <w:t xml:space="preserve">. 22. </w:t>
      </w:r>
      <w:r w:rsidR="0082455B">
        <w:t>37 - 90</w:t>
      </w:r>
    </w:p>
  </w:footnote>
  <w:footnote w:id="45">
    <w:p w14:paraId="62C063C1" w14:textId="46A6D34F" w:rsidR="00E864D0" w:rsidRPr="00B75085" w:rsidRDefault="00E864D0">
      <w:pPr>
        <w:pStyle w:val="FootnoteText"/>
      </w:pPr>
      <w:r>
        <w:rPr>
          <w:rStyle w:val="FootnoteReference"/>
        </w:rPr>
        <w:footnoteRef/>
      </w:r>
      <w:r>
        <w:t xml:space="preserve"> Homer, </w:t>
      </w:r>
      <w:r>
        <w:rPr>
          <w:i/>
        </w:rPr>
        <w:t>Il</w:t>
      </w:r>
      <w:r>
        <w:t xml:space="preserve">. 22. </w:t>
      </w:r>
      <w:r w:rsidR="0082455B">
        <w:t>138</w:t>
      </w:r>
    </w:p>
  </w:footnote>
  <w:footnote w:id="46">
    <w:p w14:paraId="2C8EE2C7" w14:textId="542B6CCD" w:rsidR="00E864D0" w:rsidRDefault="00E864D0">
      <w:pPr>
        <w:pStyle w:val="FootnoteText"/>
      </w:pPr>
      <w:r>
        <w:rPr>
          <w:rStyle w:val="FootnoteReference"/>
        </w:rPr>
        <w:footnoteRef/>
      </w:r>
      <w:r>
        <w:t xml:space="preserve"> Schein, </w:t>
      </w:r>
      <w:r w:rsidR="00984CDD">
        <w:t>1997,</w:t>
      </w:r>
      <w:r>
        <w:t xml:space="preserve"> </w:t>
      </w:r>
      <w:r w:rsidR="00703C01">
        <w:t>348</w:t>
      </w:r>
    </w:p>
  </w:footnote>
  <w:footnote w:id="47">
    <w:p w14:paraId="406AB48A" w14:textId="2041DFD2" w:rsidR="00E864D0" w:rsidRDefault="00E864D0">
      <w:pPr>
        <w:pStyle w:val="FootnoteText"/>
      </w:pPr>
      <w:r>
        <w:rPr>
          <w:rStyle w:val="FootnoteReference"/>
        </w:rPr>
        <w:footnoteRef/>
      </w:r>
      <w:r>
        <w:t xml:space="preserve"> Scein, </w:t>
      </w:r>
      <w:r w:rsidR="00984CDD">
        <w:t>1997</w:t>
      </w:r>
      <w:r>
        <w:t>,</w:t>
      </w:r>
      <w:r w:rsidR="00984CDD">
        <w:t xml:space="preserve"> 346</w:t>
      </w:r>
    </w:p>
  </w:footnote>
  <w:footnote w:id="48">
    <w:p w14:paraId="5E624A02" w14:textId="4240665F" w:rsidR="00E864D0" w:rsidRPr="00F1241D" w:rsidRDefault="00E864D0">
      <w:pPr>
        <w:pStyle w:val="FootnoteText"/>
      </w:pPr>
      <w:r>
        <w:rPr>
          <w:rStyle w:val="FootnoteReference"/>
        </w:rPr>
        <w:footnoteRef/>
      </w:r>
      <w:r>
        <w:t xml:space="preserve"> Homer, </w:t>
      </w:r>
      <w:r>
        <w:rPr>
          <w:i/>
        </w:rPr>
        <w:t>Il</w:t>
      </w:r>
      <w:r>
        <w:t xml:space="preserve">. 24. </w:t>
      </w:r>
      <w:r w:rsidR="007B5AC4">
        <w:t>486</w:t>
      </w:r>
    </w:p>
  </w:footnote>
  <w:footnote w:id="49">
    <w:p w14:paraId="11D77CF9" w14:textId="4E99FC8A" w:rsidR="00E864D0" w:rsidRPr="003066DB" w:rsidRDefault="00E864D0">
      <w:pPr>
        <w:pStyle w:val="FootnoteText"/>
      </w:pPr>
      <w:r>
        <w:rPr>
          <w:rStyle w:val="FootnoteReference"/>
        </w:rPr>
        <w:footnoteRef/>
      </w:r>
      <w:r>
        <w:t xml:space="preserve"> Homer, </w:t>
      </w:r>
      <w:r>
        <w:rPr>
          <w:i/>
        </w:rPr>
        <w:t>Il</w:t>
      </w:r>
      <w:r>
        <w:t xml:space="preserve">. </w:t>
      </w:r>
      <w:r w:rsidR="007B5AC4">
        <w:t>19. 315</w:t>
      </w:r>
    </w:p>
  </w:footnote>
  <w:footnote w:id="50">
    <w:p w14:paraId="48CF606A" w14:textId="412B8A50" w:rsidR="00E864D0" w:rsidRPr="003066DB" w:rsidRDefault="00E864D0">
      <w:pPr>
        <w:pStyle w:val="FootnoteText"/>
      </w:pPr>
      <w:r>
        <w:rPr>
          <w:rStyle w:val="FootnoteReference"/>
        </w:rPr>
        <w:footnoteRef/>
      </w:r>
      <w:r>
        <w:t xml:space="preserve"> Homer, </w:t>
      </w:r>
      <w:r>
        <w:rPr>
          <w:i/>
        </w:rPr>
        <w:t>Il</w:t>
      </w:r>
      <w:r>
        <w:t xml:space="preserve">. </w:t>
      </w:r>
      <w:r w:rsidR="007B5AC4">
        <w:t>19. 325</w:t>
      </w:r>
    </w:p>
  </w:footnote>
  <w:footnote w:id="51">
    <w:p w14:paraId="49EF07D0" w14:textId="7143F3D9" w:rsidR="00E864D0" w:rsidRDefault="00E864D0">
      <w:pPr>
        <w:pStyle w:val="FootnoteText"/>
      </w:pPr>
      <w:r>
        <w:rPr>
          <w:rStyle w:val="FootnoteReference"/>
        </w:rPr>
        <w:footnoteRef/>
      </w:r>
      <w:r>
        <w:t xml:space="preserve"> Schein, </w:t>
      </w:r>
      <w:r w:rsidR="00984CDD">
        <w:t>1997</w:t>
      </w:r>
      <w:r>
        <w:t>, 346</w:t>
      </w:r>
    </w:p>
  </w:footnote>
  <w:footnote w:id="52">
    <w:p w14:paraId="5D484E9B" w14:textId="2F095EC1" w:rsidR="00E864D0" w:rsidRDefault="00E864D0">
      <w:pPr>
        <w:pStyle w:val="FootnoteText"/>
      </w:pPr>
      <w:r>
        <w:rPr>
          <w:rStyle w:val="FootnoteReference"/>
        </w:rPr>
        <w:footnoteRef/>
      </w:r>
      <w:r>
        <w:t xml:space="preserve"> Schein, </w:t>
      </w:r>
      <w:r w:rsidR="00984CDD">
        <w:t>1997</w:t>
      </w:r>
      <w:r>
        <w:t xml:space="preserve">, </w:t>
      </w:r>
      <w:r w:rsidR="00703C01">
        <w:t>346</w:t>
      </w:r>
    </w:p>
  </w:footnote>
  <w:footnote w:id="53">
    <w:p w14:paraId="0F9DA7C6" w14:textId="7504C26F" w:rsidR="00E864D0" w:rsidRDefault="00E864D0">
      <w:pPr>
        <w:pStyle w:val="FootnoteText"/>
      </w:pPr>
      <w:r>
        <w:rPr>
          <w:rStyle w:val="FootnoteReference"/>
        </w:rPr>
        <w:footnoteRef/>
      </w:r>
      <w:r>
        <w:t xml:space="preserve"> Schein </w:t>
      </w:r>
      <w:r w:rsidR="00AC7C85">
        <w:t>1997</w:t>
      </w:r>
      <w:r>
        <w:t xml:space="preserve">; Louden, </w:t>
      </w:r>
      <w:r w:rsidR="00F66E17">
        <w:t>2006</w:t>
      </w:r>
      <w:r w:rsidR="00EA0BEB">
        <w:t>;</w:t>
      </w:r>
      <w:r>
        <w:t xml:space="preserve"> Hughes, </w:t>
      </w:r>
      <w:r w:rsidR="00F66E17">
        <w:t>wsd.edu</w:t>
      </w:r>
    </w:p>
  </w:footnote>
  <w:footnote w:id="54">
    <w:p w14:paraId="79276475" w14:textId="0689A6F2" w:rsidR="00E864D0" w:rsidRDefault="00E864D0">
      <w:pPr>
        <w:pStyle w:val="FootnoteText"/>
      </w:pPr>
      <w:r>
        <w:rPr>
          <w:rStyle w:val="FootnoteReference"/>
        </w:rPr>
        <w:footnoteRef/>
      </w:r>
      <w:r>
        <w:t xml:space="preserve"> Schein, </w:t>
      </w:r>
      <w:r w:rsidR="00EA0BEB">
        <w:t>1997</w:t>
      </w:r>
      <w:r>
        <w:t xml:space="preserve">, </w:t>
      </w:r>
      <w:r w:rsidR="00EA0BEB">
        <w:t>348</w:t>
      </w:r>
    </w:p>
  </w:footnote>
  <w:footnote w:id="55">
    <w:p w14:paraId="251C1454" w14:textId="32EB3EAA" w:rsidR="00E864D0" w:rsidRDefault="00E864D0">
      <w:pPr>
        <w:pStyle w:val="FootnoteText"/>
      </w:pPr>
      <w:r>
        <w:rPr>
          <w:rStyle w:val="FootnoteReference"/>
        </w:rPr>
        <w:footnoteRef/>
      </w:r>
      <w:r>
        <w:t xml:space="preserve"> Schein, </w:t>
      </w:r>
      <w:r w:rsidR="00EA0BEB">
        <w:t>1997</w:t>
      </w:r>
      <w:r>
        <w:t xml:space="preserve">, </w:t>
      </w:r>
      <w:r w:rsidR="00EA0BEB">
        <w:t>348</w:t>
      </w:r>
    </w:p>
  </w:footnote>
  <w:footnote w:id="56">
    <w:p w14:paraId="1A97402B" w14:textId="5C8424D3" w:rsidR="00E864D0" w:rsidRDefault="00E864D0">
      <w:pPr>
        <w:pStyle w:val="FootnoteText"/>
      </w:pPr>
      <w:r>
        <w:rPr>
          <w:rStyle w:val="FootnoteReference"/>
        </w:rPr>
        <w:footnoteRef/>
      </w:r>
      <w:r>
        <w:t xml:space="preserve"> Feeney, 1986, 139</w:t>
      </w:r>
    </w:p>
  </w:footnote>
  <w:footnote w:id="57">
    <w:p w14:paraId="5A5747E5" w14:textId="529E7B02" w:rsidR="00E864D0" w:rsidRPr="00E864D0" w:rsidRDefault="00E864D0">
      <w:pPr>
        <w:pStyle w:val="FootnoteText"/>
      </w:pPr>
      <w:r>
        <w:rPr>
          <w:rStyle w:val="FootnoteReference"/>
        </w:rPr>
        <w:footnoteRef/>
      </w:r>
      <w:r>
        <w:t xml:space="preserve"> Homer, </w:t>
      </w:r>
      <w:r>
        <w:rPr>
          <w:i/>
        </w:rPr>
        <w:t>Il</w:t>
      </w:r>
      <w:r>
        <w:t xml:space="preserve">. 13. </w:t>
      </w:r>
      <w:r w:rsidR="00B87660">
        <w:t>725 - 68</w:t>
      </w:r>
    </w:p>
  </w:footnote>
  <w:footnote w:id="58">
    <w:p w14:paraId="6972CF00" w14:textId="23C4EE12" w:rsidR="00E864D0" w:rsidRPr="00E864D0" w:rsidRDefault="00E864D0">
      <w:pPr>
        <w:pStyle w:val="FootnoteText"/>
      </w:pPr>
      <w:r>
        <w:rPr>
          <w:rStyle w:val="FootnoteReference"/>
        </w:rPr>
        <w:footnoteRef/>
      </w:r>
      <w:r>
        <w:t xml:space="preserve"> Homer, </w:t>
      </w:r>
      <w:r>
        <w:rPr>
          <w:i/>
        </w:rPr>
        <w:t>Il</w:t>
      </w:r>
      <w:r>
        <w:t xml:space="preserve">. 6. </w:t>
      </w:r>
      <w:r w:rsidR="00C96899">
        <w:t>442</w:t>
      </w:r>
    </w:p>
  </w:footnote>
  <w:footnote w:id="59">
    <w:p w14:paraId="457BAF84" w14:textId="670AD51A" w:rsidR="006F74B5" w:rsidRPr="006F74B5" w:rsidRDefault="006F74B5">
      <w:pPr>
        <w:pStyle w:val="FootnoteText"/>
      </w:pPr>
      <w:r>
        <w:rPr>
          <w:rStyle w:val="FootnoteReference"/>
        </w:rPr>
        <w:footnoteRef/>
      </w:r>
      <w:r>
        <w:t xml:space="preserve"> Homer, </w:t>
      </w:r>
      <w:r>
        <w:rPr>
          <w:i/>
        </w:rPr>
        <w:t>Il</w:t>
      </w:r>
      <w:r>
        <w:t xml:space="preserve">. 22. </w:t>
      </w:r>
      <w:r w:rsidR="00C96899">
        <w:t>37 - 90</w:t>
      </w:r>
    </w:p>
  </w:footnote>
  <w:footnote w:id="60">
    <w:p w14:paraId="786F8474" w14:textId="495C3F68" w:rsidR="006F74B5" w:rsidRDefault="006F74B5">
      <w:pPr>
        <w:pStyle w:val="FootnoteText"/>
      </w:pPr>
      <w:r>
        <w:rPr>
          <w:rStyle w:val="FootnoteReference"/>
        </w:rPr>
        <w:footnoteRef/>
      </w:r>
      <w:r>
        <w:t xml:space="preserve"> Triall, </w:t>
      </w:r>
      <w:r w:rsidR="002F2BC3">
        <w:t>1990, 299</w:t>
      </w:r>
    </w:p>
  </w:footnote>
  <w:footnote w:id="61">
    <w:p w14:paraId="2F19BC3C" w14:textId="59838A63" w:rsidR="00A63B6F" w:rsidRPr="00A63B6F" w:rsidRDefault="00A63B6F">
      <w:pPr>
        <w:pStyle w:val="FootnoteText"/>
      </w:pPr>
      <w:r>
        <w:rPr>
          <w:rStyle w:val="FootnoteReference"/>
        </w:rPr>
        <w:footnoteRef/>
      </w:r>
      <w:r>
        <w:t xml:space="preserve"> Homer, </w:t>
      </w:r>
      <w:r>
        <w:rPr>
          <w:i/>
        </w:rPr>
        <w:t>Il</w:t>
      </w:r>
      <w:r>
        <w:t>. 20</w:t>
      </w:r>
      <w:r w:rsidR="00C96899">
        <w:t>. 443</w:t>
      </w:r>
    </w:p>
  </w:footnote>
  <w:footnote w:id="62">
    <w:p w14:paraId="185E7CEE" w14:textId="6D72EBB7" w:rsidR="00A63B6F" w:rsidRPr="00A63B6F" w:rsidRDefault="00A63B6F">
      <w:pPr>
        <w:pStyle w:val="FootnoteText"/>
      </w:pPr>
      <w:r>
        <w:rPr>
          <w:rStyle w:val="FootnoteReference"/>
        </w:rPr>
        <w:footnoteRef/>
      </w:r>
      <w:r>
        <w:t xml:space="preserve"> Homer, </w:t>
      </w:r>
      <w:r>
        <w:rPr>
          <w:i/>
        </w:rPr>
        <w:t>Il</w:t>
      </w:r>
      <w:r>
        <w:t>. 3</w:t>
      </w:r>
      <w:r w:rsidR="00C96899">
        <w:t>. 380</w:t>
      </w:r>
    </w:p>
  </w:footnote>
  <w:footnote w:id="63">
    <w:p w14:paraId="213022DA" w14:textId="17FCAC82" w:rsidR="00A63B6F" w:rsidRPr="00A63B6F" w:rsidRDefault="00A63B6F">
      <w:pPr>
        <w:pStyle w:val="FootnoteText"/>
      </w:pPr>
      <w:r>
        <w:rPr>
          <w:rStyle w:val="FootnoteReference"/>
        </w:rPr>
        <w:footnoteRef/>
      </w:r>
      <w:r>
        <w:t xml:space="preserve"> Homer, </w:t>
      </w:r>
      <w:r>
        <w:rPr>
          <w:i/>
        </w:rPr>
        <w:t>Il</w:t>
      </w:r>
      <w:r>
        <w:t>. 22</w:t>
      </w:r>
      <w:r w:rsidR="00C96899">
        <w:t>. 168 - 186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8755D0"/>
    <w:multiLevelType w:val="hybridMultilevel"/>
    <w:tmpl w:val="833AD55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28C"/>
    <w:rsid w:val="00031EA8"/>
    <w:rsid w:val="000638A0"/>
    <w:rsid w:val="00071859"/>
    <w:rsid w:val="00081843"/>
    <w:rsid w:val="0009287D"/>
    <w:rsid w:val="00095311"/>
    <w:rsid w:val="00117E3A"/>
    <w:rsid w:val="001202E3"/>
    <w:rsid w:val="00132C0F"/>
    <w:rsid w:val="0013618F"/>
    <w:rsid w:val="001678CD"/>
    <w:rsid w:val="001C1A9C"/>
    <w:rsid w:val="00252D73"/>
    <w:rsid w:val="002B4778"/>
    <w:rsid w:val="002D4F48"/>
    <w:rsid w:val="002E64B1"/>
    <w:rsid w:val="002F2BC3"/>
    <w:rsid w:val="00302A8A"/>
    <w:rsid w:val="003066DB"/>
    <w:rsid w:val="00320582"/>
    <w:rsid w:val="003404A5"/>
    <w:rsid w:val="00384393"/>
    <w:rsid w:val="003B594A"/>
    <w:rsid w:val="00460AB3"/>
    <w:rsid w:val="004613ED"/>
    <w:rsid w:val="00461E45"/>
    <w:rsid w:val="004C0C9B"/>
    <w:rsid w:val="004F6832"/>
    <w:rsid w:val="00501141"/>
    <w:rsid w:val="00510604"/>
    <w:rsid w:val="00541414"/>
    <w:rsid w:val="00556900"/>
    <w:rsid w:val="005D063F"/>
    <w:rsid w:val="006154CB"/>
    <w:rsid w:val="006555F4"/>
    <w:rsid w:val="00657459"/>
    <w:rsid w:val="00673F96"/>
    <w:rsid w:val="006F74B5"/>
    <w:rsid w:val="00703C01"/>
    <w:rsid w:val="007B5AC4"/>
    <w:rsid w:val="007D3914"/>
    <w:rsid w:val="007D4725"/>
    <w:rsid w:val="007D6F1C"/>
    <w:rsid w:val="00811BDF"/>
    <w:rsid w:val="0082455B"/>
    <w:rsid w:val="008C7F81"/>
    <w:rsid w:val="008E7DF5"/>
    <w:rsid w:val="008F0FAC"/>
    <w:rsid w:val="009016AE"/>
    <w:rsid w:val="00904C53"/>
    <w:rsid w:val="00907B32"/>
    <w:rsid w:val="00984CDD"/>
    <w:rsid w:val="009944B8"/>
    <w:rsid w:val="009B08E2"/>
    <w:rsid w:val="009D7A65"/>
    <w:rsid w:val="00A15A53"/>
    <w:rsid w:val="00A4328C"/>
    <w:rsid w:val="00A4696F"/>
    <w:rsid w:val="00A63B6F"/>
    <w:rsid w:val="00AC7C85"/>
    <w:rsid w:val="00AD2DBD"/>
    <w:rsid w:val="00B134EF"/>
    <w:rsid w:val="00B75085"/>
    <w:rsid w:val="00B87660"/>
    <w:rsid w:val="00BB396C"/>
    <w:rsid w:val="00BD2EFF"/>
    <w:rsid w:val="00BF454E"/>
    <w:rsid w:val="00C10325"/>
    <w:rsid w:val="00C11DBF"/>
    <w:rsid w:val="00C539DD"/>
    <w:rsid w:val="00C66FB5"/>
    <w:rsid w:val="00C7773F"/>
    <w:rsid w:val="00C96899"/>
    <w:rsid w:val="00CA3BEA"/>
    <w:rsid w:val="00CC180D"/>
    <w:rsid w:val="00CF3DF2"/>
    <w:rsid w:val="00D04F69"/>
    <w:rsid w:val="00D70C42"/>
    <w:rsid w:val="00D71F81"/>
    <w:rsid w:val="00D94D31"/>
    <w:rsid w:val="00DA31F9"/>
    <w:rsid w:val="00E03EB9"/>
    <w:rsid w:val="00E23BE4"/>
    <w:rsid w:val="00E45BE2"/>
    <w:rsid w:val="00E65D92"/>
    <w:rsid w:val="00E74A7B"/>
    <w:rsid w:val="00E864D0"/>
    <w:rsid w:val="00E9256D"/>
    <w:rsid w:val="00EA0BEB"/>
    <w:rsid w:val="00EC79CD"/>
    <w:rsid w:val="00ED2997"/>
    <w:rsid w:val="00EF3958"/>
    <w:rsid w:val="00F1241D"/>
    <w:rsid w:val="00F40284"/>
    <w:rsid w:val="00F41E75"/>
    <w:rsid w:val="00F66E17"/>
    <w:rsid w:val="00FD2BF9"/>
    <w:rsid w:val="00FD40BE"/>
    <w:rsid w:val="00FF4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ABE9B2"/>
  <w14:defaultImageDpi w14:val="32767"/>
  <w15:chartTrackingRefBased/>
  <w15:docId w15:val="{5FB504E7-E444-4C43-9F5E-AF139B438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311"/>
    <w:pPr>
      <w:ind w:left="720"/>
      <w:contextualSpacing/>
    </w:pPr>
  </w:style>
  <w:style w:type="paragraph" w:styleId="FootnoteText">
    <w:name w:val="footnote text"/>
    <w:basedOn w:val="Normal"/>
    <w:link w:val="FootnoteTextChar"/>
    <w:uiPriority w:val="99"/>
    <w:semiHidden/>
    <w:unhideWhenUsed/>
    <w:rsid w:val="000638A0"/>
    <w:rPr>
      <w:sz w:val="20"/>
      <w:szCs w:val="20"/>
    </w:rPr>
  </w:style>
  <w:style w:type="character" w:customStyle="1" w:styleId="FootnoteTextChar">
    <w:name w:val="Footnote Text Char"/>
    <w:basedOn w:val="DefaultParagraphFont"/>
    <w:link w:val="FootnoteText"/>
    <w:uiPriority w:val="99"/>
    <w:semiHidden/>
    <w:rsid w:val="000638A0"/>
    <w:rPr>
      <w:sz w:val="20"/>
      <w:szCs w:val="20"/>
    </w:rPr>
  </w:style>
  <w:style w:type="character" w:styleId="FootnoteReference">
    <w:name w:val="footnote reference"/>
    <w:basedOn w:val="DefaultParagraphFont"/>
    <w:uiPriority w:val="99"/>
    <w:semiHidden/>
    <w:unhideWhenUsed/>
    <w:rsid w:val="000638A0"/>
    <w:rPr>
      <w:vertAlign w:val="superscript"/>
    </w:rPr>
  </w:style>
  <w:style w:type="character" w:styleId="Hyperlink">
    <w:name w:val="Hyperlink"/>
    <w:basedOn w:val="DefaultParagraphFont"/>
    <w:uiPriority w:val="99"/>
    <w:unhideWhenUsed/>
    <w:rsid w:val="00C66F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4912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wsu.edu/~hughesc/Prelude_to_the_Iliad.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31FFC3-9277-2E44-97D5-A4E37216E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576</TotalTime>
  <Pages>10</Pages>
  <Words>3977</Words>
  <Characters>19370</Characters>
  <Application>Microsoft Office Word</Application>
  <DocSecurity>0</DocSecurity>
  <Lines>430</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35</cp:revision>
  <dcterms:created xsi:type="dcterms:W3CDTF">2019-04-30T18:19:00Z</dcterms:created>
  <dcterms:modified xsi:type="dcterms:W3CDTF">2019-05-17T20:34:00Z</dcterms:modified>
</cp:coreProperties>
</file>