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William Edwards 2004219 </w:t>
      </w:r>
    </w:p>
    <w:p w:rsidR="00000000" w:rsidDel="00000000" w:rsidP="00000000" w:rsidRDefault="00000000" w:rsidRPr="00000000" w14:paraId="00000002">
      <w:pPr>
        <w:rPr>
          <w:b w:val="1"/>
        </w:rPr>
      </w:pPr>
      <w:r w:rsidDel="00000000" w:rsidR="00000000" w:rsidRPr="00000000">
        <w:rPr>
          <w:b w:val="1"/>
          <w:rtl w:val="0"/>
        </w:rPr>
        <w:tab/>
        <w:tab/>
        <w:tab/>
        <w:tab/>
        <w:t xml:space="preserve">Ausonius </w:t>
      </w:r>
      <w:r w:rsidDel="00000000" w:rsidR="00000000" w:rsidRPr="00000000">
        <w:rPr>
          <w:b w:val="1"/>
          <w:i w:val="1"/>
          <w:rtl w:val="0"/>
        </w:rPr>
        <w:t xml:space="preserve">Mosella</w:t>
      </w:r>
      <w:r w:rsidDel="00000000" w:rsidR="00000000" w:rsidRPr="00000000">
        <w:rPr>
          <w:b w:val="1"/>
          <w:rtl w:val="0"/>
        </w:rPr>
        <w:t xml:space="preserve"> Gobbet </w:t>
      </w:r>
    </w:p>
    <w:p w:rsidR="00000000" w:rsidDel="00000000" w:rsidP="00000000" w:rsidRDefault="00000000" w:rsidRPr="00000000" w14:paraId="00000003">
      <w:pPr>
        <w:rPr/>
      </w:pPr>
      <w:r w:rsidDel="00000000" w:rsidR="00000000" w:rsidRPr="00000000">
        <w:rPr>
          <w:rtl w:val="0"/>
        </w:rPr>
        <w:t xml:space="preserve">Extract option C, level 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i w:val="1"/>
        </w:rPr>
      </w:pPr>
      <w:r w:rsidDel="00000000" w:rsidR="00000000" w:rsidRPr="00000000">
        <w:rPr>
          <w:i w:val="1"/>
          <w:rtl w:val="0"/>
        </w:rPr>
        <w:t xml:space="preserve">Such is the theme I compass—I, who am sprung of Viviscan5 stock, yet by old ties of</w:t>
      </w:r>
    </w:p>
    <w:p w:rsidR="00000000" w:rsidDel="00000000" w:rsidP="00000000" w:rsidRDefault="00000000" w:rsidRPr="00000000" w14:paraId="00000006">
      <w:pPr>
        <w:rPr/>
      </w:pPr>
      <w:r w:rsidDel="00000000" w:rsidR="00000000" w:rsidRPr="00000000">
        <w:rPr>
          <w:i w:val="1"/>
          <w:rtl w:val="0"/>
        </w:rPr>
        <w:t xml:space="preserve">guestship no stranger to the Belgae; I, Ausonius, Roman in name yet born and bred betwixt the frontiers of Gaul and high Pyrene,1 where blithe Aquitaine mellows the native temper of her sons: great is my daring though my lute is small. Be it no sin for me to have touched lightly on thy holy stream with the poor offering my Muse affords. ’Tis not for praise I hanker: I sue for pardon. Many thou hast, O gentle stream, who use to trouble the rills of the Aonian maids and drain all Aganippe. But as for me, so far as the flow of my poetic vein shall serve—when the Emperor and his sons2 (my chiefest care) shall give me my discharge from service as their tutor, and shall dispatch me, invested with the emblems and dignity of the Ausonian3 consulship, home to Bordeaux, my native land, the nest of my old age—I will pursue yet further the praises of thy Northern stream. I will tell also of cities below which with voiceless channel thou dost glide, of strongholds which look out on thee from ancient walls; I will tell also of fortresses raised for defence in times of peril, now not fortresses but granaries for the unmenaced Belgic folk; I will tell also of prosperous settlers upon either shore, and how thy waters lap their banks midway between the toils of men and oxen, parting the rich fields. Not Liger shall prefer himself before thee, not headlong Axona, not Matrona, set as a border-line between Gauls and Belgae, not Carantonus4 himself whose stream is driven back by the Santonic tide. Thou too, Duranius,5 whose waters roll down from their chill mountain-source, shalt yield, and Gaul shall rank gold-bearing Tarnes in lower place; and, though he rushes madly ’mid wide-rolling rocks, yet shall Tarbellic Aturrus only pass into the dark sea when he has first done homage to the deity of sovereign Moselle. Horned Moselle, worthy to be renowned throughout foreign lands, and not to be renowned in those parts alone where at thy farthest source thou dost reveal the gilded glory of a bull-like brow;1 or where amid embaying fields thou dost wind thy peaceful course; or where below German harbours thou dost clear thy outfall;—if any praise shall choose to breathe upon this feeble strain, if anyone shall deign to waste his leisure on my verse, thou shalt pass upon the lips of men, and be cherished with joyful song. Of thee springs and living lakes shall learn, of thee azure rivers, of thee ancient groves, the glory of our villages; to thee Druna, to thee Druentia,2 wandering uncertainly between her shifting banks, shall do reverence with all the Alpine streams, and Rhodanus who, flowing through that twofold city, gives a name to the Right Bank;3 thee will I praise to the dark meres and deep-voiced tributaries, thee will I praise to sea-like Garonne.</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_________________________________________________________________________</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This gobbet will go over an extract from the poet Ausonius, titles </w:t>
      </w:r>
      <w:r w:rsidDel="00000000" w:rsidR="00000000" w:rsidRPr="00000000">
        <w:rPr>
          <w:i w:val="1"/>
          <w:rtl w:val="0"/>
        </w:rPr>
        <w:t xml:space="preserve">Mosella</w:t>
      </w:r>
      <w:r w:rsidDel="00000000" w:rsidR="00000000" w:rsidRPr="00000000">
        <w:rPr>
          <w:rtl w:val="0"/>
        </w:rPr>
        <w:t xml:space="preserve">, which is a poem about the modern day river of Moselle,  The Author, Decimius Magnus Ausonius, was by the time of the creation of the </w:t>
      </w:r>
      <w:r w:rsidDel="00000000" w:rsidR="00000000" w:rsidRPr="00000000">
        <w:rPr>
          <w:i w:val="1"/>
          <w:rtl w:val="0"/>
        </w:rPr>
        <w:t xml:space="preserve">Mosella</w:t>
      </w:r>
      <w:r w:rsidDel="00000000" w:rsidR="00000000" w:rsidRPr="00000000">
        <w:rPr>
          <w:rtl w:val="0"/>
        </w:rPr>
        <w:t xml:space="preserve">, the tutor to the future emperor Gratian, and a part of the court of Valentinian I. During this period, Valentinian brought Gratian and Ausonius with him on a Germanic campaign, and so Ausonius would have had a lot of time spent at the border, and the Germanic frontier of Rome. Some scholars, like Hernández, say that the Ausonius’s goals are to “the ultimate mission of the poet is trying to say the unsayable to make it accessible to all humankind. As long as Ausonius lives, he will keep on praising the sacred waters of the Moselle” I will be analysing the source from a degree of angles; going into its contextual links and importance, its themes and the character of the poem, and lastly the way in which Ausonius carries himself within the text, from his lofty beliefs in himself being equal to the greats, but also if the text can back up this claim of wit and intelligence.</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extract references Ausonius’s heritage and ‘nationality’ to an elaborate degree, “I, Ausonius, Roman in name yet born and bred betwixt the frontiers of Gaul and high Pyrene, where blithe Aquitaine mellows the native temper of her sons”.</w:t>
      </w:r>
      <w:r w:rsidDel="00000000" w:rsidR="00000000" w:rsidRPr="00000000">
        <w:rPr>
          <w:vertAlign w:val="superscript"/>
        </w:rPr>
        <w:footnoteReference w:customMarkFollows="0" w:id="1"/>
      </w:r>
      <w:r w:rsidDel="00000000" w:rsidR="00000000" w:rsidRPr="00000000">
        <w:rPr>
          <w:rtl w:val="0"/>
        </w:rPr>
        <w:t xml:space="preserve"> He references his initial homeland of Bordeaux, stating that although he and many others may be of differing nationalities, creeds and ethnic groups, they are all Roman, this makes an incredible amount of sense when one observes his position as linked so closely to the emperor and the tutelage of his son and heir apparent to the empire, it would be unwise for a man of his particular pedigree, specifically a lack of military experience, to be causing division among the empire by sewing discord among the Roman population, by focusing on their differences rather than then common attributes, and in a position so close to the throne, it would place him in an uncomfortable degree of light if he were to be found tutoring the next emperor on how the empire shouldn't work from an ethnographic point of view. Ausonius notes this when he references Valentinian and Gratian with “so far as the flow of my poetic vein shall serve—when the Emperor and his sons (my chiefest care) shall give me my discharge from service as their tutor”, this text shows that Ausonius is writing this in service of the empire, in support of the policies enacted by Valentinian and how the empire is doing on a political and cultural level, Sivan expands on this by saying “The new dynasty needed military credit, and a poem praising the quiet frontiers in times which were far from peaceful was certainly a welcome addition to its public image…”, which makes sense from the political perspective of Valentinian as a belief in security is a good base from which to rule a people.</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 poem’s central theme, and its namesake, is its description of the Moselle river. Ausonius goes on to describe in pretentious language the geography of the river, from the rocks to the delta and the people situated along its banks. Its main goal seems to glorify and almost anthropomorphise the river, with heavy doses of comparison to other areas of the empire, especially his homeland. It delves into the political situation of the belgae tribes, describing them as “unmenaced” and therefore being “prosperous”, showing how the empire has taken tribes into its land and made them prosperous.</w:t>
      </w:r>
      <w:r w:rsidDel="00000000" w:rsidR="00000000" w:rsidRPr="00000000">
        <w:rPr>
          <w:vertAlign w:val="superscript"/>
        </w:rPr>
        <w:footnoteReference w:customMarkFollows="0" w:id="3"/>
      </w:r>
      <w:r w:rsidDel="00000000" w:rsidR="00000000" w:rsidRPr="00000000">
        <w:rPr>
          <w:rtl w:val="0"/>
        </w:rPr>
        <w:t xml:space="preserve"> It is very obviously a propaganda piece, showing the positives of the empire and how serene and orderly life can be. It does have its problems though, specifically its use of ostentatious language and lack of wordplay, and considering its audience would typically have been a haughty nobility, this may not have been a problem, but in comparison to other poets like Ovid or Claudian, his work lacks charisma, rather, it has more in common with a self-aggrandising historian than a poet; this may be due to its subject matter, a river has less to comment on than a war does in Claudian’s case, but it lacks a certain character that most other Roman authors have. This lack of a strong disposition within the text makes for a slog of a read and a rather dry piece of poetic literature. Contemporaries such as Ammianus Marcellinus or Claudian have a far better grasp of propaganda production and emotional linkage between author, events, and readers, one key ability Ausonius seems to lack. He gives the vibe of a failed English teacher turned geography professor who attempts to pawn off his own lacklustre poetry as serious work equal to greater authors. It would have been of better benefit to the memory of Roman poetry if he had stuck to teaching, never put quill to parchment, and been consigned as a footnote in the history books of better poets. Ausonius references his home a number of times through the poem, and that the Moselle and its surrounding lands remind him of home, Vessey explains that the river itself is giving Ausonius a sense of security, its safety being taken for granted much like Ausonius’ homeland.</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He brags about lands under the “Ausonian consulship”, when he was almost a decade away from being declared a consul, the arrogance is almost palpable.</w:t>
      </w:r>
      <w:r w:rsidDel="00000000" w:rsidR="00000000" w:rsidRPr="00000000">
        <w:rPr>
          <w:vertAlign w:val="superscript"/>
        </w:rPr>
        <w:footnoteReference w:customMarkFollows="0" w:id="5"/>
      </w:r>
      <w:r w:rsidDel="00000000" w:rsidR="00000000" w:rsidRPr="00000000">
        <w:rPr>
          <w:rtl w:val="0"/>
        </w:rPr>
        <w:t xml:space="preserve"> But, he is capable of giving a detailed account of the physical topography of the river and surrounding area, both natural and man-made. Now, some of the blame must be places upon the translator, the emotion for which Ausonius may have been attempting to convey may have been lost in translation, due to the constrains of the Latin language and the almost over flexibility of the English language. The text itself is almost jarring in how sentences are worded, blocks and overly derivative textual examples weaken the text as a literary piece, overly extending what should be quick and concise phrases. He seems to be attempting to convey an epic theme, hyper-focusing on individual actions, yet out of mountains he performs molehills. His style of textual writing makes the sentences seem bloated and unwieldy, drawn down to the depths with cumbersome phraseology, and dredging up a feeling of bulky and stuttered composition; which ironically, unlike the Moselle, does not flow. Now, it is fair to say again that this indeed may be the fault of the translator, for tender and witty language may become lost through the translated piece, weakening the direction and themes of the poem. Ausonius seems to be attempting to draw comparison between his work and the homeric epics, using gargantuan lists to try and stuff as much detail in as possible, but where Homer or Virgil manage to succinctly enshrine depth and detail in short phrases, Ausonius merely embellishes humdrum geographical features.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There is a comparison to be made between Ausonius and his beloved river: the Moselle is a moderately important river, being important for internal trade routes and the survival of several tribes, it is not on the par of the importance of the Nile, which grants life to the breadbasket of the empire; the Danube, being the true border of the empire in the Balkans; and the Tiber, which is a vital artery to the city of Rome itself. And a comparison can be seen between Ausonius and other great poets, he wants to be a Homer, a Virgil, an Ovid; but, much like the Moselle, it does not stand comparison to the others anywhere near the same level of complexity and witty wordplay. One specific problem can be noted is his attempting at positioning himself as a humble poet, with phrases like “...great is my daring though my lute is small”, which is ironic considering the position he then was holding, within the court of the emperor and tutor to the next emperor, he had an almost unparalleled position of authority and influence, being able to mould the next emperor’s views on philosophy, the nature of power and the nature of man.</w:t>
      </w:r>
      <w:r w:rsidDel="00000000" w:rsidR="00000000" w:rsidRPr="00000000">
        <w:rPr>
          <w:vertAlign w:val="superscript"/>
        </w:rPr>
        <w:footnoteReference w:customMarkFollows="0" w:id="6"/>
      </w:r>
      <w:r w:rsidDel="00000000" w:rsidR="00000000" w:rsidRPr="00000000">
        <w:rPr>
          <w:rtl w:val="0"/>
        </w:rPr>
        <w:t xml:space="preserve"> His duplicitousness within the text can degrade how a reader may view him and the work as a whole, as those with an understanding of the context to which he was writing can see that this humble approach is hollow and brings reproach upon him.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It does do well to assure the reader that the current political climate was one of peace and stability, importantly, he emphasises his support of Valentinian’s strengthening and securing of the frontiers, poignantly he notes “...also of fortresses raised for defence in times of peril, now not fortresses but granaries for the unmenaced Belgic folk” which suggests that he views the times ahead as one of great stability, as even those tribes living at the borders of the empire are relaxed and unwary enough of foreign incursions to reuse their fortifications as a store for local supply and commerce, and again, this has been noted by writers such as Sivan, that this is a piece of propaganda.</w:t>
      </w:r>
      <w:r w:rsidDel="00000000" w:rsidR="00000000" w:rsidRPr="00000000">
        <w:rPr>
          <w:vertAlign w:val="superscript"/>
        </w:rPr>
        <w:footnoteReference w:customMarkFollows="0" w:id="7"/>
      </w:r>
      <w:r w:rsidDel="00000000" w:rsidR="00000000" w:rsidRPr="00000000">
        <w:rPr>
          <w:rtl w:val="0"/>
        </w:rPr>
        <w:t xml:space="preserve"> His use of fortresses is a verbal motif and a correlation between human barriers (walls) and natural barriers (river) as Maticic puts it.</w:t>
      </w:r>
      <w:r w:rsidDel="00000000" w:rsidR="00000000" w:rsidRPr="00000000">
        <w:rPr>
          <w:vertAlign w:val="superscript"/>
        </w:rPr>
        <w:footnoteReference w:customMarkFollows="0" w:id="8"/>
      </w:r>
      <w:r w:rsidDel="00000000" w:rsidR="00000000" w:rsidRPr="00000000">
        <w:rPr>
          <w:rtl w:val="0"/>
        </w:rPr>
        <w:t xml:space="preserve">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conclusion, an analysis of the extract will always be crippled by the translator, because they are the mouthpiece through which Latin poems are spoken, and the English language sometimes provides too many options for interpretation and retranslation. The text has some good moments within it, acting well as a piece of propaganda, although it is wrong for Ausonius to claim to be on the same level as writers such as Ovid. Those scholars like </w:t>
      </w:r>
      <w:r w:rsidDel="00000000" w:rsidR="00000000" w:rsidRPr="00000000">
        <w:rPr>
          <w:highlight w:val="white"/>
          <w:rtl w:val="0"/>
        </w:rPr>
        <w:t xml:space="preserve">Hernández and Maticic are right when they claim the poem has more than one meaning, and that it has metaphors that correlate to the wider context in which he was writing, but the translation we are dealing with lacks the subtle nuances that allow for such connections and understandings to be taken away with the reader, instead, we have the issue that the work seems a tad bland in comparison to writers like Claudian who would write not too long after Ausonius; but we should not solely lay the blame upon Ausonius, but on the translators motivations and reasoning behind the use of certain words or phrases. </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Sources: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Ausonius, 371 </w:t>
      </w:r>
      <w:r w:rsidDel="00000000" w:rsidR="00000000" w:rsidRPr="00000000">
        <w:rPr>
          <w:i w:val="1"/>
          <w:rtl w:val="0"/>
        </w:rPr>
        <w:t xml:space="preserve">Mosella </w:t>
      </w:r>
      <w:r w:rsidDel="00000000" w:rsidR="00000000" w:rsidRPr="00000000">
        <w:rPr>
          <w:rtl w:val="0"/>
        </w:rPr>
        <w:t xml:space="preserve">trans. Loeb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highlight w:val="white"/>
          <w:rtl w:val="0"/>
        </w:rPr>
        <w:t xml:space="preserve">Hernández Lobato, Jesús, 2016 ‘MYSTIC RIVER: AUSONIUS’ MOSELLA AS AN EPISTEMOLOGICAL REVELATION’, </w:t>
      </w:r>
      <w:r w:rsidDel="00000000" w:rsidR="00000000" w:rsidRPr="00000000">
        <w:rPr>
          <w:i w:val="1"/>
          <w:highlight w:val="white"/>
          <w:rtl w:val="0"/>
        </w:rPr>
        <w:t xml:space="preserve">Ramus</w:t>
      </w:r>
      <w:r w:rsidDel="00000000" w:rsidR="00000000" w:rsidRPr="00000000">
        <w:rPr>
          <w:highlight w:val="white"/>
          <w:rtl w:val="0"/>
        </w:rPr>
        <w:t xml:space="preserve">, 45.2 , 231–66</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sz w:val="23"/>
          <w:szCs w:val="23"/>
        </w:rPr>
      </w:pPr>
      <w:r w:rsidDel="00000000" w:rsidR="00000000" w:rsidRPr="00000000">
        <w:rPr>
          <w:sz w:val="23"/>
          <w:szCs w:val="23"/>
          <w:rtl w:val="0"/>
        </w:rPr>
        <w:t xml:space="preserve">Maticic, D.A. 2021 ‘Alluvium and Interlude: The Dynamics of Relationality in Ausonius’s Mosella’, </w:t>
      </w:r>
      <w:r w:rsidDel="00000000" w:rsidR="00000000" w:rsidRPr="00000000">
        <w:rPr>
          <w:i w:val="1"/>
          <w:sz w:val="23"/>
          <w:szCs w:val="23"/>
          <w:rtl w:val="0"/>
        </w:rPr>
        <w:t xml:space="preserve">Arethusa</w:t>
      </w:r>
      <w:r w:rsidDel="00000000" w:rsidR="00000000" w:rsidRPr="00000000">
        <w:rPr>
          <w:sz w:val="23"/>
          <w:szCs w:val="23"/>
          <w:rtl w:val="0"/>
        </w:rPr>
        <w:t xml:space="preserve">, 54(3), pp. 399–423. Available at: </w:t>
      </w:r>
      <w:hyperlink r:id="rId7">
        <w:r w:rsidDel="00000000" w:rsidR="00000000" w:rsidRPr="00000000">
          <w:rPr>
            <w:sz w:val="23"/>
            <w:szCs w:val="23"/>
            <w:u w:val="single"/>
            <w:rtl w:val="0"/>
          </w:rPr>
          <w:t xml:space="preserve">https://doi.org/10.1353/are.2021.0014</w:t>
        </w:r>
      </w:hyperlink>
      <w:r w:rsidDel="00000000" w:rsidR="00000000" w:rsidRPr="00000000">
        <w:rPr>
          <w:sz w:val="23"/>
          <w:szCs w:val="23"/>
          <w:rtl w:val="0"/>
        </w:rPr>
        <w:t xml:space="preserve">.</w:t>
      </w:r>
    </w:p>
    <w:p w:rsidR="00000000" w:rsidDel="00000000" w:rsidP="00000000" w:rsidRDefault="00000000" w:rsidRPr="00000000" w14:paraId="0000001F">
      <w:pPr>
        <w:rPr>
          <w:color w:val="3a3a3a"/>
          <w:sz w:val="23"/>
          <w:szCs w:val="23"/>
          <w:highlight w:val="white"/>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Sivan, H. 1990 ‘Redating Ausonius' Moselle’ </w:t>
      </w:r>
      <w:r w:rsidDel="00000000" w:rsidR="00000000" w:rsidRPr="00000000">
        <w:rPr>
          <w:i w:val="1"/>
          <w:rtl w:val="0"/>
        </w:rPr>
        <w:t xml:space="preserve">American Journal of Philology</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color w:val="010101"/>
          <w:rtl w:val="0"/>
        </w:rPr>
        <w:t xml:space="preserve">Vessey, M. 2014. “Fashions for Varro in Late Antiquity and Christian Ways with Books” in </w:t>
      </w:r>
      <w:r w:rsidDel="00000000" w:rsidR="00000000" w:rsidRPr="00000000">
        <w:rPr>
          <w:i w:val="1"/>
          <w:color w:val="010101"/>
          <w:rtl w:val="0"/>
        </w:rPr>
        <w:t xml:space="preserve">Being Christian in Late Antiquity: A Festschrift for Gillian Clark</w:t>
      </w:r>
      <w:r w:rsidDel="00000000" w:rsidR="00000000" w:rsidRPr="00000000">
        <w:rPr>
          <w:color w:val="010101"/>
          <w:rtl w:val="0"/>
        </w:rPr>
        <w:t xml:space="preserve"> edited by Carol Harrison, Caroline Humfress, Isabella Sandwell</w:t>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4">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 </w:t>
      </w:r>
      <w:r w:rsidDel="00000000" w:rsidR="00000000" w:rsidRPr="00000000">
        <w:rPr>
          <w:i w:val="1"/>
          <w:sz w:val="20"/>
          <w:szCs w:val="20"/>
          <w:rtl w:val="0"/>
        </w:rPr>
        <w:t xml:space="preserve">Mosella </w:t>
      </w:r>
      <w:r w:rsidDel="00000000" w:rsidR="00000000" w:rsidRPr="00000000">
        <w:rPr>
          <w:sz w:val="20"/>
          <w:szCs w:val="20"/>
          <w:rtl w:val="0"/>
        </w:rPr>
        <w:t xml:space="preserve">438-450, </w:t>
      </w:r>
      <w:r w:rsidDel="00000000" w:rsidR="00000000" w:rsidRPr="00000000">
        <w:rPr>
          <w:color w:val="010101"/>
          <w:sz w:val="20"/>
          <w:szCs w:val="20"/>
          <w:rtl w:val="0"/>
        </w:rPr>
        <w:t xml:space="preserve">Vessey, M. 2014. “Fashions for Varro in Late Antiquity and Christian Ways with Books” in </w:t>
      </w:r>
      <w:r w:rsidDel="00000000" w:rsidR="00000000" w:rsidRPr="00000000">
        <w:rPr>
          <w:i w:val="1"/>
          <w:color w:val="010101"/>
          <w:sz w:val="20"/>
          <w:szCs w:val="20"/>
          <w:rtl w:val="0"/>
        </w:rPr>
        <w:t xml:space="preserve">Being Christian in Late Antiquity: A Festschrift for Gillian Clark</w:t>
      </w:r>
      <w:r w:rsidDel="00000000" w:rsidR="00000000" w:rsidRPr="00000000">
        <w:rPr>
          <w:color w:val="010101"/>
          <w:sz w:val="20"/>
          <w:szCs w:val="20"/>
          <w:rtl w:val="0"/>
        </w:rPr>
        <w:t xml:space="preserve"> p.255</w:t>
      </w:r>
      <w:r w:rsidDel="00000000" w:rsidR="00000000" w:rsidRPr="00000000">
        <w:rPr>
          <w:rtl w:val="0"/>
        </w:rPr>
      </w:r>
    </w:p>
  </w:footnote>
  <w:footnote w:id="7">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 </w:t>
      </w:r>
      <w:r w:rsidDel="00000000" w:rsidR="00000000" w:rsidRPr="00000000">
        <w:rPr>
          <w:i w:val="1"/>
          <w:sz w:val="20"/>
          <w:szCs w:val="20"/>
          <w:rtl w:val="0"/>
        </w:rPr>
        <w:t xml:space="preserve">Mosella </w:t>
      </w:r>
      <w:r w:rsidDel="00000000" w:rsidR="00000000" w:rsidRPr="00000000">
        <w:rPr>
          <w:sz w:val="20"/>
          <w:szCs w:val="20"/>
          <w:rtl w:val="0"/>
        </w:rPr>
        <w:t xml:space="preserve">445-465</w:t>
      </w:r>
    </w:p>
  </w:footnote>
  <w:footnote w:id="2">
    <w:p w:rsidR="00000000" w:rsidDel="00000000" w:rsidP="00000000" w:rsidRDefault="00000000" w:rsidRPr="00000000" w14:paraId="00000029">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Sivan, H. 1990 ‘Redating Ausonius' Moselle’ </w:t>
      </w:r>
      <w:r w:rsidDel="00000000" w:rsidR="00000000" w:rsidRPr="00000000">
        <w:rPr>
          <w:i w:val="1"/>
          <w:sz w:val="20"/>
          <w:szCs w:val="20"/>
          <w:rtl w:val="0"/>
        </w:rPr>
        <w:t xml:space="preserve">American Journal of Philology </w:t>
      </w:r>
      <w:r w:rsidDel="00000000" w:rsidR="00000000" w:rsidRPr="00000000">
        <w:rPr>
          <w:rtl w:val="0"/>
        </w:rPr>
      </w:r>
    </w:p>
  </w:footnote>
  <w:footnote w:id="1">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Ausonius, 371 </w:t>
      </w:r>
      <w:r w:rsidDel="00000000" w:rsidR="00000000" w:rsidRPr="00000000">
        <w:rPr>
          <w:i w:val="1"/>
          <w:sz w:val="20"/>
          <w:szCs w:val="20"/>
          <w:rtl w:val="0"/>
        </w:rPr>
        <w:t xml:space="preserve">Mosella </w:t>
      </w:r>
      <w:r w:rsidDel="00000000" w:rsidR="00000000" w:rsidRPr="00000000">
        <w:rPr>
          <w:sz w:val="20"/>
          <w:szCs w:val="20"/>
          <w:rtl w:val="0"/>
        </w:rPr>
        <w:t xml:space="preserve">trans. Loeb 438-445</w:t>
      </w:r>
    </w:p>
  </w:footnote>
  <w:footnote w:id="8">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3a3a3a"/>
          <w:sz w:val="20"/>
          <w:szCs w:val="20"/>
          <w:highlight w:val="white"/>
          <w:rtl w:val="0"/>
        </w:rPr>
        <w:t xml:space="preserve">Maticic, D.A. 2021 ‘Alluvium and Interlude: The Dynamics of Relationality in Ausonius’s Mosella’, </w:t>
      </w:r>
      <w:r w:rsidDel="00000000" w:rsidR="00000000" w:rsidRPr="00000000">
        <w:rPr>
          <w:i w:val="1"/>
          <w:color w:val="3a3a3a"/>
          <w:sz w:val="20"/>
          <w:szCs w:val="20"/>
          <w:highlight w:val="white"/>
          <w:rtl w:val="0"/>
        </w:rPr>
        <w:t xml:space="preserve">Arethusa</w:t>
      </w:r>
      <w:r w:rsidDel="00000000" w:rsidR="00000000" w:rsidRPr="00000000">
        <w:rPr>
          <w:color w:val="3a3a3a"/>
          <w:sz w:val="20"/>
          <w:szCs w:val="20"/>
          <w:highlight w:val="white"/>
          <w:rtl w:val="0"/>
        </w:rPr>
        <w:t xml:space="preserve"> p.404-406</w:t>
      </w:r>
      <w:r w:rsidDel="00000000" w:rsidR="00000000" w:rsidRPr="00000000">
        <w:rPr>
          <w:rtl w:val="0"/>
        </w:rPr>
      </w:r>
    </w:p>
  </w:footnote>
  <w:footnote w:id="0">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Hernández Lobato, Jesús, 2016 ‘MYSTIC RIVER: AUSONIUS’ MOSELLA AS AN EPISTEMOLOGICAL REVELATION’, Ramus, 45.2 , 231–66</w:t>
      </w:r>
    </w:p>
  </w:footnote>
  <w:footnote w:id="3">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 </w:t>
      </w:r>
      <w:r w:rsidDel="00000000" w:rsidR="00000000" w:rsidRPr="00000000">
        <w:rPr>
          <w:i w:val="1"/>
          <w:sz w:val="20"/>
          <w:szCs w:val="20"/>
          <w:rtl w:val="0"/>
        </w:rPr>
        <w:t xml:space="preserve">Mosella </w:t>
      </w:r>
      <w:r w:rsidDel="00000000" w:rsidR="00000000" w:rsidRPr="00000000">
        <w:rPr>
          <w:sz w:val="20"/>
          <w:szCs w:val="20"/>
          <w:rtl w:val="0"/>
        </w:rPr>
        <w:t xml:space="preserve">438-465</w:t>
      </w:r>
    </w:p>
  </w:footnote>
  <w:footnote w:id="5">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 </w:t>
      </w:r>
      <w:r w:rsidDel="00000000" w:rsidR="00000000" w:rsidRPr="00000000">
        <w:rPr>
          <w:i w:val="1"/>
          <w:sz w:val="20"/>
          <w:szCs w:val="20"/>
          <w:rtl w:val="0"/>
        </w:rPr>
        <w:t xml:space="preserve">Mosella </w:t>
      </w:r>
      <w:r w:rsidDel="00000000" w:rsidR="00000000" w:rsidRPr="00000000">
        <w:rPr>
          <w:sz w:val="20"/>
          <w:szCs w:val="20"/>
          <w:rtl w:val="0"/>
        </w:rPr>
        <w:t xml:space="preserve">438-450</w:t>
      </w:r>
    </w:p>
  </w:footnote>
  <w:footnote w:id="6">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 </w:t>
      </w:r>
      <w:r w:rsidDel="00000000" w:rsidR="00000000" w:rsidRPr="00000000">
        <w:rPr>
          <w:i w:val="1"/>
          <w:sz w:val="20"/>
          <w:szCs w:val="20"/>
          <w:rtl w:val="0"/>
        </w:rPr>
        <w:t xml:space="preserve">Mosella </w:t>
      </w:r>
      <w:r w:rsidDel="00000000" w:rsidR="00000000" w:rsidRPr="00000000">
        <w:rPr>
          <w:sz w:val="20"/>
          <w:szCs w:val="20"/>
          <w:rtl w:val="0"/>
        </w:rPr>
        <w:t xml:space="preserve">443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doi.org/10.1353/are.2021.0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