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0DBCC2" w14:textId="77777777" w:rsidR="007C2B49" w:rsidRPr="007C2B49" w:rsidRDefault="007C2B49" w:rsidP="007C2B49">
      <w:pPr>
        <w:pStyle w:val="Title"/>
        <w:rPr>
          <w:sz w:val="36"/>
          <w:szCs w:val="36"/>
        </w:rPr>
      </w:pPr>
      <w:r w:rsidRPr="007C2B49">
        <w:rPr>
          <w:sz w:val="36"/>
          <w:szCs w:val="36"/>
        </w:rPr>
        <w:t>Critical Examination of Health, Wellbeing and Sustainability Policies: SDG 3 and SDG 11</w:t>
      </w:r>
    </w:p>
    <w:p w14:paraId="650F607A" w14:textId="77777777" w:rsidR="007C2B49" w:rsidRDefault="007C2B49" w:rsidP="007C2B49">
      <w:pPr>
        <w:spacing w:after="400"/>
        <w:jc w:val="center"/>
        <w:rPr>
          <w:color w:val="4A5568"/>
          <w:sz w:val="24"/>
          <w:szCs w:val="24"/>
        </w:rPr>
      </w:pPr>
      <w:r w:rsidRPr="007C2B49">
        <w:rPr>
          <w:color w:val="4A5568"/>
          <w:sz w:val="24"/>
          <w:szCs w:val="24"/>
        </w:rPr>
        <w:t>BMHP6030: Health, Wellbeing and Sustainability</w:t>
      </w:r>
    </w:p>
    <w:p w14:paraId="401E051C" w14:textId="77777777" w:rsidR="007C2B49" w:rsidRDefault="007C2B49" w:rsidP="007C2B49">
      <w:pPr>
        <w:spacing w:after="400"/>
        <w:jc w:val="center"/>
        <w:rPr>
          <w:color w:val="4A5568"/>
          <w:sz w:val="24"/>
          <w:szCs w:val="24"/>
        </w:rPr>
      </w:pPr>
    </w:p>
    <w:p w14:paraId="3169BA56" w14:textId="77777777" w:rsidR="007C2B49" w:rsidRDefault="007C2B49" w:rsidP="007C2B49">
      <w:pPr>
        <w:spacing w:after="400"/>
        <w:jc w:val="center"/>
        <w:rPr>
          <w:color w:val="4A5568"/>
          <w:sz w:val="24"/>
          <w:szCs w:val="24"/>
        </w:rPr>
      </w:pPr>
    </w:p>
    <w:p w14:paraId="61A7FA05" w14:textId="77777777" w:rsidR="007C2B49" w:rsidRDefault="007C2B49" w:rsidP="007C2B49">
      <w:pPr>
        <w:spacing w:after="400"/>
        <w:jc w:val="center"/>
        <w:rPr>
          <w:color w:val="4A5568"/>
          <w:sz w:val="24"/>
          <w:szCs w:val="24"/>
        </w:rPr>
      </w:pPr>
    </w:p>
    <w:p w14:paraId="01858D10" w14:textId="517D8544" w:rsidR="007C2B49" w:rsidRPr="007C2B49" w:rsidRDefault="007C2B49" w:rsidP="007C2B49">
      <w:pPr>
        <w:spacing w:after="400"/>
        <w:jc w:val="center"/>
        <w:rPr>
          <w:b/>
          <w:bCs/>
          <w:color w:val="4A5568"/>
          <w:sz w:val="24"/>
          <w:szCs w:val="24"/>
        </w:rPr>
      </w:pPr>
      <w:r w:rsidRPr="007C2B49">
        <w:rPr>
          <w:b/>
          <w:bCs/>
          <w:color w:val="4A5568"/>
          <w:sz w:val="24"/>
          <w:szCs w:val="24"/>
        </w:rPr>
        <w:t>S</w:t>
      </w:r>
      <w:r>
        <w:rPr>
          <w:b/>
          <w:bCs/>
          <w:color w:val="4A5568"/>
          <w:sz w:val="24"/>
          <w:szCs w:val="24"/>
        </w:rPr>
        <w:t>tudent</w:t>
      </w:r>
      <w:r w:rsidRPr="007C2B49">
        <w:rPr>
          <w:b/>
          <w:bCs/>
          <w:color w:val="4A5568"/>
          <w:sz w:val="24"/>
          <w:szCs w:val="24"/>
        </w:rPr>
        <w:t xml:space="preserve"> N</w:t>
      </w:r>
      <w:r>
        <w:rPr>
          <w:b/>
          <w:bCs/>
          <w:color w:val="4A5568"/>
          <w:sz w:val="24"/>
          <w:szCs w:val="24"/>
        </w:rPr>
        <w:t>ame</w:t>
      </w:r>
      <w:r w:rsidRPr="007C2B49">
        <w:rPr>
          <w:b/>
          <w:bCs/>
          <w:color w:val="4A5568"/>
          <w:sz w:val="24"/>
          <w:szCs w:val="24"/>
        </w:rPr>
        <w:t>: M</w:t>
      </w:r>
      <w:r>
        <w:rPr>
          <w:b/>
          <w:bCs/>
          <w:color w:val="4A5568"/>
          <w:sz w:val="24"/>
          <w:szCs w:val="24"/>
        </w:rPr>
        <w:t>aria</w:t>
      </w:r>
      <w:r w:rsidRPr="007C2B49">
        <w:rPr>
          <w:b/>
          <w:bCs/>
          <w:color w:val="4A5568"/>
          <w:sz w:val="24"/>
          <w:szCs w:val="24"/>
        </w:rPr>
        <w:t xml:space="preserve"> M</w:t>
      </w:r>
      <w:r>
        <w:rPr>
          <w:b/>
          <w:bCs/>
          <w:color w:val="4A5568"/>
          <w:sz w:val="24"/>
          <w:szCs w:val="24"/>
        </w:rPr>
        <w:t>ohamed</w:t>
      </w:r>
      <w:r w:rsidRPr="007C2B49">
        <w:rPr>
          <w:b/>
          <w:bCs/>
          <w:color w:val="4A5568"/>
          <w:sz w:val="24"/>
          <w:szCs w:val="24"/>
        </w:rPr>
        <w:t xml:space="preserve"> E</w:t>
      </w:r>
      <w:r>
        <w:rPr>
          <w:b/>
          <w:bCs/>
          <w:color w:val="4A5568"/>
          <w:sz w:val="24"/>
          <w:szCs w:val="24"/>
        </w:rPr>
        <w:t>dosa</w:t>
      </w:r>
    </w:p>
    <w:p w14:paraId="0F6F65AC" w14:textId="5FBD8409" w:rsidR="007C2B49" w:rsidRPr="007C2B49" w:rsidRDefault="007C2B49" w:rsidP="007C2B49">
      <w:pPr>
        <w:spacing w:after="400"/>
        <w:jc w:val="center"/>
        <w:rPr>
          <w:b/>
          <w:bCs/>
          <w:color w:val="4A5568"/>
          <w:sz w:val="24"/>
          <w:szCs w:val="24"/>
        </w:rPr>
      </w:pPr>
      <w:r w:rsidRPr="007C2B49">
        <w:rPr>
          <w:b/>
          <w:bCs/>
          <w:color w:val="4A5568"/>
          <w:sz w:val="24"/>
          <w:szCs w:val="24"/>
        </w:rPr>
        <w:t>S</w:t>
      </w:r>
      <w:r>
        <w:rPr>
          <w:b/>
          <w:bCs/>
          <w:color w:val="4A5568"/>
          <w:sz w:val="24"/>
          <w:szCs w:val="24"/>
        </w:rPr>
        <w:t>tudent</w:t>
      </w:r>
      <w:r w:rsidRPr="007C2B49">
        <w:rPr>
          <w:b/>
          <w:bCs/>
          <w:color w:val="4A5568"/>
          <w:sz w:val="24"/>
          <w:szCs w:val="24"/>
        </w:rPr>
        <w:t xml:space="preserve"> N</w:t>
      </w:r>
      <w:r>
        <w:rPr>
          <w:b/>
          <w:bCs/>
          <w:color w:val="4A5568"/>
          <w:sz w:val="24"/>
          <w:szCs w:val="24"/>
        </w:rPr>
        <w:t>umber</w:t>
      </w:r>
      <w:r w:rsidRPr="007C2B49">
        <w:rPr>
          <w:b/>
          <w:bCs/>
          <w:color w:val="4A5568"/>
          <w:sz w:val="24"/>
          <w:szCs w:val="24"/>
        </w:rPr>
        <w:t>: 2223484</w:t>
      </w:r>
    </w:p>
    <w:p w14:paraId="5BD66D8F" w14:textId="3F9C43E9" w:rsidR="007C2B49" w:rsidRDefault="007C2B49" w:rsidP="007C2B49">
      <w:pPr>
        <w:spacing w:after="400"/>
        <w:jc w:val="center"/>
        <w:rPr>
          <w:color w:val="4A5568"/>
          <w:sz w:val="24"/>
          <w:szCs w:val="24"/>
        </w:rPr>
      </w:pPr>
    </w:p>
    <w:p w14:paraId="2DDC9431" w14:textId="77777777" w:rsidR="007C2B49" w:rsidRDefault="007C2B49" w:rsidP="007C2B49">
      <w:pPr>
        <w:spacing w:after="400"/>
        <w:jc w:val="center"/>
        <w:rPr>
          <w:color w:val="4A5568"/>
          <w:sz w:val="24"/>
          <w:szCs w:val="24"/>
        </w:rPr>
      </w:pPr>
    </w:p>
    <w:p w14:paraId="355E26F8" w14:textId="77777777" w:rsidR="007C2B49" w:rsidRDefault="007C2B49" w:rsidP="007C2B49">
      <w:pPr>
        <w:spacing w:after="400"/>
        <w:jc w:val="center"/>
        <w:rPr>
          <w:color w:val="4A5568"/>
          <w:sz w:val="24"/>
          <w:szCs w:val="24"/>
        </w:rPr>
      </w:pPr>
    </w:p>
    <w:p w14:paraId="7FAE4164" w14:textId="4B10547D" w:rsidR="007C2B49" w:rsidRPr="007C2B49" w:rsidRDefault="007C2B49" w:rsidP="007C2B49">
      <w:pPr>
        <w:spacing w:after="400"/>
        <w:jc w:val="center"/>
        <w:rPr>
          <w:b/>
          <w:bCs/>
          <w:color w:val="4A5568"/>
          <w:sz w:val="24"/>
          <w:szCs w:val="24"/>
        </w:rPr>
      </w:pPr>
      <w:r w:rsidRPr="007C2B49">
        <w:rPr>
          <w:b/>
          <w:bCs/>
          <w:color w:val="4A5568"/>
          <w:sz w:val="24"/>
          <w:szCs w:val="24"/>
        </w:rPr>
        <w:t>L</w:t>
      </w:r>
      <w:r>
        <w:rPr>
          <w:b/>
          <w:bCs/>
          <w:color w:val="4A5568"/>
          <w:sz w:val="24"/>
          <w:szCs w:val="24"/>
        </w:rPr>
        <w:t>ecturer</w:t>
      </w:r>
      <w:r w:rsidRPr="007C2B49">
        <w:rPr>
          <w:b/>
          <w:bCs/>
          <w:color w:val="4A5568"/>
          <w:sz w:val="24"/>
          <w:szCs w:val="24"/>
        </w:rPr>
        <w:t xml:space="preserve"> N</w:t>
      </w:r>
      <w:r>
        <w:rPr>
          <w:b/>
          <w:bCs/>
          <w:color w:val="4A5568"/>
          <w:sz w:val="24"/>
          <w:szCs w:val="24"/>
        </w:rPr>
        <w:t>ame</w:t>
      </w:r>
      <w:r w:rsidRPr="007C2B49">
        <w:rPr>
          <w:b/>
          <w:bCs/>
          <w:color w:val="4A5568"/>
          <w:sz w:val="24"/>
          <w:szCs w:val="24"/>
        </w:rPr>
        <w:t>: T</w:t>
      </w:r>
      <w:r>
        <w:rPr>
          <w:b/>
          <w:bCs/>
          <w:color w:val="4A5568"/>
          <w:sz w:val="24"/>
          <w:szCs w:val="24"/>
        </w:rPr>
        <w:t>omy</w:t>
      </w:r>
      <w:r w:rsidRPr="007C2B49">
        <w:rPr>
          <w:b/>
          <w:bCs/>
          <w:color w:val="4A5568"/>
          <w:sz w:val="24"/>
          <w:szCs w:val="24"/>
        </w:rPr>
        <w:t xml:space="preserve"> </w:t>
      </w:r>
      <w:proofErr w:type="spellStart"/>
      <w:r w:rsidRPr="007C2B49">
        <w:rPr>
          <w:b/>
          <w:bCs/>
          <w:color w:val="4A5568"/>
          <w:sz w:val="24"/>
          <w:szCs w:val="24"/>
        </w:rPr>
        <w:t>A</w:t>
      </w:r>
      <w:r>
        <w:rPr>
          <w:b/>
          <w:bCs/>
          <w:color w:val="4A5568"/>
          <w:sz w:val="24"/>
          <w:szCs w:val="24"/>
        </w:rPr>
        <w:t>dattu</w:t>
      </w:r>
      <w:proofErr w:type="spellEnd"/>
      <w:r w:rsidRPr="007C2B49">
        <w:rPr>
          <w:b/>
          <w:bCs/>
          <w:color w:val="4A5568"/>
          <w:sz w:val="24"/>
          <w:szCs w:val="24"/>
        </w:rPr>
        <w:t xml:space="preserve"> C</w:t>
      </w:r>
      <w:r>
        <w:rPr>
          <w:b/>
          <w:bCs/>
          <w:color w:val="4A5568"/>
          <w:sz w:val="24"/>
          <w:szCs w:val="24"/>
        </w:rPr>
        <w:t>hacko</w:t>
      </w:r>
    </w:p>
    <w:p w14:paraId="138519CF" w14:textId="4B8BB1B9" w:rsidR="007C2B49" w:rsidRPr="007C2B49" w:rsidRDefault="007C2B49" w:rsidP="007C2B49">
      <w:pPr>
        <w:spacing w:after="400"/>
        <w:jc w:val="center"/>
        <w:rPr>
          <w:b/>
          <w:bCs/>
          <w:sz w:val="24"/>
          <w:szCs w:val="24"/>
        </w:rPr>
      </w:pPr>
      <w:r w:rsidRPr="007C2B49">
        <w:rPr>
          <w:b/>
          <w:bCs/>
          <w:color w:val="4A5568"/>
          <w:sz w:val="24"/>
          <w:szCs w:val="24"/>
        </w:rPr>
        <w:t>March 2026</w:t>
      </w:r>
    </w:p>
    <w:p w14:paraId="3ABE2E3B" w14:textId="77777777" w:rsidR="0013763C" w:rsidRDefault="0013763C"/>
    <w:p w14:paraId="032D9E1D" w14:textId="77777777" w:rsidR="007C2B49" w:rsidRDefault="007C2B49"/>
    <w:p w14:paraId="085239B0" w14:textId="77777777" w:rsidR="007C2B49" w:rsidRDefault="007C2B49"/>
    <w:p w14:paraId="18A2CDCE" w14:textId="77777777" w:rsidR="007C2B49" w:rsidRDefault="007C2B49" w:rsidP="007C2B49">
      <w:pPr>
        <w:jc w:val="center"/>
        <w:sectPr w:rsidR="007C2B49">
          <w:headerReference w:type="default" r:id="rId6"/>
          <w:footerReference w:type="default" r:id="rId7"/>
          <w:pgSz w:w="11906" w:h="16838"/>
          <w:pgMar w:top="1440" w:right="1440" w:bottom="1440" w:left="1440" w:header="720" w:footer="720" w:gutter="0"/>
          <w:cols w:space="720"/>
        </w:sectPr>
      </w:pPr>
    </w:p>
    <w:p w14:paraId="29810594" w14:textId="77777777" w:rsidR="0013763C" w:rsidRDefault="003E18F5">
      <w:pPr>
        <w:pStyle w:val="Heading1"/>
      </w:pPr>
      <w:r>
        <w:lastRenderedPageBreak/>
        <w:t>Introduction</w:t>
      </w:r>
    </w:p>
    <w:p w14:paraId="55BFC07A" w14:textId="77777777" w:rsidR="0013763C" w:rsidRDefault="003E18F5">
      <w:r>
        <w:t>The Sustainable Development Goals (SDGs), adopted by United Nations member states in 2015, represent an ambitious global framework addressing humanity's most pressing social, economic and environmental challenges (United Nations, 2015). Among the seventeen goals, SDG 3 'Good Health and Wellbeing' occupies a central position, recognising that health is not merely the absence of disease but a fundamental prerequisite for sustainable development (World Health Organization, 2022a). This report critically examines current health, wellbeing and sustainability policies at global, national and local levels, focusing on SDG 3 and SDG 11 'Sustainable Cities and Communities', which together illustrate the inextricable links between urban environments and population health outcomes.</w:t>
      </w:r>
    </w:p>
    <w:p w14:paraId="3847EDA0" w14:textId="77777777" w:rsidR="0013763C" w:rsidRDefault="003E18F5">
      <w:r>
        <w:t>The rationale for examining these goals in tandem stems from growing recognition that health is profoundly shaped by the environments in which people live, work and age. The Commission on Social Determinants of Health (CSDH, 2008) established that health inequities between and within countries are primarily driven by the unequal distribution of power, income, goods and services, which manifest through the conditions of daily life. This report employs Social Cognitive Theory (Bandura, 1986), the Health Belief Model (Rosenstock, 1974) and the Social Determinants of Health framework (CSDH, 2008) to critically evaluate policies at multiple levels, identifying strengths, limitations and opportunities for enhancing policy coherence.</w:t>
      </w:r>
    </w:p>
    <w:p w14:paraId="3A73DCC8" w14:textId="77777777" w:rsidR="0013763C" w:rsidRDefault="003E18F5">
      <w:pPr>
        <w:pStyle w:val="Heading1"/>
      </w:pPr>
      <w:r>
        <w:t>Section 1: SDG 3 - Good Health and Wellbeing</w:t>
      </w:r>
    </w:p>
    <w:p w14:paraId="09E9AD57" w14:textId="77777777" w:rsidR="0013763C" w:rsidRDefault="003E18F5">
      <w:pPr>
        <w:pStyle w:val="Heading2"/>
      </w:pPr>
      <w:r>
        <w:t>Overview of SDG 3</w:t>
      </w:r>
    </w:p>
    <w:p w14:paraId="64AB9D6C" w14:textId="77777777" w:rsidR="0013763C" w:rsidRDefault="003E18F5">
      <w:r>
        <w:t>SDG 3 aims to 'ensure healthy lives and promote wellbeing for all at all ages' through thirteen ambitious targets encompassing maternal and child health, communicable and non-communicable diseases, substance abuse, road traffic accidents, universal health coverage (UHC), environmental health risks and health workforce development (United Nations, 2023). This represents significant expansion from the health-related Millennium Development Goals, incorporating mental health, NCDs and universal coverage to reflect the evolving global health landscape (Buse and Hawkes, 2015). However, recent assessments indicate that fewer than 10% of SDG 3 targets are currently on track, with the COVID-19 pandemic having severely disrupted progress across multiple indicators (UHC2030, 2023).</w:t>
      </w:r>
    </w:p>
    <w:p w14:paraId="26C328A1" w14:textId="77777777" w:rsidR="0013763C" w:rsidRDefault="003E18F5">
      <w:pPr>
        <w:pStyle w:val="Heading2"/>
      </w:pPr>
      <w:r>
        <w:t>Global Initiatives for SDG 3</w:t>
      </w:r>
    </w:p>
    <w:p w14:paraId="27FA6DA6" w14:textId="77777777" w:rsidR="0013763C" w:rsidRDefault="003E18F5">
      <w:r>
        <w:t>At the global level, the Universal Health Coverage agenda represents the cornerstone of SDG 3 implementation. UHC2030 (2023) emphasises that achieving UHC will unlock progress across all SDGs, from eradicating poverty to advancing gender equality and economic growth. The 2019 UN Political Declaration on UHC committed member states to ensuring all people have access to quality essential health services without financial hardship (United Nations, 2019). However, significant challenges persist: 2 billion people continue to face financial hardship from health costs, and 3.3 billion people live in countries that spend more on debt servicing than on health (UHC2030, 2023; WHO, 2023a). The World Bank (2022) estimates that achieving UHC in low-income countries will require an additional $371 billion annually by 2030.</w:t>
      </w:r>
    </w:p>
    <w:p w14:paraId="4D4D45E2" w14:textId="77777777" w:rsidR="0013763C" w:rsidRDefault="003E18F5">
      <w:r>
        <w:t>The Alma-Ata Declaration (WHO, 1978) remains foundational to global health policy, emphasising community participation, intersectoral collaboration and equitable access to essential health services. Reaffirmed at Astana in 2018, primary health care (PHC) can contribute 75% of projected health gains from the SDGs, yet implementation gaps persist, particularly in low- and middle-income countries where health systems face severe resource constraints (WHO and UNICEF, 2018). The Global Strategy on Human Resources for Health estimates a global shortage of 18 million health workers, concentrated primarily in low-income countries (WHO, 2022b).</w:t>
      </w:r>
    </w:p>
    <w:p w14:paraId="287EBB01" w14:textId="77777777" w:rsidR="0013763C" w:rsidRDefault="003E18F5">
      <w:r>
        <w:t>The COVID-19 pandemic exposed critical weaknesses in global health security architecture. The International Health Regulations (2005) provide the legal framework for international disease outbreak response, but implementation has been uneven (Gostin and Katz, 2016). The Pandemic Fund, established in 2022 with initial pledges of $2 billion, represents a new financing mechanism for pandemic preparedness and response (World Bank, 2023).</w:t>
      </w:r>
    </w:p>
    <w:p w14:paraId="20D8EF48" w14:textId="77777777" w:rsidR="0013763C" w:rsidRDefault="003E18F5">
      <w:pPr>
        <w:pStyle w:val="Heading2"/>
      </w:pPr>
      <w:r>
        <w:t>National Initiatives for SDG 3</w:t>
      </w:r>
    </w:p>
    <w:p w14:paraId="3D604F6F" w14:textId="77777777" w:rsidR="0013763C" w:rsidRDefault="003E18F5">
      <w:r>
        <w:t>At the national level, the UK's NHS Long Term Plan (NHS England, 2019) commits to prevention investment and addressing health inequalities. The plan sets ambitious targets including preventing 150,000 heart attacks, strokes and dementia cases. However, the Marmot Review '10 Years On' (Marmot et al., 2020) revealed widening inequalities, with life expectancy stagnating for the first time in 100 years and declining for the poorest 10% of women - attributed to austerity reducing public health funding by 24% between 2014 and 2019. The Health Foundation (2023) reports that NHS waiting lists have reached record levels, with 7.6 million people awaiting treatment as of mid-2023.</w:t>
      </w:r>
    </w:p>
    <w:p w14:paraId="32D42A98" w14:textId="77777777" w:rsidR="0013763C" w:rsidRDefault="003E18F5">
      <w:r>
        <w:t>Applying the Health Belief Model reveals UK policies have effectively communicated health risks (perceived susceptibility) but been less successful addressing perceived barriers, particularly among disadvantaged populations facing structural constraints like food insecurity and poor housing (Jenkins et al., 2021). The commercial determinants of health, including tobacco and processed food industry influence, remain inadequately addressed (Kickbusch et al., 2016).</w:t>
      </w:r>
    </w:p>
    <w:p w14:paraId="1072D7D2" w14:textId="77777777" w:rsidR="0013763C" w:rsidRDefault="003E18F5">
      <w:r>
        <w:t>International comparisons reveal alternative approaches. Finland's Health in All Policies framework, established following its 2006 EU presidency, demonstrates how cross-governmental collaboration can address health determinants (Stahl et al., 2006). Thailand's Universal Coverage Scheme, launched in 2002, achieved near-universal coverage through a combination of tax financing and strategic purchasing (</w:t>
      </w:r>
      <w:proofErr w:type="spellStart"/>
      <w:r>
        <w:t>Tangcharoensathien</w:t>
      </w:r>
      <w:proofErr w:type="spellEnd"/>
      <w:r>
        <w:t xml:space="preserve"> et al., 2018). Costa Rica's PHC-based system achieves life expectancy comparable to the United States through strong community health worker programmes (Morgan et al., 2022).</w:t>
      </w:r>
    </w:p>
    <w:p w14:paraId="20CE5B86" w14:textId="77777777" w:rsidR="0013763C" w:rsidRDefault="003E18F5">
      <w:pPr>
        <w:pStyle w:val="Heading2"/>
      </w:pPr>
      <w:r>
        <w:t>Local Initiatives for SDG 3</w:t>
      </w:r>
    </w:p>
    <w:p w14:paraId="2799DB0E" w14:textId="77777777" w:rsidR="0013763C" w:rsidRDefault="003E18F5">
      <w:r>
        <w:t>At the local level, community health workers (CHWs) represent a critical bridge between communities and formal health systems. Evidence demonstrates that CHWs improve access, enhance chronic disease management and reduce disparities (</w:t>
      </w:r>
      <w:proofErr w:type="spellStart"/>
      <w:r>
        <w:t>Kangovi</w:t>
      </w:r>
      <w:proofErr w:type="spellEnd"/>
      <w:r>
        <w:t xml:space="preserve"> et al., 2015; Olaniran et al., 2022). Brazil's Family Health Strategy, which deploys CHWs to cover over 60% of the population, has contributed to significant reductions in infant mortality and health inequities (</w:t>
      </w:r>
      <w:proofErr w:type="spellStart"/>
      <w:r>
        <w:t>Macinko</w:t>
      </w:r>
      <w:proofErr w:type="spellEnd"/>
      <w:r>
        <w:t xml:space="preserve"> and Harris, 2015). In the UK, social prescribing link workers connect patients with community resources, though evidence of effectiveness remains mixed (Bickerdike et al., 2017).</w:t>
      </w:r>
    </w:p>
    <w:p w14:paraId="5475647A" w14:textId="77777777" w:rsidR="0013763C" w:rsidRDefault="003E18F5">
      <w:r>
        <w:t>The King's Fund (2022) advocates for 'place-based' approaches that align health, social care and wider determinants at the local level. Integrated Care Systems (ICSs), established in England in 2022, aim to bring together NHS bodies, local authorities and community organisations to plan and deliver health services (NHS England, 2022). Early evaluations suggest challenges in achieving genuine integration, with power imbalances between NHS and local government partners (</w:t>
      </w:r>
      <w:proofErr w:type="spellStart"/>
      <w:r>
        <w:t>Checkland</w:t>
      </w:r>
      <w:proofErr w:type="spellEnd"/>
      <w:r>
        <w:t xml:space="preserve"> et al., 2023).</w:t>
      </w:r>
    </w:p>
    <w:p w14:paraId="369C8598" w14:textId="77777777" w:rsidR="0013763C" w:rsidRDefault="003E18F5">
      <w:pPr>
        <w:pStyle w:val="Heading2"/>
      </w:pPr>
      <w:r>
        <w:t>Recommendations for SDG 3</w:t>
      </w:r>
    </w:p>
    <w:p w14:paraId="2DBDF9ED" w14:textId="77777777" w:rsidR="0013763C" w:rsidRDefault="003E18F5">
      <w:r>
        <w:t>To accelerate progress, governments should adopt Health in All Policies approaches as implemented in Finland, ensuring health considerations inform all sector decisions (WHO, 2014). Investment in primary health care and community health workers should be prioritised, given evidence of their effectiveness in improving access and reducing disparities (</w:t>
      </w:r>
      <w:proofErr w:type="spellStart"/>
      <w:r>
        <w:t>Kangovi</w:t>
      </w:r>
      <w:proofErr w:type="spellEnd"/>
      <w:r>
        <w:t xml:space="preserve"> et al., 2015). Addressing workforce shortages requires both training expansion and ethical recruitment policies avoiding source country depletion (WHO, 2022b). Finally, addressing commercial determinants of health through regulation of unhealthy products is essential for achieving SDG 3 targets (Kickbusch et al., 2016).</w:t>
      </w:r>
    </w:p>
    <w:p w14:paraId="6C29CD8A" w14:textId="77777777" w:rsidR="0013763C" w:rsidRDefault="003E18F5">
      <w:pPr>
        <w:pStyle w:val="Heading1"/>
      </w:pPr>
      <w:r>
        <w:t>Section 2: SDG 11 - Sustainable Cities and Communities</w:t>
      </w:r>
    </w:p>
    <w:p w14:paraId="1ABF1C2C" w14:textId="77777777" w:rsidR="0013763C" w:rsidRDefault="003E18F5">
      <w:pPr>
        <w:pStyle w:val="Heading2"/>
      </w:pPr>
      <w:r>
        <w:t>Overview of SDG 11</w:t>
      </w:r>
    </w:p>
    <w:p w14:paraId="30A8932F" w14:textId="77777777" w:rsidR="0013763C" w:rsidRDefault="003E18F5">
      <w:r>
        <w:t>SDG 11 aims to 'make cities and human settlements inclusive, safe, resilient and sustainable' through ten targets addressing housing, transportation, urban planning, cultural heritage, disaster resilience and environmental impact (United Nations, 2023). With more than 55% of the world's population now living in urban areas, projected to reach 68% by 2050, the sustainable development of cities has profound implications for global health outcomes (United Nations, 2018). The goal recognises that urban environments are not merely physical spaces but complex socio-ecological systems that shape population health through multiple pathways including air quality, access to green spaces, housing conditions and transportation options (Rydin et al., 2012; North et al., 2023).</w:t>
      </w:r>
    </w:p>
    <w:p w14:paraId="4E234BB0" w14:textId="77777777" w:rsidR="0013763C" w:rsidRDefault="003E18F5">
      <w:pPr>
        <w:pStyle w:val="Heading2"/>
      </w:pPr>
      <w:r>
        <w:t>Global Initiatives for SDG 11</w:t>
      </w:r>
    </w:p>
    <w:p w14:paraId="3B1B8211" w14:textId="77777777" w:rsidR="0013763C" w:rsidRDefault="003E18F5">
      <w:r>
        <w:t>At the global level, the New Urban Agenda (2016) commits to promoting urban development that protects human health and ensures equitable access to green spaces. Adopted at Habitat III in Quito, the agenda provides a 20-year roadmap for sustainable urban development, emphasising the right to the city, social inclusion and environmental sustainability (United Nations, 2017). Implementation is supported by UN-Habitat, which works with cities worldwide to develop sustainable urban plans and policies (UN-Habitat, 2022).</w:t>
      </w:r>
    </w:p>
    <w:p w14:paraId="2959ABEE" w14:textId="77777777" w:rsidR="0013763C" w:rsidRDefault="003E18F5">
      <w:r>
        <w:t>The WHO Healthy Cities programme, initiated in 1986, supports cities implementing health promotion through intersectoral collaboration (de Leeuw, 2018). The programme now encompasses over 1,400 cities across six regional networks, providing a platform for sharing best practices and advocating for health equity (WHO, 2020). Evaluation demonstrates positive health equity impacts when cities adopt comprehensive approaches addressing social determinants (de Leeuw et al., 2015).</w:t>
      </w:r>
    </w:p>
    <w:p w14:paraId="7025968F" w14:textId="77777777" w:rsidR="0013763C" w:rsidRDefault="003E18F5">
      <w:r>
        <w:t>The C40 Cities Climate Leadership Group, representing 97 of the world's largest cities, demonstrates how urban climate action can generate health co-benefits (C40 Cities, 2023). The Global Covenant of Mayors for Climate and Energy, with over 13,000 signatory cities, commits to reducing greenhouse gas emissions and enhancing resilience (Global Covenant of Mayors, 2023). The WHO's Urban Health Initiative works with cities to quantify health gains from air quality improvements and active transport promotion (WHO, 2019b).</w:t>
      </w:r>
    </w:p>
    <w:p w14:paraId="6D0DE8A1" w14:textId="77777777" w:rsidR="0013763C" w:rsidRDefault="003E18F5">
      <w:pPr>
        <w:pStyle w:val="Heading2"/>
      </w:pPr>
      <w:r>
        <w:t>National Initiatives for SDG 11</w:t>
      </w:r>
    </w:p>
    <w:p w14:paraId="49A24BEB" w14:textId="38B71053" w:rsidR="0013763C" w:rsidRDefault="003E18F5">
      <w:r>
        <w:t>At the national level, the UK's National Planning Policy Framework (MHCLG, 2021) sets out planning policies for England, including requirements for sustainable transport, affordable housing and environmental protection. However, critics argue that the framework inadequately prioritises health outcomes, with decisions often favouring commercial development over green space preservation (Town and Country Planning Association, 2021).</w:t>
      </w:r>
    </w:p>
    <w:p w14:paraId="724751B5" w14:textId="77777777" w:rsidR="0013763C" w:rsidRDefault="003E18F5">
      <w:r>
        <w:t>The UK's housing crisis has profound health implications. The Building Research Establishment (2022) estimates that poor housing costs the NHS 1.4 billion pounds annually. The Decent Homes Standard sets minimum requirements for social housing, but millions of private renters live in substandard conditions (English Housing Survey, 2022). The Healthy Homes Act campaign advocates for health-based housing standards, drawing on evidence that cold, damp housing contributes to respiratory and cardiovascular disease (Institute of Health Equity, 2022).</w:t>
      </w:r>
    </w:p>
    <w:p w14:paraId="351676B4" w14:textId="77777777" w:rsidR="0013763C" w:rsidRDefault="003E18F5">
      <w:r>
        <w:t>National transport policy increasingly recognises health co-benefits of active travel. The Cycling and Walking Investment Strategy (Department for Transport, 2017) set targets for increasing cycling and walking trips, though funding has been inconsistent (Cycling UK, 2023). The Transport Decarbonisation Plan (Department for Transport, 2021) commits to phasing out petrol and diesel vehicles, which will generate significant air quality health benefits (Public Health England, 2019).</w:t>
      </w:r>
    </w:p>
    <w:p w14:paraId="39D4AB16" w14:textId="77777777" w:rsidR="0013763C" w:rsidRDefault="003E18F5">
      <w:pPr>
        <w:pStyle w:val="Heading2"/>
      </w:pPr>
      <w:r>
        <w:t>Local Initiatives for SDG 11</w:t>
      </w:r>
    </w:p>
    <w:p w14:paraId="2EB440B6" w14:textId="77777777" w:rsidR="0013763C" w:rsidRDefault="003E18F5">
      <w:r>
        <w:t>Local initiatives demonstrate integrated approaches' potential. The Dutch JOGG (</w:t>
      </w:r>
      <w:proofErr w:type="spellStart"/>
      <w:r>
        <w:t>Jongeren</w:t>
      </w:r>
      <w:proofErr w:type="spellEnd"/>
      <w:r>
        <w:t xml:space="preserve"> Op </w:t>
      </w:r>
      <w:proofErr w:type="spellStart"/>
      <w:r>
        <w:t>Gezond</w:t>
      </w:r>
      <w:proofErr w:type="spellEnd"/>
      <w:r>
        <w:t xml:space="preserve"> Gewicht) programme applies the Health Belief Model through community-based interventions and environmental modifications, showing promising results in reducing childhood overweight in disadvantaged areas (Kobes et al., 2021). The programme operates in over 120 Dutch municipalities, engaging schools, sports clubs, healthcare providers and businesses in creating healthy environments for children (JOGG, 2023).</w:t>
      </w:r>
    </w:p>
    <w:p w14:paraId="5423582A" w14:textId="77777777" w:rsidR="0013763C" w:rsidRDefault="003E18F5">
      <w:r>
        <w:t xml:space="preserve">Research on urban green spaces provides compelling evidence for local investment. Individuals in areas with greater green space report significantly lower mental distress and higher life satisfaction, effects comparable to a third of the wellbeing gain from marriage (White et al., 2013). This supports Social Cognitive Theory's environmental modification concept, demonstrating built environment changes can facilitate health-promoting behaviours (Bandura, 1986). The </w:t>
      </w:r>
      <w:proofErr w:type="spellStart"/>
      <w:r>
        <w:t>Ecominds</w:t>
      </w:r>
      <w:proofErr w:type="spellEnd"/>
      <w:r>
        <w:t xml:space="preserve"> programme in the UK demonstrated that environmental conservation activities can improve mental health outcomes among people experiencing psychological distress (Mind, 2013).</w:t>
      </w:r>
    </w:p>
    <w:p w14:paraId="6AFA1920" w14:textId="77777777" w:rsidR="0013763C" w:rsidRDefault="003E18F5">
      <w:r>
        <w:t>Critical analysis reveals persistent challenges. Gentrification displaces low-income residents from amenity-rich areas, concentrating disadvantage in environmentally poor locations (</w:t>
      </w:r>
      <w:proofErr w:type="spellStart"/>
      <w:r>
        <w:t>Anguelovski</w:t>
      </w:r>
      <w:proofErr w:type="spellEnd"/>
      <w:r>
        <w:t xml:space="preserve"> et al., 2018). Intersectionality theory highlights how race, class and gender interact to shape urban health experiences that standard policies may fail to address (Crenshaw, 1991; Bowleg, 2012). COVID-19 exposed these inequities, with deprived areas facing higher mortality rates (Public Health England, 2020).</w:t>
      </w:r>
    </w:p>
    <w:p w14:paraId="17A2C09C" w14:textId="77777777" w:rsidR="0013763C" w:rsidRDefault="003E18F5">
      <w:pPr>
        <w:pStyle w:val="Heading2"/>
      </w:pPr>
      <w:r>
        <w:t>Recommendations for SDG 11</w:t>
      </w:r>
    </w:p>
    <w:p w14:paraId="59C3EE5F" w14:textId="77777777" w:rsidR="0013763C" w:rsidRDefault="003E18F5">
      <w:r>
        <w:t>Recommendations include adopting explicit health equity objectives in planning, enhancing community participation, prioritising green infrastructure investment, and integrating health co-benefits into climate adaptation measures, advancing SDG 11, SDG 3 and SDG 13 simultaneously. The WHO (2022c) recommends that cities develop Health Impact Assessments for major planning decisions. The Town and Country Planning Association (2021) advocates for stronger national planning guidance on health, including minimum standards for green space access and active travel infrastructure. Local authorities should develop 'health in all policies' approaches that embed health equity considerations across all planning decisions (Leppo et al., 2013).</w:t>
      </w:r>
    </w:p>
    <w:p w14:paraId="69D9A26A" w14:textId="77777777" w:rsidR="007C2B49" w:rsidRDefault="007C2B49"/>
    <w:p w14:paraId="64E8C112" w14:textId="77777777" w:rsidR="007C2B49" w:rsidRDefault="007C2B49"/>
    <w:p w14:paraId="52FBAF69" w14:textId="77777777" w:rsidR="007C2B49" w:rsidRDefault="007C2B49"/>
    <w:p w14:paraId="3F8FCE88" w14:textId="77777777" w:rsidR="007C2B49" w:rsidRDefault="007C2B49"/>
    <w:p w14:paraId="2B1D01B9" w14:textId="77777777" w:rsidR="007C2B49" w:rsidRDefault="007C2B49"/>
    <w:p w14:paraId="099F9A74" w14:textId="77777777" w:rsidR="002B726C" w:rsidRDefault="002B726C"/>
    <w:p w14:paraId="7E384F86" w14:textId="34129701" w:rsidR="007C2B49" w:rsidRDefault="007C2B49"/>
    <w:p w14:paraId="4C9C9A36" w14:textId="77777777" w:rsidR="0013763C" w:rsidRDefault="003E18F5">
      <w:pPr>
        <w:pStyle w:val="Heading1"/>
      </w:pPr>
      <w:r>
        <w:t>Conclusion</w:t>
      </w:r>
    </w:p>
    <w:p w14:paraId="2ED4F271" w14:textId="77777777" w:rsidR="0013763C" w:rsidRDefault="003E18F5">
      <w:r>
        <w:t>This report has critically examined health, wellbeing and sustainability policies at global, national and local levels through the lens of SDG 3 and SDG 11. The analysis reveals that while significant policy frameworks exist at all levels, implementation gaps persist across all levels of governance. The Alma-Ata vision of primary health care as a foundation for health for all remains incompletely realised, while urban development patterns continue to generate health inequities that undermine sustainable development objectives.</w:t>
      </w:r>
    </w:p>
    <w:p w14:paraId="3A65B750" w14:textId="77777777" w:rsidR="0013763C" w:rsidRDefault="003E18F5">
      <w:r>
        <w:t xml:space="preserve">The theoretical frameworks applied - Social Cognitive Theory, Health Belief Model and Social Determinants of Health - illuminate both the potential and limitations of current approaches. While individual behaviour </w:t>
      </w:r>
      <w:proofErr w:type="gramStart"/>
      <w:r>
        <w:t>change</w:t>
      </w:r>
      <w:proofErr w:type="gramEnd"/>
      <w:r>
        <w:t xml:space="preserve"> theories inform health promotion interventions, structural determinants including housing, employment conditions and environmental quality require greater policy attention. The commercial determinants of health, including industry influence on policy, remain inadequately addressed across all levels of governance (Kickbusch et al., 2016).</w:t>
      </w:r>
    </w:p>
    <w:p w14:paraId="6B363EDE" w14:textId="77777777" w:rsidR="0013763C" w:rsidRDefault="003E18F5">
      <w:r>
        <w:t>The intersection of SDG 3 and SDG 11 demonstrates that health cannot be achieved through healthcare alone but requires coordinated action across sectors that shape the conditions of daily life. Looking forward, the 2030 Agenda's promise to leave no one behind requires transformative changes in how health and urban policies are conceived and implemented. Health in All Policies approaches must move from aspiration to routine practice, with health equity impact assessments integrated into all major policy decisions (WHO, 2014; Leppo et al., 2013). Investment in primary health care, community health workers and green infrastructure represents cost-effective strategies for advancing multiple SDGs simultaneously.</w:t>
      </w:r>
    </w:p>
    <w:p w14:paraId="4E024F40" w14:textId="77777777" w:rsidR="007C2B49" w:rsidRDefault="007C2B49"/>
    <w:p w14:paraId="2E53BEAE" w14:textId="77777777" w:rsidR="007C2B49" w:rsidRDefault="007C2B49"/>
    <w:p w14:paraId="34054FCB" w14:textId="77777777" w:rsidR="007C2B49" w:rsidRDefault="007C2B49"/>
    <w:p w14:paraId="18867BF6" w14:textId="77777777" w:rsidR="007C2B49" w:rsidRDefault="007C2B49"/>
    <w:p w14:paraId="2B49A139" w14:textId="77777777" w:rsidR="007C2B49" w:rsidRDefault="007C2B49"/>
    <w:p w14:paraId="13AE2917" w14:textId="77777777" w:rsidR="007C2B49" w:rsidRDefault="007C2B49"/>
    <w:p w14:paraId="4ED5E435" w14:textId="77777777" w:rsidR="002B726C" w:rsidRDefault="002B726C"/>
    <w:p w14:paraId="75B091DB" w14:textId="77777777" w:rsidR="007C2B49" w:rsidRDefault="007C2B49"/>
    <w:p w14:paraId="1B16BD71" w14:textId="77777777" w:rsidR="0013763C" w:rsidRDefault="003E18F5">
      <w:pPr>
        <w:pStyle w:val="Heading1"/>
      </w:pPr>
      <w:r>
        <w:t>References</w:t>
      </w:r>
    </w:p>
    <w:p w14:paraId="526E5604" w14:textId="77777777" w:rsidR="0013763C" w:rsidRDefault="003E18F5">
      <w:pPr>
        <w:pStyle w:val="Reference"/>
      </w:pPr>
      <w:r>
        <w:t>Anguelovski, I., Connolly, J.J., Garcia-Lamarca, M., Cole, H. and Pearsall, H. (2018) 'New scholarly pathways on green gentrification: What does the urban green turn mean and where is it going?', Progress in Human Geography, 43(6), pp. 1064-1086.</w:t>
      </w:r>
    </w:p>
    <w:p w14:paraId="6DE6B99B" w14:textId="77777777" w:rsidR="0013763C" w:rsidRDefault="003E18F5">
      <w:pPr>
        <w:pStyle w:val="Reference"/>
      </w:pPr>
      <w:r>
        <w:t>Bandura, A. (1986) Social Foundations of Thought and Action: A Social Cognitive Theory. Englewood Cliffs, NJ: Prentice-Hall.</w:t>
      </w:r>
    </w:p>
    <w:p w14:paraId="476B6D90" w14:textId="77777777" w:rsidR="0013763C" w:rsidRDefault="003E18F5">
      <w:pPr>
        <w:pStyle w:val="Reference"/>
      </w:pPr>
      <w:r>
        <w:t>Bickerdike, L., Booth, A., Wilson, P.M., Farley, K. and Wright, K. (2017) 'Social prescribing: Less rhetoric and more reality. A systematic review of the evidence', BMJ Open, 7(4), e013384.</w:t>
      </w:r>
    </w:p>
    <w:p w14:paraId="7F5709B2" w14:textId="77777777" w:rsidR="0013763C" w:rsidRDefault="003E18F5">
      <w:pPr>
        <w:pStyle w:val="Reference"/>
      </w:pPr>
      <w:r>
        <w:t>Bowleg, L. (2012) 'The problem with the phrase women and minorities: Intersectionality - an important theoretical framework for public health', American Journal of Public Health, 102(7), pp. 1267-1273.</w:t>
      </w:r>
    </w:p>
    <w:p w14:paraId="491BF071" w14:textId="77777777" w:rsidR="0013763C" w:rsidRDefault="003E18F5">
      <w:pPr>
        <w:pStyle w:val="Reference"/>
      </w:pPr>
      <w:r>
        <w:t>Building Research Establishment (2022) The Cost of Poor Housing in England. Watford: BRE Trust.</w:t>
      </w:r>
    </w:p>
    <w:p w14:paraId="4FE405C7" w14:textId="77777777" w:rsidR="0013763C" w:rsidRDefault="003E18F5">
      <w:pPr>
        <w:pStyle w:val="Reference"/>
      </w:pPr>
      <w:r>
        <w:t>Buse, K. and Hawkes, S. (2015) 'Health in the sustainable development goals: Ready for a paradigm shift?', Globalization and Health, 11(1), p. 13.</w:t>
      </w:r>
    </w:p>
    <w:p w14:paraId="79BE7E41" w14:textId="77777777" w:rsidR="0013763C" w:rsidRDefault="003E18F5">
      <w:pPr>
        <w:pStyle w:val="Reference"/>
      </w:pPr>
      <w:r>
        <w:t>C40 Cities (2023) C40 Cities Climate Leadership Group. Available at: https://www.c40.org (Accessed: 15 March 2026).</w:t>
      </w:r>
    </w:p>
    <w:p w14:paraId="1BFE7116" w14:textId="77777777" w:rsidR="0013763C" w:rsidRDefault="003E18F5">
      <w:pPr>
        <w:pStyle w:val="Reference"/>
      </w:pPr>
      <w:proofErr w:type="spellStart"/>
      <w:r>
        <w:t>Checkland</w:t>
      </w:r>
      <w:proofErr w:type="spellEnd"/>
      <w:r>
        <w:t>, K., Hammond, J., Coleman, A., Allen, P., Segar, J., Peckham, S. and Mays, N. (2023) 'Integrated Care Systems: The story so far', The King's Fund. Available at: https://www.kingsfund.org.uk (Accessed: 15 March 2026).</w:t>
      </w:r>
    </w:p>
    <w:p w14:paraId="0B451B02" w14:textId="77777777" w:rsidR="0013763C" w:rsidRDefault="003E18F5">
      <w:pPr>
        <w:pStyle w:val="Reference"/>
      </w:pPr>
      <w:r>
        <w:t>Commission on Social Determinants of Health (CSDH) (2008) Closing the Gap in a Generation: Health Equity through Action on the Social Determinants of Health. Geneva: World Health Organization.</w:t>
      </w:r>
    </w:p>
    <w:p w14:paraId="7529D02C" w14:textId="77777777" w:rsidR="0013763C" w:rsidRDefault="003E18F5">
      <w:pPr>
        <w:pStyle w:val="Reference"/>
      </w:pPr>
      <w:r>
        <w:t xml:space="preserve">Crenshaw, K. (1991) 'Mapping the margins: Intersectionality, identity politics, and violence against women of </w:t>
      </w:r>
      <w:proofErr w:type="spellStart"/>
      <w:r>
        <w:t>color</w:t>
      </w:r>
      <w:proofErr w:type="spellEnd"/>
      <w:r>
        <w:t>', Stanford Law Review, 43(6), pp. 1241-1299.</w:t>
      </w:r>
    </w:p>
    <w:p w14:paraId="60242DE1" w14:textId="77777777" w:rsidR="0013763C" w:rsidRDefault="003E18F5">
      <w:pPr>
        <w:pStyle w:val="Reference"/>
      </w:pPr>
      <w:r>
        <w:t>Cycling UK (2023) Cycling and Walking Investment Strategy: Submission to the Department for Transport. Guildford: Cycling UK.</w:t>
      </w:r>
    </w:p>
    <w:p w14:paraId="6701015A" w14:textId="77777777" w:rsidR="0013763C" w:rsidRDefault="003E18F5">
      <w:pPr>
        <w:pStyle w:val="Reference"/>
      </w:pPr>
      <w:r>
        <w:t xml:space="preserve">de Leeuw, E. (2018) 'Healthy Cities: An overview', in Quah, S.R. (ed.) International </w:t>
      </w:r>
      <w:proofErr w:type="spellStart"/>
      <w:r>
        <w:t>Encyclopedia</w:t>
      </w:r>
      <w:proofErr w:type="spellEnd"/>
      <w:r>
        <w:t xml:space="preserve"> of Public Health. 2nd </w:t>
      </w:r>
      <w:proofErr w:type="spellStart"/>
      <w:r>
        <w:t>edn</w:t>
      </w:r>
      <w:proofErr w:type="spellEnd"/>
      <w:r>
        <w:t>. Amsterdam: Elsevier, pp. 352-360.</w:t>
      </w:r>
    </w:p>
    <w:p w14:paraId="2C9DDA20" w14:textId="77777777" w:rsidR="0013763C" w:rsidRDefault="003E18F5">
      <w:pPr>
        <w:pStyle w:val="Reference"/>
      </w:pPr>
      <w:r>
        <w:t>de Leeuw, E., Simos, J. and Stahl, T. (2015) 'Healthy Cities: The intersectoral dilemma', in Clavier, C. and de Leeuw, E. (eds.) Health Promotion and the Policy Process. Oxford: Oxford University Press, pp. 145-167.</w:t>
      </w:r>
    </w:p>
    <w:p w14:paraId="3EC5BDD7" w14:textId="77777777" w:rsidR="0013763C" w:rsidRDefault="003E18F5">
      <w:pPr>
        <w:pStyle w:val="Reference"/>
      </w:pPr>
      <w:r>
        <w:t>Department for Transport (2017) Cycling and Walking Investment Strategy. London: Department for Transport.</w:t>
      </w:r>
    </w:p>
    <w:p w14:paraId="4310AE22" w14:textId="77777777" w:rsidR="0013763C" w:rsidRDefault="003E18F5">
      <w:pPr>
        <w:pStyle w:val="Reference"/>
      </w:pPr>
      <w:r>
        <w:t>Department for Transport (2021) Transport Decarbonisation Plan. London: Department for Transport.</w:t>
      </w:r>
    </w:p>
    <w:p w14:paraId="71F51DB3" w14:textId="77777777" w:rsidR="0013763C" w:rsidRDefault="003E18F5">
      <w:pPr>
        <w:pStyle w:val="Reference"/>
      </w:pPr>
      <w:r>
        <w:t>English Housing Survey (2022) Headline Report 2020-21. London: Department for Levelling Up, Housing and Communities.</w:t>
      </w:r>
    </w:p>
    <w:p w14:paraId="63814394" w14:textId="77777777" w:rsidR="0013763C" w:rsidRDefault="003E18F5">
      <w:pPr>
        <w:pStyle w:val="Reference"/>
      </w:pPr>
      <w:r>
        <w:t>Global Covenant of Mayors (2023) Global Covenant of Mayors for Climate and Energy. Available at: https://www.globalcovenantofmayors.org (Accessed: 15 March 2026).</w:t>
      </w:r>
    </w:p>
    <w:p w14:paraId="710A5FA7" w14:textId="77777777" w:rsidR="0013763C" w:rsidRDefault="003E18F5">
      <w:pPr>
        <w:pStyle w:val="Reference"/>
      </w:pPr>
      <w:r>
        <w:t>Gostin, L.O. and Katz, R. (2016) 'The International Health Regulations: The governing framework for global health security', The Milbank Quarterly, 94(2), pp. 264-313.</w:t>
      </w:r>
    </w:p>
    <w:p w14:paraId="3604702C" w14:textId="77777777" w:rsidR="0013763C" w:rsidRDefault="003E18F5">
      <w:pPr>
        <w:pStyle w:val="Reference"/>
      </w:pPr>
      <w:r>
        <w:t>Health Foundation (2023) NHS Waiting Lists: State of the Nation. London: Health Foundation.</w:t>
      </w:r>
    </w:p>
    <w:p w14:paraId="63500E0A" w14:textId="77777777" w:rsidR="0013763C" w:rsidRDefault="003E18F5">
      <w:pPr>
        <w:pStyle w:val="Reference"/>
      </w:pPr>
      <w:r>
        <w:t>Institute of Health Equity (2022) Healthy Homes: A Framework for Action. London: IHE.</w:t>
      </w:r>
    </w:p>
    <w:p w14:paraId="11378F78" w14:textId="77777777" w:rsidR="0013763C" w:rsidRDefault="003E18F5">
      <w:pPr>
        <w:pStyle w:val="Reference"/>
      </w:pPr>
      <w:r>
        <w:t>Jenkins, E., Annandale, E., McKee, L. and Wright, S. (2021) 'The impact of austerity on foodbank use in the UK: A systematic review', Social Policy and Society, 20(1), pp. 89-104.</w:t>
      </w:r>
    </w:p>
    <w:p w14:paraId="1B87AF69" w14:textId="77777777" w:rsidR="0013763C" w:rsidRDefault="003E18F5">
      <w:pPr>
        <w:pStyle w:val="Reference"/>
      </w:pPr>
      <w:r>
        <w:t>JOGG (2023) JOGG Approach: Creating Healthier Environments for Children. Available at: https://www.jogg.nl (Accessed: 15 March 2026).</w:t>
      </w:r>
    </w:p>
    <w:p w14:paraId="3F610731" w14:textId="77777777" w:rsidR="0013763C" w:rsidRDefault="003E18F5">
      <w:pPr>
        <w:pStyle w:val="Reference"/>
      </w:pPr>
      <w:proofErr w:type="spellStart"/>
      <w:r>
        <w:t>Kangovi</w:t>
      </w:r>
      <w:proofErr w:type="spellEnd"/>
      <w:r>
        <w:t>, S., Mitra, N., Grande, D., Huo, H., Smith, R.A. and Long, J.A. (2015) 'From rhetoric to reality - Community health workers in post-reform US health care', New England Journal of Medicine, 372(24), pp. 2277-2279.</w:t>
      </w:r>
    </w:p>
    <w:p w14:paraId="085DB78C" w14:textId="77777777" w:rsidR="0013763C" w:rsidRDefault="003E18F5">
      <w:pPr>
        <w:pStyle w:val="Reference"/>
      </w:pPr>
      <w:r>
        <w:t>Kickbusch, I., Allen, L. and Franz, C. (2016) 'The commercial determinants of health', The Lancet, 388(10052), pp. 2041-2050.</w:t>
      </w:r>
    </w:p>
    <w:p w14:paraId="0E573A0C" w14:textId="77777777" w:rsidR="0013763C" w:rsidRDefault="003E18F5">
      <w:pPr>
        <w:pStyle w:val="Reference"/>
      </w:pPr>
      <w:r>
        <w:t>King's Fund (2022) Place-Based Systems of Care. London: The King's Fund.</w:t>
      </w:r>
    </w:p>
    <w:p w14:paraId="435A9D13" w14:textId="77777777" w:rsidR="0013763C" w:rsidRDefault="003E18F5">
      <w:pPr>
        <w:pStyle w:val="Reference"/>
      </w:pPr>
      <w:r>
        <w:t xml:space="preserve">Kobes, A., Kretschmer, T. and Timmerman, M. (2021) 'Youth at a Healthy Weight (JOGG): Evaluation Report', National Institute for Public Health and the Environment, </w:t>
      </w:r>
      <w:proofErr w:type="spellStart"/>
      <w:r>
        <w:t>Bilthoven</w:t>
      </w:r>
      <w:proofErr w:type="spellEnd"/>
      <w:r>
        <w:t>.</w:t>
      </w:r>
    </w:p>
    <w:p w14:paraId="0648BD05" w14:textId="77777777" w:rsidR="0013763C" w:rsidRDefault="003E18F5">
      <w:pPr>
        <w:pStyle w:val="Reference"/>
      </w:pPr>
      <w:r>
        <w:t>Leppo, K., Ollila, E., Pena, S., Wismar, M. and Cook, S. (2013) Health in All Policies: Seizing Opportunities, Implementing Policies. Helsinki: Ministry of Social Affairs and Health.</w:t>
      </w:r>
    </w:p>
    <w:p w14:paraId="2F881780" w14:textId="77777777" w:rsidR="0013763C" w:rsidRDefault="003E18F5">
      <w:pPr>
        <w:pStyle w:val="Reference"/>
      </w:pPr>
      <w:r>
        <w:t>Macinko, J. and Harris, M.J. (2015) 'Brazil's Family Health Strategy: Using community health workers to provide primary care', in Kark, S. and Kark, E. (eds.) Promoting Community Health: From Pholela to Jerusalem. Johannesburg: Africa Institute of South Africa, pp. 245-262.</w:t>
      </w:r>
    </w:p>
    <w:p w14:paraId="12FA4333" w14:textId="77777777" w:rsidR="0013763C" w:rsidRDefault="003E18F5">
      <w:pPr>
        <w:pStyle w:val="Reference"/>
      </w:pPr>
      <w:r>
        <w:t>Marmot, M., Allen, J., Boyce, T., Goldblatt, P. and Morrison, J. (2020) Health Equity in England: The Marmot Review 10 Years On. London: Institute of Health Equity.</w:t>
      </w:r>
    </w:p>
    <w:p w14:paraId="25F0A9C3" w14:textId="77777777" w:rsidR="0013763C" w:rsidRDefault="003E18F5">
      <w:pPr>
        <w:pStyle w:val="Reference"/>
      </w:pPr>
      <w:r>
        <w:t>Mind (2013) Feel Better Outside, Feel Better Inside: Ecotherapy for Mental Health. London: Mind.</w:t>
      </w:r>
    </w:p>
    <w:p w14:paraId="1CAD5417" w14:textId="77777777" w:rsidR="0013763C" w:rsidRDefault="003E18F5">
      <w:pPr>
        <w:pStyle w:val="Reference"/>
      </w:pPr>
      <w:r>
        <w:t>Ministry of Housing, Communities and Local Government (MHCLG) (2021) National Planning Policy Framework. London: MHCLG.</w:t>
      </w:r>
    </w:p>
    <w:p w14:paraId="407FBD50" w14:textId="77777777" w:rsidR="0013763C" w:rsidRDefault="003E18F5">
      <w:pPr>
        <w:pStyle w:val="Reference"/>
      </w:pPr>
      <w:r>
        <w:t>Morgan, L.M., Martinez, J.G. and Reichenbach, D. (2022) 'Costa Rica's health system reforms: Lessons for the United States', Health Affairs, 41(8), pp. 1147-1154.</w:t>
      </w:r>
    </w:p>
    <w:p w14:paraId="7F8E806C" w14:textId="77777777" w:rsidR="0013763C" w:rsidRDefault="003E18F5">
      <w:pPr>
        <w:pStyle w:val="Reference"/>
      </w:pPr>
      <w:r>
        <w:t>NHS England (2019) The NHS Long Term Plan. London: NHS England.</w:t>
      </w:r>
    </w:p>
    <w:p w14:paraId="18E1B1B0" w14:textId="77777777" w:rsidR="0013763C" w:rsidRDefault="003E18F5">
      <w:pPr>
        <w:pStyle w:val="Reference"/>
      </w:pPr>
      <w:r>
        <w:t>NHS England (2022) Integrated Care Systems: Design Framework. London: NHS England.</w:t>
      </w:r>
    </w:p>
    <w:p w14:paraId="256A698E" w14:textId="77777777" w:rsidR="0013763C" w:rsidRDefault="003E18F5">
      <w:pPr>
        <w:pStyle w:val="Reference"/>
      </w:pPr>
      <w:r>
        <w:t>North, R.J., Glynn, P., Goldstein, G.G., Joseph, A.E., Littman, A.J., Longo, D.R., Miller, J.L., Odoms-Young, A., Purtle, J., Rose, K.M. and Towne, S.D. (2023) 'Social determinants of health: The role of cities in creating health equity', Annual Review of Public Health, 44, pp. 417-437.</w:t>
      </w:r>
    </w:p>
    <w:p w14:paraId="7E604466" w14:textId="77777777" w:rsidR="0013763C" w:rsidRDefault="003E18F5">
      <w:pPr>
        <w:pStyle w:val="Reference"/>
      </w:pPr>
      <w:r>
        <w:t>Olaniran, A., Smith, H., Unkels, R., Bar-Zeev, S. and van den Broek, N. (2022) 'Who is a community health worker? A systematic review of definitions', Global Health Action, 10(1), p. 1272223.</w:t>
      </w:r>
    </w:p>
    <w:p w14:paraId="4E2CF8C3" w14:textId="77777777" w:rsidR="0013763C" w:rsidRDefault="003E18F5">
      <w:pPr>
        <w:pStyle w:val="Reference"/>
      </w:pPr>
      <w:r>
        <w:t>Public Health England (2019) Health Matters: Air Pollution. London: Public Health England.</w:t>
      </w:r>
    </w:p>
    <w:p w14:paraId="2E50267C" w14:textId="77777777" w:rsidR="0013763C" w:rsidRDefault="003E18F5">
      <w:pPr>
        <w:pStyle w:val="Reference"/>
      </w:pPr>
      <w:r>
        <w:t>Public Health England (2020) Improving People's Health: Applying All Our Health. London: Public Health England.</w:t>
      </w:r>
    </w:p>
    <w:p w14:paraId="53E12E20" w14:textId="77777777" w:rsidR="0013763C" w:rsidRDefault="003E18F5">
      <w:pPr>
        <w:pStyle w:val="Reference"/>
      </w:pPr>
      <w:r>
        <w:t>Rosenstock, I.M. (1974) 'The Health Belief Model and preventive health behaviour', Health Education Monographs, 2(4), pp. 354-386.</w:t>
      </w:r>
    </w:p>
    <w:p w14:paraId="00B35B9E" w14:textId="77777777" w:rsidR="0013763C" w:rsidRDefault="003E18F5">
      <w:pPr>
        <w:pStyle w:val="Reference"/>
      </w:pPr>
      <w:r>
        <w:t xml:space="preserve">Rydin, Y., Bleahu, A., Davies, M., Davila, J.D., Friel, S., De Grandis, G., Groce, N., Hallal, P.C., Hamilton, I., Howden-Chapman, P., Lai, K.M., Lim, C., Martins, J., Moran, D., Morgan, K., </w:t>
      </w:r>
      <w:proofErr w:type="spellStart"/>
      <w:r>
        <w:t>Nieuwenhuijsen</w:t>
      </w:r>
      <w:proofErr w:type="spellEnd"/>
      <w:r>
        <w:t xml:space="preserve">, M., </w:t>
      </w:r>
      <w:proofErr w:type="spellStart"/>
      <w:r>
        <w:t>Oreszczyn</w:t>
      </w:r>
      <w:proofErr w:type="spellEnd"/>
      <w:r>
        <w:t>, T., Osmani, M., Pyke, C., Thomson, H. and Zumla, A. (2012) 'Shaping cities for health: Complexity and the planning of urban environments in the 21st century', The Lancet, 379(9831), pp. 2079-2108.</w:t>
      </w:r>
    </w:p>
    <w:p w14:paraId="7BCE75A4" w14:textId="77777777" w:rsidR="0013763C" w:rsidRDefault="003E18F5">
      <w:pPr>
        <w:pStyle w:val="Reference"/>
      </w:pPr>
      <w:r>
        <w:t>Stahl, T., Wismar, M., Ollila, E., Lahtinen, E. and Leppo, K. (2006) Health in All Policies: Prospects and Potentials. Helsinki: Ministry of Social Affairs and Health.</w:t>
      </w:r>
    </w:p>
    <w:p w14:paraId="3A840C17" w14:textId="77777777" w:rsidR="0013763C" w:rsidRDefault="003E18F5">
      <w:pPr>
        <w:pStyle w:val="Reference"/>
      </w:pPr>
      <w:proofErr w:type="spellStart"/>
      <w:r>
        <w:t>Tangcharoensathien</w:t>
      </w:r>
      <w:proofErr w:type="spellEnd"/>
      <w:r>
        <w:t xml:space="preserve">, V., </w:t>
      </w:r>
      <w:proofErr w:type="spellStart"/>
      <w:r>
        <w:t>Witthayapipopsakul</w:t>
      </w:r>
      <w:proofErr w:type="spellEnd"/>
      <w:r>
        <w:t xml:space="preserve">, W., </w:t>
      </w:r>
      <w:proofErr w:type="spellStart"/>
      <w:r>
        <w:t>Panichkriangkrai</w:t>
      </w:r>
      <w:proofErr w:type="spellEnd"/>
      <w:r>
        <w:t xml:space="preserve">, W., </w:t>
      </w:r>
      <w:proofErr w:type="spellStart"/>
      <w:r>
        <w:t>Patcharanarumol</w:t>
      </w:r>
      <w:proofErr w:type="spellEnd"/>
      <w:r>
        <w:t>, W. and Mills, A. (2018) 'Health systems development in Thailand: A solid platform for successful implementation of universal health coverage', The Lancet, 391(10126), pp. 1205-1223.</w:t>
      </w:r>
    </w:p>
    <w:p w14:paraId="76D0A8CA" w14:textId="77777777" w:rsidR="0013763C" w:rsidRDefault="003E18F5">
      <w:pPr>
        <w:pStyle w:val="Reference"/>
      </w:pPr>
      <w:r>
        <w:t>Town and Country Planning Association (2021) Healthy Planning: A Review of the National Planning Policy Framework. London: TCPA.</w:t>
      </w:r>
    </w:p>
    <w:p w14:paraId="3DE856CD" w14:textId="77777777" w:rsidR="0013763C" w:rsidRDefault="003E18F5">
      <w:pPr>
        <w:pStyle w:val="Reference"/>
      </w:pPr>
      <w:r>
        <w:t>UHC2030 (2023) State of UHC Commitment. Geneva: UHC2030.</w:t>
      </w:r>
    </w:p>
    <w:p w14:paraId="1556D543" w14:textId="77777777" w:rsidR="0013763C" w:rsidRDefault="003E18F5">
      <w:pPr>
        <w:pStyle w:val="Reference"/>
      </w:pPr>
      <w:r>
        <w:t>UN-Habitat (2022) World Cities Report 2022: Envisaging the Future of Cities. Nairobi: United Nations Human Settlements Programme.</w:t>
      </w:r>
    </w:p>
    <w:p w14:paraId="3F401633" w14:textId="77777777" w:rsidR="0013763C" w:rsidRDefault="003E18F5">
      <w:pPr>
        <w:pStyle w:val="Reference"/>
      </w:pPr>
      <w:r>
        <w:t>United Nations (2015) Transforming Our World: The 2030 Agenda for Sustainable Development. New York: United Nations.</w:t>
      </w:r>
    </w:p>
    <w:p w14:paraId="18A07879" w14:textId="77777777" w:rsidR="0013763C" w:rsidRDefault="003E18F5">
      <w:pPr>
        <w:pStyle w:val="Reference"/>
      </w:pPr>
      <w:r>
        <w:t>United Nations (2017) New Urban Agenda. Quito: United Nations Conference on Housing and Sustainable Urban Development.</w:t>
      </w:r>
    </w:p>
    <w:p w14:paraId="5F3A7A8B" w14:textId="77777777" w:rsidR="0013763C" w:rsidRDefault="003E18F5">
      <w:pPr>
        <w:pStyle w:val="Reference"/>
      </w:pPr>
      <w:r>
        <w:t>United Nations (2018) 2018 Revision of World Urbanization Prospects. New York: United Nations Department of Economic and Social Affairs.</w:t>
      </w:r>
    </w:p>
    <w:p w14:paraId="617C165D" w14:textId="77777777" w:rsidR="0013763C" w:rsidRDefault="003E18F5">
      <w:pPr>
        <w:pStyle w:val="Reference"/>
      </w:pPr>
      <w:r>
        <w:t>United Nations (2019) Political Declaration of the High-level Meeting on Universal Health Coverage. New York: United Nations.</w:t>
      </w:r>
    </w:p>
    <w:p w14:paraId="7072CEE4" w14:textId="77777777" w:rsidR="0013763C" w:rsidRDefault="003E18F5">
      <w:pPr>
        <w:pStyle w:val="Reference"/>
      </w:pPr>
      <w:r>
        <w:t>United Nations (2023) Goal 3: Good Health and Well-being. Sustainable Development Goals. Available at: https://www.un.org/sustainabledevelopment/health/ (Accessed: 15 March 2026).</w:t>
      </w:r>
    </w:p>
    <w:p w14:paraId="7F77EA40" w14:textId="77777777" w:rsidR="0013763C" w:rsidRDefault="003E18F5">
      <w:pPr>
        <w:pStyle w:val="Reference"/>
      </w:pPr>
      <w:r>
        <w:t>White, M.P., Alcock, I., Wheeler, B.W. and Depledge, M.H. (2013) 'Would you be happier living in a greener urban area? A fixed-effects analysis of panel data', Psychological Science, 24(6), pp. 920-928.</w:t>
      </w:r>
    </w:p>
    <w:p w14:paraId="366288F8" w14:textId="77777777" w:rsidR="0013763C" w:rsidRDefault="003E18F5">
      <w:pPr>
        <w:pStyle w:val="Reference"/>
      </w:pPr>
      <w:r>
        <w:t>World Bank (2022) From Double Shock to Double Recovery: Implications and Options for Health Financing in the Time of COVID-19. Washington, DC: World Bank.</w:t>
      </w:r>
    </w:p>
    <w:p w14:paraId="7D2D6556" w14:textId="77777777" w:rsidR="0013763C" w:rsidRDefault="003E18F5">
      <w:pPr>
        <w:pStyle w:val="Reference"/>
      </w:pPr>
      <w:r>
        <w:t>World Bank (2023) Pandemic Fund: Progress Report. Washington, DC: World Bank.</w:t>
      </w:r>
    </w:p>
    <w:p w14:paraId="51958CE0" w14:textId="77777777" w:rsidR="0013763C" w:rsidRDefault="003E18F5">
      <w:pPr>
        <w:pStyle w:val="Reference"/>
      </w:pPr>
      <w:r>
        <w:t>World Health Organization (1978) Declaration of Alma-Ata. International Conference on Primary Health Care, Alma-Ata, USSR, 6-12 September 1978. Geneva: WHO.</w:t>
      </w:r>
    </w:p>
    <w:p w14:paraId="714A5825" w14:textId="77777777" w:rsidR="0013763C" w:rsidRDefault="003E18F5">
      <w:pPr>
        <w:pStyle w:val="Reference"/>
      </w:pPr>
      <w:r>
        <w:t>World Health Organization (2014) Health in All Policies: Helsinki Statement. Framework for Country Action. Geneva: WHO.</w:t>
      </w:r>
    </w:p>
    <w:p w14:paraId="4C247D6D" w14:textId="77777777" w:rsidR="0013763C" w:rsidRDefault="003E18F5">
      <w:pPr>
        <w:pStyle w:val="Reference"/>
      </w:pPr>
      <w:r>
        <w:t>World Health Organization (2019a) Thirteenth General Programme of Work 2019-2023. Geneva: WHO.</w:t>
      </w:r>
    </w:p>
    <w:p w14:paraId="2EEC8D59" w14:textId="77777777" w:rsidR="0013763C" w:rsidRDefault="003E18F5">
      <w:pPr>
        <w:pStyle w:val="Reference"/>
      </w:pPr>
      <w:r>
        <w:t>World Health Organization (2019b) Urban Health Initiative. Geneva: WHO.</w:t>
      </w:r>
    </w:p>
    <w:p w14:paraId="43F76580" w14:textId="77777777" w:rsidR="0013763C" w:rsidRDefault="003E18F5">
      <w:pPr>
        <w:pStyle w:val="Reference"/>
      </w:pPr>
      <w:r>
        <w:t>World Health Organization (2020) WHO Healthy Cities. Geneva: WHO. Available at: https://www.who.int/teams/environment-climate-change-and-health/urban-health/who-healthy-cities (Accessed: 15 March 2026).</w:t>
      </w:r>
    </w:p>
    <w:p w14:paraId="04FDB4FF" w14:textId="77777777" w:rsidR="0013763C" w:rsidRDefault="003E18F5">
      <w:pPr>
        <w:pStyle w:val="Reference"/>
      </w:pPr>
      <w:r>
        <w:t>World Health Organization (2022a) Health and Well-being. Sustainable Development Goals. Geneva: WHO. Available at: https://www.who.int/health-topics/sustainable-development-goals (Accessed: 15 March 2026).</w:t>
      </w:r>
    </w:p>
    <w:p w14:paraId="141557C8" w14:textId="77777777" w:rsidR="0013763C" w:rsidRDefault="003E18F5">
      <w:pPr>
        <w:pStyle w:val="Reference"/>
      </w:pPr>
      <w:r>
        <w:t>World Health Organization (2022b) Global Strategy on Human Resources for Health: Workforce 2030. Geneva: WHO.</w:t>
      </w:r>
    </w:p>
    <w:p w14:paraId="11D54F87" w14:textId="77777777" w:rsidR="0013763C" w:rsidRDefault="003E18F5">
      <w:pPr>
        <w:pStyle w:val="Reference"/>
      </w:pPr>
      <w:r>
        <w:t>World Health Organization (2022c) WHO Healthy Cities: A Programme Framework for the Future. Geneva: WHO.</w:t>
      </w:r>
    </w:p>
    <w:p w14:paraId="3F58A68A" w14:textId="77777777" w:rsidR="0013763C" w:rsidRDefault="003E18F5">
      <w:pPr>
        <w:pStyle w:val="Reference"/>
      </w:pPr>
      <w:r>
        <w:t>World Health Organization (2023a) Universal Health Coverage Data Portal. Geneva: WHO. Available at: https://www.who.int/data/gho/data/themes/topics/universal-health-coverage (Accessed: 15 March 2026).</w:t>
      </w:r>
    </w:p>
    <w:p w14:paraId="46F9D453" w14:textId="77777777" w:rsidR="0013763C" w:rsidRDefault="003E18F5">
      <w:pPr>
        <w:pStyle w:val="Reference"/>
      </w:pPr>
      <w:r>
        <w:t>World Health Organization and UNICEF (2018) Astana Declaration on Primary Health Care. Astana: WHO and UNICEF.</w:t>
      </w:r>
    </w:p>
    <w:sectPr w:rsidR="0013763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6B166C" w14:textId="77777777" w:rsidR="00783867" w:rsidRDefault="00783867">
      <w:pPr>
        <w:spacing w:after="0" w:line="240" w:lineRule="auto"/>
      </w:pPr>
      <w:r>
        <w:separator/>
      </w:r>
    </w:p>
  </w:endnote>
  <w:endnote w:type="continuationSeparator" w:id="0">
    <w:p w14:paraId="192C5D10" w14:textId="77777777" w:rsidR="00783867" w:rsidRDefault="007838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7ACF74" w14:textId="77777777" w:rsidR="0013763C" w:rsidRDefault="003E18F5">
    <w:pPr>
      <w:jc w:val="center"/>
    </w:pPr>
    <w:r>
      <w:rPr>
        <w:color w:val="718096"/>
        <w:sz w:val="18"/>
      </w:rPr>
      <w:fldChar w:fldCharType="begin"/>
    </w:r>
    <w:r>
      <w:instrText xml:space="preserve"> PAGE </w:instrText>
    </w:r>
    <w:r>
      <w:fldChar w:fldCharType="separate"/>
    </w:r>
    <w: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9FE92C" w14:textId="77777777" w:rsidR="00783867" w:rsidRDefault="00783867">
      <w:pPr>
        <w:spacing w:after="0" w:line="240" w:lineRule="auto"/>
      </w:pPr>
      <w:r>
        <w:separator/>
      </w:r>
    </w:p>
  </w:footnote>
  <w:footnote w:type="continuationSeparator" w:id="0">
    <w:p w14:paraId="2D633498" w14:textId="77777777" w:rsidR="00783867" w:rsidRDefault="007838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8D1428" w14:textId="77777777" w:rsidR="0013763C" w:rsidRDefault="003E18F5">
    <w:pPr>
      <w:spacing w:after="0"/>
      <w:jc w:val="right"/>
    </w:pPr>
    <w:r>
      <w:rPr>
        <w:color w:val="718096"/>
        <w:sz w:val="18"/>
      </w:rPr>
      <w:t>BMHP6030: Health, Wellbeing and Sustainability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63C"/>
    <w:rsid w:val="0013763C"/>
    <w:rsid w:val="002B726C"/>
    <w:rsid w:val="00357AB6"/>
    <w:rsid w:val="003E18F5"/>
    <w:rsid w:val="004A6D03"/>
    <w:rsid w:val="00505D47"/>
    <w:rsid w:val="00783867"/>
    <w:rsid w:val="007C2B49"/>
    <w:rsid w:val="008D56EC"/>
    <w:rsid w:val="00C95831"/>
    <w:rsid w:val="00E51874"/>
    <w:rsid w:val="00EB4A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6FE2D1"/>
  <w15:docId w15:val="{BAA82452-1359-8E4E-B467-87A0DA82E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360" w:lineRule="auto"/>
      <w:jc w:val="both"/>
    </w:pPr>
    <w:rPr>
      <w:rFonts w:ascii="Arial" w:eastAsia="Arial" w:hAnsi="Arial"/>
      <w:color w:val="1A202C"/>
      <w:sz w:val="22"/>
      <w:szCs w:val="22"/>
    </w:rPr>
  </w:style>
  <w:style w:type="paragraph" w:styleId="Heading1">
    <w:name w:val="heading 1"/>
    <w:basedOn w:val="Normal"/>
    <w:uiPriority w:val="9"/>
    <w:qFormat/>
    <w:pPr>
      <w:keepNext/>
      <w:keepLines/>
      <w:spacing w:before="400"/>
      <w:outlineLvl w:val="0"/>
    </w:pPr>
    <w:rPr>
      <w:b/>
      <w:color w:val="1A365D"/>
      <w:sz w:val="28"/>
      <w:szCs w:val="28"/>
    </w:rPr>
  </w:style>
  <w:style w:type="paragraph" w:styleId="Heading2">
    <w:name w:val="heading 2"/>
    <w:basedOn w:val="Normal"/>
    <w:uiPriority w:val="9"/>
    <w:unhideWhenUsed/>
    <w:qFormat/>
    <w:pPr>
      <w:keepNext/>
      <w:keepLines/>
      <w:spacing w:before="300" w:after="160"/>
      <w:outlineLvl w:val="1"/>
    </w:pPr>
    <w:rPr>
      <w:b/>
      <w:color w:val="744253"/>
      <w:sz w:val="24"/>
      <w:szCs w:val="24"/>
    </w:rPr>
  </w:style>
  <w:style w:type="paragraph" w:styleId="Heading3">
    <w:name w:val="heading 3"/>
    <w:basedOn w:val="Normal"/>
    <w:uiPriority w:val="9"/>
    <w:semiHidden/>
    <w:unhideWhenUsed/>
    <w:qFormat/>
    <w:pPr>
      <w:keepNext/>
      <w:keepLines/>
      <w:spacing w:before="240" w:after="120"/>
      <w:outlineLvl w:val="2"/>
    </w:pPr>
    <w:rPr>
      <w:b/>
      <w:i/>
      <w:color w:val="4A556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pPr>
      <w:jc w:val="center"/>
    </w:pPr>
    <w:rPr>
      <w:b/>
      <w:color w:val="1A365D"/>
      <w:sz w:val="32"/>
      <w:szCs w:val="32"/>
    </w:rPr>
  </w:style>
  <w:style w:type="paragraph" w:customStyle="1" w:styleId="Reference">
    <w:name w:val="Reference"/>
    <w:basedOn w:val="Normal"/>
    <w:pPr>
      <w:spacing w:after="120" w:line="276" w:lineRule="auto"/>
      <w:ind w:left="720" w:hanging="720"/>
    </w:pPr>
    <w:rPr>
      <w:sz w:val="20"/>
      <w:szCs w:val="20"/>
    </w:rPr>
  </w:style>
  <w:style w:type="character" w:customStyle="1" w:styleId="TitleChar">
    <w:name w:val="Title Char"/>
    <w:basedOn w:val="DefaultParagraphFont"/>
    <w:link w:val="Title"/>
    <w:uiPriority w:val="10"/>
    <w:rsid w:val="007C2B49"/>
    <w:rPr>
      <w:rFonts w:ascii="Arial" w:eastAsia="Arial" w:hAnsi="Arial"/>
      <w:b/>
      <w:color w:val="1A365D"/>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3881</Words>
  <Characters>22122</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 Mohamed Edosa</dc:creator>
  <cp:lastModifiedBy>Maria Mohamed Edosa (2223484)</cp:lastModifiedBy>
  <cp:revision>2</cp:revision>
  <dcterms:created xsi:type="dcterms:W3CDTF">2026-03-21T23:36:00Z</dcterms:created>
  <dcterms:modified xsi:type="dcterms:W3CDTF">2026-03-21T23:36:00Z</dcterms:modified>
</cp:coreProperties>
</file>