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lang w:val="en-GB"/>
          <w14:ligatures w14:val="standardContextual"/>
        </w:rPr>
        <w:id w:val="213935591"/>
        <w:docPartObj>
          <w:docPartGallery w:val="Cover Pages"/>
          <w:docPartUnique/>
        </w:docPartObj>
      </w:sdtPr>
      <w:sdtEndPr>
        <w:rPr>
          <w:rFonts w:ascii="Arial" w:hAnsi="Arial" w:cs="Arial"/>
          <w:b/>
          <w:bCs/>
          <w:color w:val="auto"/>
          <w:sz w:val="24"/>
          <w:szCs w:val="24"/>
        </w:rPr>
      </w:sdtEndPr>
      <w:sdtContent>
        <w:p w14:paraId="4A378A17" w14:textId="387BF484" w:rsidR="00A157D3" w:rsidRDefault="00A157D3">
          <w:pPr>
            <w:pStyle w:val="NoSpacing"/>
            <w:spacing w:before="1540" w:after="240"/>
            <w:jc w:val="center"/>
            <w:rPr>
              <w:color w:val="156082" w:themeColor="accent1"/>
            </w:rPr>
          </w:pPr>
          <w:r>
            <w:rPr>
              <w:noProof/>
              <w:color w:val="156082" w:themeColor="accent1"/>
            </w:rPr>
            <w:drawing>
              <wp:inline distT="0" distB="0" distL="0" distR="0" wp14:anchorId="41CDB776" wp14:editId="0C040A8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2477B9E71001484B97870B7598147171"/>
            </w:placeholder>
            <w:dataBinding w:prefixMappings="xmlns:ns0='http://purl.org/dc/elements/1.1/' xmlns:ns1='http://schemas.openxmlformats.org/package/2006/metadata/core-properties' " w:xpath="/ns1:coreProperties[1]/ns0:title[1]" w:storeItemID="{6C3C8BC8-F283-45AE-878A-BAB7291924A1}"/>
            <w:text/>
          </w:sdtPr>
          <w:sdtContent>
            <w:p w14:paraId="4FB975E9" w14:textId="07D4433D" w:rsidR="00A157D3" w:rsidRDefault="00A94F0D" w:rsidP="00A94F0D">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Report Case Study: Urban Heights Hotel</w:t>
              </w:r>
            </w:p>
          </w:sdtContent>
        </w:sdt>
        <w:p w14:paraId="18ED5885" w14:textId="5F38AE20" w:rsidR="00A157D3" w:rsidRDefault="00A157D3">
          <w:pPr>
            <w:pStyle w:val="NoSpacing"/>
            <w:jc w:val="center"/>
            <w:rPr>
              <w:color w:val="156082" w:themeColor="accent1"/>
              <w:sz w:val="28"/>
              <w:szCs w:val="28"/>
            </w:rPr>
          </w:pPr>
        </w:p>
        <w:p w14:paraId="646996DE" w14:textId="31B36A7E" w:rsidR="00A157D3" w:rsidRDefault="00A157D3">
          <w:pPr>
            <w:pStyle w:val="NoSpacing"/>
            <w:spacing w:before="480"/>
            <w:jc w:val="center"/>
            <w:rPr>
              <w:color w:val="156082" w:themeColor="accent1"/>
            </w:rPr>
          </w:pPr>
          <w:r>
            <w:rPr>
              <w:noProof/>
              <w:color w:val="156082" w:themeColor="accent1"/>
            </w:rPr>
            <w:drawing>
              <wp:inline distT="0" distB="0" distL="0" distR="0" wp14:anchorId="6B763896" wp14:editId="0A1DF32C">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877F657" w14:textId="4B0921D0" w:rsidR="00A157D3" w:rsidRDefault="00912FFF">
          <w:pPr>
            <w:rPr>
              <w:rFonts w:ascii="Arial" w:hAnsi="Arial" w:cs="Arial"/>
              <w:b/>
              <w:bCs/>
              <w:sz w:val="24"/>
              <w:szCs w:val="24"/>
            </w:rPr>
          </w:pPr>
          <w:r>
            <w:rPr>
              <w:noProof/>
              <w:color w:val="156082" w:themeColor="accent1"/>
            </w:rPr>
            <mc:AlternateContent>
              <mc:Choice Requires="wps">
                <w:drawing>
                  <wp:anchor distT="0" distB="0" distL="114300" distR="114300" simplePos="0" relativeHeight="251659264" behindDoc="0" locked="0" layoutInCell="1" allowOverlap="1" wp14:anchorId="12149CA9" wp14:editId="386311B0">
                    <wp:simplePos x="0" y="0"/>
                    <wp:positionH relativeFrom="margin">
                      <wp:align>right</wp:align>
                    </wp:positionH>
                    <wp:positionV relativeFrom="page">
                      <wp:posOffset>7106920</wp:posOffset>
                    </wp:positionV>
                    <wp:extent cx="6553200" cy="557784"/>
                    <wp:effectExtent l="0" t="0" r="2540" b="1397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22F428" w14:textId="7929FC44" w:rsidR="00A157D3" w:rsidRDefault="00327917">
                                <w:pPr>
                                  <w:pStyle w:val="NoSpacing"/>
                                  <w:jc w:val="center"/>
                                  <w:rPr>
                                    <w:caps/>
                                    <w:color w:val="156082" w:themeColor="accent1"/>
                                    <w:sz w:val="28"/>
                                    <w:szCs w:val="28"/>
                                    <w:lang w:val="en-GB"/>
                                  </w:rPr>
                                </w:pPr>
                                <w:r>
                                  <w:rPr>
                                    <w:caps/>
                                    <w:color w:val="156082" w:themeColor="accent1"/>
                                    <w:sz w:val="28"/>
                                    <w:szCs w:val="28"/>
                                    <w:lang w:val="en-GB"/>
                                  </w:rPr>
                                  <w:t>student name: alina-adriana badea</w:t>
                                </w:r>
                              </w:p>
                              <w:p w14:paraId="06018196" w14:textId="0E935DE3" w:rsidR="00327917" w:rsidRDefault="00327917">
                                <w:pPr>
                                  <w:pStyle w:val="NoSpacing"/>
                                  <w:jc w:val="center"/>
                                  <w:rPr>
                                    <w:caps/>
                                    <w:color w:val="156082" w:themeColor="accent1"/>
                                    <w:sz w:val="28"/>
                                    <w:szCs w:val="28"/>
                                    <w:lang w:val="en-GB"/>
                                  </w:rPr>
                                </w:pPr>
                                <w:r>
                                  <w:rPr>
                                    <w:caps/>
                                    <w:color w:val="156082" w:themeColor="accent1"/>
                                    <w:sz w:val="28"/>
                                    <w:szCs w:val="28"/>
                                    <w:lang w:val="en-GB"/>
                                  </w:rPr>
                                  <w:t xml:space="preserve">student id: </w:t>
                                </w:r>
                                <w:r w:rsidR="00BB2355">
                                  <w:rPr>
                                    <w:caps/>
                                    <w:color w:val="156082" w:themeColor="accent1"/>
                                    <w:sz w:val="28"/>
                                    <w:szCs w:val="28"/>
                                    <w:lang w:val="en-GB"/>
                                  </w:rPr>
                                  <w:t>2234830</w:t>
                                </w:r>
                              </w:p>
                              <w:p w14:paraId="416D3D55" w14:textId="347CCFAD" w:rsidR="00EC3C9B" w:rsidRDefault="00EC3C9B">
                                <w:pPr>
                                  <w:pStyle w:val="NoSpacing"/>
                                  <w:jc w:val="center"/>
                                  <w:rPr>
                                    <w:caps/>
                                    <w:color w:val="156082" w:themeColor="accent1"/>
                                    <w:sz w:val="28"/>
                                    <w:szCs w:val="28"/>
                                    <w:lang w:val="en-GB"/>
                                  </w:rPr>
                                </w:pPr>
                                <w:r>
                                  <w:rPr>
                                    <w:caps/>
                                    <w:color w:val="156082" w:themeColor="accent1"/>
                                    <w:sz w:val="28"/>
                                    <w:szCs w:val="28"/>
                                    <w:lang w:val="en-GB"/>
                                  </w:rPr>
                                  <w:t>module title: financial management for the hotel industry</w:t>
                                </w:r>
                              </w:p>
                              <w:p w14:paraId="02DA4883" w14:textId="5D352BFC" w:rsidR="00EC3C9B" w:rsidRDefault="00912FFF">
                                <w:pPr>
                                  <w:pStyle w:val="NoSpacing"/>
                                  <w:jc w:val="center"/>
                                  <w:rPr>
                                    <w:caps/>
                                    <w:color w:val="156082" w:themeColor="accent1"/>
                                    <w:sz w:val="28"/>
                                    <w:szCs w:val="28"/>
                                    <w:lang w:val="en-GB"/>
                                  </w:rPr>
                                </w:pPr>
                                <w:r>
                                  <w:rPr>
                                    <w:caps/>
                                    <w:color w:val="156082" w:themeColor="accent1"/>
                                    <w:sz w:val="28"/>
                                    <w:szCs w:val="28"/>
                                    <w:lang w:val="en-GB"/>
                                  </w:rPr>
                                  <w:t>module code: bmih5007</w:t>
                                </w:r>
                              </w:p>
                              <w:p w14:paraId="06A6187B" w14:textId="49BB8695" w:rsidR="00912FFF" w:rsidRDefault="00912FFF">
                                <w:pPr>
                                  <w:pStyle w:val="NoSpacing"/>
                                  <w:jc w:val="center"/>
                                  <w:rPr>
                                    <w:caps/>
                                    <w:color w:val="156082" w:themeColor="accent1"/>
                                    <w:sz w:val="28"/>
                                    <w:szCs w:val="28"/>
                                    <w:lang w:val="en-GB"/>
                                  </w:rPr>
                                </w:pPr>
                                <w:r>
                                  <w:rPr>
                                    <w:caps/>
                                    <w:color w:val="156082" w:themeColor="accent1"/>
                                    <w:sz w:val="28"/>
                                    <w:szCs w:val="28"/>
                                    <w:lang w:val="en-GB"/>
                                  </w:rPr>
                                  <w:t>lecturer: dr. ernest wavei</w:t>
                                </w:r>
                              </w:p>
                              <w:p w14:paraId="0CF7F4F9" w14:textId="77777777" w:rsidR="00BB2355" w:rsidRPr="00327917" w:rsidRDefault="00BB2355">
                                <w:pPr>
                                  <w:pStyle w:val="NoSpacing"/>
                                  <w:jc w:val="center"/>
                                  <w:rPr>
                                    <w:color w:val="156082" w:themeColor="accent1"/>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2149CA9" id="_x0000_t202" coordsize="21600,21600" o:spt="202" path="m,l,21600r21600,l21600,xe">
                    <v:stroke joinstyle="miter"/>
                    <v:path gradientshapeok="t" o:connecttype="rect"/>
                  </v:shapetype>
                  <v:shape id="Text Box 44" o:spid="_x0000_s1026" type="#_x0000_t202" style="position:absolute;margin-left:464.8pt;margin-top:559.6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" filled="f" stroked="f" strokeweight=".5pt">
                    <v:textbox style="mso-fit-shape-to-text:t" inset="0,0,0,0">
                      <w:txbxContent>
                        <w:p w14:paraId="5122F428" w14:textId="7929FC44" w:rsidR="00A157D3" w:rsidRDefault="00327917">
                          <w:pPr>
                            <w:pStyle w:val="NoSpacing"/>
                            <w:jc w:val="center"/>
                            <w:rPr>
                              <w:caps/>
                              <w:color w:val="156082" w:themeColor="accent1"/>
                              <w:sz w:val="28"/>
                              <w:szCs w:val="28"/>
                              <w:lang w:val="en-GB"/>
                            </w:rPr>
                          </w:pPr>
                          <w:r>
                            <w:rPr>
                              <w:caps/>
                              <w:color w:val="156082" w:themeColor="accent1"/>
                              <w:sz w:val="28"/>
                              <w:szCs w:val="28"/>
                              <w:lang w:val="en-GB"/>
                            </w:rPr>
                            <w:t>student name: alina-adriana badea</w:t>
                          </w:r>
                        </w:p>
                        <w:p w14:paraId="06018196" w14:textId="0E935DE3" w:rsidR="00327917" w:rsidRDefault="00327917">
                          <w:pPr>
                            <w:pStyle w:val="NoSpacing"/>
                            <w:jc w:val="center"/>
                            <w:rPr>
                              <w:caps/>
                              <w:color w:val="156082" w:themeColor="accent1"/>
                              <w:sz w:val="28"/>
                              <w:szCs w:val="28"/>
                              <w:lang w:val="en-GB"/>
                            </w:rPr>
                          </w:pPr>
                          <w:r>
                            <w:rPr>
                              <w:caps/>
                              <w:color w:val="156082" w:themeColor="accent1"/>
                              <w:sz w:val="28"/>
                              <w:szCs w:val="28"/>
                              <w:lang w:val="en-GB"/>
                            </w:rPr>
                            <w:t xml:space="preserve">student id: </w:t>
                          </w:r>
                          <w:r w:rsidR="00BB2355">
                            <w:rPr>
                              <w:caps/>
                              <w:color w:val="156082" w:themeColor="accent1"/>
                              <w:sz w:val="28"/>
                              <w:szCs w:val="28"/>
                              <w:lang w:val="en-GB"/>
                            </w:rPr>
                            <w:t>2234830</w:t>
                          </w:r>
                        </w:p>
                        <w:p w14:paraId="416D3D55" w14:textId="347CCFAD" w:rsidR="00EC3C9B" w:rsidRDefault="00EC3C9B">
                          <w:pPr>
                            <w:pStyle w:val="NoSpacing"/>
                            <w:jc w:val="center"/>
                            <w:rPr>
                              <w:caps/>
                              <w:color w:val="156082" w:themeColor="accent1"/>
                              <w:sz w:val="28"/>
                              <w:szCs w:val="28"/>
                              <w:lang w:val="en-GB"/>
                            </w:rPr>
                          </w:pPr>
                          <w:r>
                            <w:rPr>
                              <w:caps/>
                              <w:color w:val="156082" w:themeColor="accent1"/>
                              <w:sz w:val="28"/>
                              <w:szCs w:val="28"/>
                              <w:lang w:val="en-GB"/>
                            </w:rPr>
                            <w:t>module title: financial management for the hotel industry</w:t>
                          </w:r>
                        </w:p>
                        <w:p w14:paraId="02DA4883" w14:textId="5D352BFC" w:rsidR="00EC3C9B" w:rsidRDefault="00912FFF">
                          <w:pPr>
                            <w:pStyle w:val="NoSpacing"/>
                            <w:jc w:val="center"/>
                            <w:rPr>
                              <w:caps/>
                              <w:color w:val="156082" w:themeColor="accent1"/>
                              <w:sz w:val="28"/>
                              <w:szCs w:val="28"/>
                              <w:lang w:val="en-GB"/>
                            </w:rPr>
                          </w:pPr>
                          <w:r>
                            <w:rPr>
                              <w:caps/>
                              <w:color w:val="156082" w:themeColor="accent1"/>
                              <w:sz w:val="28"/>
                              <w:szCs w:val="28"/>
                              <w:lang w:val="en-GB"/>
                            </w:rPr>
                            <w:t>module code: bmih5007</w:t>
                          </w:r>
                        </w:p>
                        <w:p w14:paraId="06A6187B" w14:textId="49BB8695" w:rsidR="00912FFF" w:rsidRDefault="00912FFF">
                          <w:pPr>
                            <w:pStyle w:val="NoSpacing"/>
                            <w:jc w:val="center"/>
                            <w:rPr>
                              <w:caps/>
                              <w:color w:val="156082" w:themeColor="accent1"/>
                              <w:sz w:val="28"/>
                              <w:szCs w:val="28"/>
                              <w:lang w:val="en-GB"/>
                            </w:rPr>
                          </w:pPr>
                          <w:r>
                            <w:rPr>
                              <w:caps/>
                              <w:color w:val="156082" w:themeColor="accent1"/>
                              <w:sz w:val="28"/>
                              <w:szCs w:val="28"/>
                              <w:lang w:val="en-GB"/>
                            </w:rPr>
                            <w:t>lecturer: dr. ernest wavei</w:t>
                          </w:r>
                        </w:p>
                        <w:p w14:paraId="0CF7F4F9" w14:textId="77777777" w:rsidR="00BB2355" w:rsidRPr="00327917" w:rsidRDefault="00BB2355">
                          <w:pPr>
                            <w:pStyle w:val="NoSpacing"/>
                            <w:jc w:val="center"/>
                            <w:rPr>
                              <w:color w:val="156082" w:themeColor="accent1"/>
                              <w:lang w:val="en-GB"/>
                            </w:rPr>
                          </w:pPr>
                        </w:p>
                      </w:txbxContent>
                    </v:textbox>
                    <w10:wrap anchorx="margin" anchory="page"/>
                  </v:shape>
                </w:pict>
              </mc:Fallback>
            </mc:AlternateContent>
          </w:r>
          <w:r w:rsidR="00A157D3">
            <w:rPr>
              <w:rFonts w:ascii="Arial" w:hAnsi="Arial" w:cs="Arial"/>
              <w:b/>
              <w:bCs/>
              <w:sz w:val="24"/>
              <w:szCs w:val="24"/>
            </w:rPr>
            <w:br w:type="page"/>
          </w:r>
        </w:p>
      </w:sdtContent>
    </w:sdt>
    <w:p w14:paraId="402D2E14" w14:textId="782CC469" w:rsidR="005F58CA" w:rsidRPr="00B26F39" w:rsidRDefault="005F58CA" w:rsidP="00B26F39">
      <w:pPr>
        <w:spacing w:line="360" w:lineRule="auto"/>
        <w:jc w:val="both"/>
        <w:rPr>
          <w:rFonts w:ascii="Arial" w:hAnsi="Arial" w:cs="Arial"/>
          <w:b/>
          <w:bCs/>
          <w:sz w:val="24"/>
          <w:szCs w:val="24"/>
        </w:rPr>
      </w:pPr>
      <w:r w:rsidRPr="00B26F39">
        <w:rPr>
          <w:rFonts w:ascii="Arial" w:hAnsi="Arial" w:cs="Arial"/>
          <w:b/>
          <w:bCs/>
          <w:sz w:val="24"/>
          <w:szCs w:val="24"/>
        </w:rPr>
        <w:lastRenderedPageBreak/>
        <w:t>Executive Summary:</w:t>
      </w:r>
    </w:p>
    <w:p w14:paraId="59277F9C" w14:textId="7E852CB7" w:rsidR="00B26F39" w:rsidRPr="00B26F39" w:rsidRDefault="00C743EF" w:rsidP="00B26F39">
      <w:pPr>
        <w:spacing w:line="360" w:lineRule="auto"/>
        <w:jc w:val="both"/>
        <w:rPr>
          <w:rFonts w:ascii="Arial" w:hAnsi="Arial" w:cs="Arial"/>
          <w:sz w:val="24"/>
          <w:szCs w:val="24"/>
        </w:rPr>
      </w:pPr>
      <w:r w:rsidRPr="00B26F39">
        <w:rPr>
          <w:rFonts w:ascii="Arial" w:hAnsi="Arial" w:cs="Arial"/>
          <w:sz w:val="24"/>
          <w:szCs w:val="24"/>
        </w:rPr>
        <w:t xml:space="preserve">Over the past few years, the Urban Heights Hotel, a well-known urban facility that provides services in the areas of accommodation, food service, and event planning, has witnessed a troubling fall in revenue, profitability, and the level of happiness experienced by its customers. Within the scope of this report, a complete financial analysis of the hotel's performance is carried out, important difficulties that have contributed to the decrease are identified, and a comprehensive strategy for turning things around is proposed. The Urban Heights Hotel </w:t>
      </w:r>
      <w:proofErr w:type="gramStart"/>
      <w:r w:rsidRPr="00B26F39">
        <w:rPr>
          <w:rFonts w:ascii="Arial" w:hAnsi="Arial" w:cs="Arial"/>
          <w:sz w:val="24"/>
          <w:szCs w:val="24"/>
        </w:rPr>
        <w:t>is able to</w:t>
      </w:r>
      <w:proofErr w:type="gramEnd"/>
      <w:r w:rsidRPr="00B26F39">
        <w:rPr>
          <w:rFonts w:ascii="Arial" w:hAnsi="Arial" w:cs="Arial"/>
          <w:sz w:val="24"/>
          <w:szCs w:val="24"/>
        </w:rPr>
        <w:t xml:space="preserve"> work towards regaining its financial health and achieving operational excellence if it places special emphasis on the generation of revenue, the optimisation of costs, the management of cash flow, the development of customer experience, and asset management. Additionally, </w:t>
      </w:r>
      <w:proofErr w:type="gramStart"/>
      <w:r w:rsidRPr="00B26F39">
        <w:rPr>
          <w:rFonts w:ascii="Arial" w:hAnsi="Arial" w:cs="Arial"/>
          <w:sz w:val="24"/>
          <w:szCs w:val="24"/>
        </w:rPr>
        <w:t>in order to</w:t>
      </w:r>
      <w:proofErr w:type="gramEnd"/>
      <w:r w:rsidRPr="00B26F39">
        <w:rPr>
          <w:rFonts w:ascii="Arial" w:hAnsi="Arial" w:cs="Arial"/>
          <w:sz w:val="24"/>
          <w:szCs w:val="24"/>
        </w:rPr>
        <w:t xml:space="preserve"> provide a comprehensive assessment of the hotel's financial status, other financial analysis ratios, such as the current ratio, the quick ratio, the debt-to-equity ratio, the return on assets, and the return on equity, are examined.</w:t>
      </w:r>
    </w:p>
    <w:p w14:paraId="56116370" w14:textId="77777777" w:rsidR="00B26F39" w:rsidRPr="00B26F39" w:rsidRDefault="00B26F39" w:rsidP="00B26F39">
      <w:pPr>
        <w:spacing w:line="360" w:lineRule="auto"/>
        <w:jc w:val="both"/>
        <w:rPr>
          <w:rFonts w:ascii="Arial" w:hAnsi="Arial" w:cs="Arial"/>
          <w:sz w:val="24"/>
          <w:szCs w:val="24"/>
        </w:rPr>
      </w:pPr>
      <w:r w:rsidRPr="00B26F39">
        <w:rPr>
          <w:rFonts w:ascii="Arial" w:hAnsi="Arial" w:cs="Arial"/>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110746614"/>
        <w:docPartObj>
          <w:docPartGallery w:val="Table of Contents"/>
          <w:docPartUnique/>
        </w:docPartObj>
      </w:sdtPr>
      <w:sdtEndPr>
        <w:rPr>
          <w:b/>
          <w:bCs/>
          <w:noProof/>
        </w:rPr>
      </w:sdtEndPr>
      <w:sdtContent>
        <w:p w14:paraId="4BF47000" w14:textId="108941F2" w:rsidR="00075078" w:rsidRDefault="00075078">
          <w:pPr>
            <w:pStyle w:val="TOCHeading"/>
          </w:pPr>
          <w:r>
            <w:t>Contents</w:t>
          </w:r>
        </w:p>
        <w:p w14:paraId="719A1EBC" w14:textId="30DC4548" w:rsidR="00724BC4" w:rsidRDefault="0007507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8608008" w:history="1">
            <w:r w:rsidR="00724BC4" w:rsidRPr="00DE46C2">
              <w:rPr>
                <w:rStyle w:val="Hyperlink"/>
                <w:rFonts w:ascii="Arial" w:hAnsi="Arial" w:cs="Arial"/>
                <w:b/>
                <w:bCs/>
                <w:noProof/>
              </w:rPr>
              <w:t>Introduction:</w:t>
            </w:r>
            <w:r w:rsidR="00724BC4">
              <w:rPr>
                <w:noProof/>
                <w:webHidden/>
              </w:rPr>
              <w:tab/>
            </w:r>
            <w:r w:rsidR="00724BC4">
              <w:rPr>
                <w:noProof/>
                <w:webHidden/>
              </w:rPr>
              <w:fldChar w:fldCharType="begin"/>
            </w:r>
            <w:r w:rsidR="00724BC4">
              <w:rPr>
                <w:noProof/>
                <w:webHidden/>
              </w:rPr>
              <w:instrText xml:space="preserve"> PAGEREF _Toc168608008 \h </w:instrText>
            </w:r>
            <w:r w:rsidR="00724BC4">
              <w:rPr>
                <w:noProof/>
                <w:webHidden/>
              </w:rPr>
            </w:r>
            <w:r w:rsidR="00724BC4">
              <w:rPr>
                <w:noProof/>
                <w:webHidden/>
              </w:rPr>
              <w:fldChar w:fldCharType="separate"/>
            </w:r>
            <w:r w:rsidR="00724BC4">
              <w:rPr>
                <w:noProof/>
                <w:webHidden/>
              </w:rPr>
              <w:t>3</w:t>
            </w:r>
            <w:r w:rsidR="00724BC4">
              <w:rPr>
                <w:noProof/>
                <w:webHidden/>
              </w:rPr>
              <w:fldChar w:fldCharType="end"/>
            </w:r>
          </w:hyperlink>
        </w:p>
        <w:p w14:paraId="409A06A9" w14:textId="29B2F8EA" w:rsidR="00724BC4" w:rsidRDefault="00724BC4">
          <w:pPr>
            <w:pStyle w:val="TOC1"/>
            <w:tabs>
              <w:tab w:val="right" w:leader="dot" w:pos="9016"/>
            </w:tabs>
            <w:rPr>
              <w:rFonts w:eastAsiaTheme="minorEastAsia"/>
              <w:noProof/>
              <w:sz w:val="24"/>
              <w:szCs w:val="24"/>
              <w:lang w:eastAsia="en-GB"/>
            </w:rPr>
          </w:pPr>
          <w:hyperlink w:anchor="_Toc168608009" w:history="1">
            <w:r w:rsidRPr="00DE46C2">
              <w:rPr>
                <w:rStyle w:val="Hyperlink"/>
                <w:rFonts w:ascii="Arial" w:hAnsi="Arial" w:cs="Arial"/>
                <w:b/>
                <w:bCs/>
                <w:noProof/>
              </w:rPr>
              <w:t>Financial Performance Analysis:</w:t>
            </w:r>
            <w:r>
              <w:rPr>
                <w:noProof/>
                <w:webHidden/>
              </w:rPr>
              <w:tab/>
            </w:r>
            <w:r>
              <w:rPr>
                <w:noProof/>
                <w:webHidden/>
              </w:rPr>
              <w:fldChar w:fldCharType="begin"/>
            </w:r>
            <w:r>
              <w:rPr>
                <w:noProof/>
                <w:webHidden/>
              </w:rPr>
              <w:instrText xml:space="preserve"> PAGEREF _Toc168608009 \h </w:instrText>
            </w:r>
            <w:r>
              <w:rPr>
                <w:noProof/>
                <w:webHidden/>
              </w:rPr>
            </w:r>
            <w:r>
              <w:rPr>
                <w:noProof/>
                <w:webHidden/>
              </w:rPr>
              <w:fldChar w:fldCharType="separate"/>
            </w:r>
            <w:r>
              <w:rPr>
                <w:noProof/>
                <w:webHidden/>
              </w:rPr>
              <w:t>3</w:t>
            </w:r>
            <w:r>
              <w:rPr>
                <w:noProof/>
                <w:webHidden/>
              </w:rPr>
              <w:fldChar w:fldCharType="end"/>
            </w:r>
          </w:hyperlink>
        </w:p>
        <w:p w14:paraId="6FFE5EAD" w14:textId="1C06E958" w:rsidR="00724BC4" w:rsidRDefault="00724BC4">
          <w:pPr>
            <w:pStyle w:val="TOC1"/>
            <w:tabs>
              <w:tab w:val="right" w:leader="dot" w:pos="9016"/>
            </w:tabs>
            <w:rPr>
              <w:rFonts w:eastAsiaTheme="minorEastAsia"/>
              <w:noProof/>
              <w:sz w:val="24"/>
              <w:szCs w:val="24"/>
              <w:lang w:eastAsia="en-GB"/>
            </w:rPr>
          </w:pPr>
          <w:hyperlink w:anchor="_Toc168608010" w:history="1">
            <w:r w:rsidRPr="00DE46C2">
              <w:rPr>
                <w:rStyle w:val="Hyperlink"/>
                <w:rFonts w:ascii="Arial" w:hAnsi="Arial" w:cs="Arial"/>
                <w:b/>
                <w:bCs/>
                <w:noProof/>
              </w:rPr>
              <w:t>Financial Analysis Ratios:</w:t>
            </w:r>
            <w:r>
              <w:rPr>
                <w:noProof/>
                <w:webHidden/>
              </w:rPr>
              <w:tab/>
            </w:r>
            <w:r>
              <w:rPr>
                <w:noProof/>
                <w:webHidden/>
              </w:rPr>
              <w:fldChar w:fldCharType="begin"/>
            </w:r>
            <w:r>
              <w:rPr>
                <w:noProof/>
                <w:webHidden/>
              </w:rPr>
              <w:instrText xml:space="preserve"> PAGEREF _Toc168608010 \h </w:instrText>
            </w:r>
            <w:r>
              <w:rPr>
                <w:noProof/>
                <w:webHidden/>
              </w:rPr>
            </w:r>
            <w:r>
              <w:rPr>
                <w:noProof/>
                <w:webHidden/>
              </w:rPr>
              <w:fldChar w:fldCharType="separate"/>
            </w:r>
            <w:r>
              <w:rPr>
                <w:noProof/>
                <w:webHidden/>
              </w:rPr>
              <w:t>3</w:t>
            </w:r>
            <w:r>
              <w:rPr>
                <w:noProof/>
                <w:webHidden/>
              </w:rPr>
              <w:fldChar w:fldCharType="end"/>
            </w:r>
          </w:hyperlink>
        </w:p>
        <w:p w14:paraId="0C831886" w14:textId="2CCE4CB4" w:rsidR="00724BC4" w:rsidRDefault="00724BC4">
          <w:pPr>
            <w:pStyle w:val="TOC2"/>
            <w:tabs>
              <w:tab w:val="left" w:pos="720"/>
              <w:tab w:val="right" w:leader="dot" w:pos="9016"/>
            </w:tabs>
            <w:rPr>
              <w:rFonts w:cstheme="minorBidi"/>
              <w:noProof/>
              <w:kern w:val="2"/>
              <w:sz w:val="24"/>
              <w:szCs w:val="24"/>
              <w:lang w:val="en-GB" w:eastAsia="en-GB"/>
              <w14:ligatures w14:val="standardContextual"/>
            </w:rPr>
          </w:pPr>
          <w:hyperlink w:anchor="_Toc168608011" w:history="1">
            <w:r w:rsidRPr="00DE46C2">
              <w:rPr>
                <w:rStyle w:val="Hyperlink"/>
                <w:rFonts w:ascii="Arial" w:eastAsiaTheme="minorHAnsi" w:hAnsi="Arial" w:cs="Arial"/>
                <w:b/>
                <w:noProof/>
              </w:rPr>
              <w:t>1.</w:t>
            </w:r>
            <w:r>
              <w:rPr>
                <w:rFonts w:cstheme="minorBidi"/>
                <w:noProof/>
                <w:kern w:val="2"/>
                <w:sz w:val="24"/>
                <w:szCs w:val="24"/>
                <w:lang w:val="en-GB" w:eastAsia="en-GB"/>
                <w14:ligatures w14:val="standardContextual"/>
              </w:rPr>
              <w:tab/>
            </w:r>
            <w:r w:rsidRPr="00DE46C2">
              <w:rPr>
                <w:rStyle w:val="Hyperlink"/>
                <w:rFonts w:ascii="Arial" w:hAnsi="Arial" w:cs="Arial"/>
                <w:b/>
                <w:bCs/>
                <w:noProof/>
              </w:rPr>
              <w:t>Current Ratio</w:t>
            </w:r>
            <w:r>
              <w:rPr>
                <w:noProof/>
                <w:webHidden/>
              </w:rPr>
              <w:tab/>
            </w:r>
            <w:r>
              <w:rPr>
                <w:noProof/>
                <w:webHidden/>
              </w:rPr>
              <w:fldChar w:fldCharType="begin"/>
            </w:r>
            <w:r>
              <w:rPr>
                <w:noProof/>
                <w:webHidden/>
              </w:rPr>
              <w:instrText xml:space="preserve"> PAGEREF _Toc168608011 \h </w:instrText>
            </w:r>
            <w:r>
              <w:rPr>
                <w:noProof/>
                <w:webHidden/>
              </w:rPr>
            </w:r>
            <w:r>
              <w:rPr>
                <w:noProof/>
                <w:webHidden/>
              </w:rPr>
              <w:fldChar w:fldCharType="separate"/>
            </w:r>
            <w:r>
              <w:rPr>
                <w:noProof/>
                <w:webHidden/>
              </w:rPr>
              <w:t>3</w:t>
            </w:r>
            <w:r>
              <w:rPr>
                <w:noProof/>
                <w:webHidden/>
              </w:rPr>
              <w:fldChar w:fldCharType="end"/>
            </w:r>
          </w:hyperlink>
        </w:p>
        <w:p w14:paraId="1C5081F5" w14:textId="4FBB09B4" w:rsidR="00724BC4" w:rsidRDefault="00724BC4">
          <w:pPr>
            <w:pStyle w:val="TOC2"/>
            <w:tabs>
              <w:tab w:val="left" w:pos="720"/>
              <w:tab w:val="right" w:leader="dot" w:pos="9016"/>
            </w:tabs>
            <w:rPr>
              <w:rFonts w:cstheme="minorBidi"/>
              <w:noProof/>
              <w:kern w:val="2"/>
              <w:sz w:val="24"/>
              <w:szCs w:val="24"/>
              <w:lang w:val="en-GB" w:eastAsia="en-GB"/>
              <w14:ligatures w14:val="standardContextual"/>
            </w:rPr>
          </w:pPr>
          <w:hyperlink w:anchor="_Toc168608012" w:history="1">
            <w:r w:rsidRPr="00DE46C2">
              <w:rPr>
                <w:rStyle w:val="Hyperlink"/>
                <w:rFonts w:ascii="Arial" w:eastAsiaTheme="minorHAnsi" w:hAnsi="Arial" w:cs="Arial"/>
                <w:b/>
                <w:noProof/>
              </w:rPr>
              <w:t>2.</w:t>
            </w:r>
            <w:r>
              <w:rPr>
                <w:rFonts w:cstheme="minorBidi"/>
                <w:noProof/>
                <w:kern w:val="2"/>
                <w:sz w:val="24"/>
                <w:szCs w:val="24"/>
                <w:lang w:val="en-GB" w:eastAsia="en-GB"/>
                <w14:ligatures w14:val="standardContextual"/>
              </w:rPr>
              <w:tab/>
            </w:r>
            <w:r w:rsidRPr="00DE46C2">
              <w:rPr>
                <w:rStyle w:val="Hyperlink"/>
                <w:rFonts w:ascii="Arial" w:hAnsi="Arial" w:cs="Arial"/>
                <w:b/>
                <w:bCs/>
                <w:noProof/>
              </w:rPr>
              <w:t>Quick Ratio</w:t>
            </w:r>
            <w:r>
              <w:rPr>
                <w:noProof/>
                <w:webHidden/>
              </w:rPr>
              <w:tab/>
            </w:r>
            <w:r>
              <w:rPr>
                <w:noProof/>
                <w:webHidden/>
              </w:rPr>
              <w:fldChar w:fldCharType="begin"/>
            </w:r>
            <w:r>
              <w:rPr>
                <w:noProof/>
                <w:webHidden/>
              </w:rPr>
              <w:instrText xml:space="preserve"> PAGEREF _Toc168608012 \h </w:instrText>
            </w:r>
            <w:r>
              <w:rPr>
                <w:noProof/>
                <w:webHidden/>
              </w:rPr>
            </w:r>
            <w:r>
              <w:rPr>
                <w:noProof/>
                <w:webHidden/>
              </w:rPr>
              <w:fldChar w:fldCharType="separate"/>
            </w:r>
            <w:r>
              <w:rPr>
                <w:noProof/>
                <w:webHidden/>
              </w:rPr>
              <w:t>4</w:t>
            </w:r>
            <w:r>
              <w:rPr>
                <w:noProof/>
                <w:webHidden/>
              </w:rPr>
              <w:fldChar w:fldCharType="end"/>
            </w:r>
          </w:hyperlink>
        </w:p>
        <w:p w14:paraId="57964D19" w14:textId="7F2045E1" w:rsidR="00724BC4" w:rsidRDefault="00724BC4">
          <w:pPr>
            <w:pStyle w:val="TOC2"/>
            <w:tabs>
              <w:tab w:val="left" w:pos="720"/>
              <w:tab w:val="right" w:leader="dot" w:pos="9016"/>
            </w:tabs>
            <w:rPr>
              <w:rFonts w:cstheme="minorBidi"/>
              <w:noProof/>
              <w:kern w:val="2"/>
              <w:sz w:val="24"/>
              <w:szCs w:val="24"/>
              <w:lang w:val="en-GB" w:eastAsia="en-GB"/>
              <w14:ligatures w14:val="standardContextual"/>
            </w:rPr>
          </w:pPr>
          <w:hyperlink w:anchor="_Toc168608013" w:history="1">
            <w:r w:rsidRPr="00DE46C2">
              <w:rPr>
                <w:rStyle w:val="Hyperlink"/>
                <w:rFonts w:ascii="Arial" w:eastAsiaTheme="minorHAnsi" w:hAnsi="Arial" w:cs="Arial"/>
                <w:b/>
                <w:noProof/>
              </w:rPr>
              <w:t>3.</w:t>
            </w:r>
            <w:r>
              <w:rPr>
                <w:rFonts w:cstheme="minorBidi"/>
                <w:noProof/>
                <w:kern w:val="2"/>
                <w:sz w:val="24"/>
                <w:szCs w:val="24"/>
                <w:lang w:val="en-GB" w:eastAsia="en-GB"/>
                <w14:ligatures w14:val="standardContextual"/>
              </w:rPr>
              <w:tab/>
            </w:r>
            <w:r w:rsidRPr="00DE46C2">
              <w:rPr>
                <w:rStyle w:val="Hyperlink"/>
                <w:rFonts w:ascii="Arial" w:hAnsi="Arial" w:cs="Arial"/>
                <w:b/>
                <w:bCs/>
                <w:noProof/>
              </w:rPr>
              <w:t>Debt-to-Equity Ratio</w:t>
            </w:r>
            <w:r>
              <w:rPr>
                <w:noProof/>
                <w:webHidden/>
              </w:rPr>
              <w:tab/>
            </w:r>
            <w:r>
              <w:rPr>
                <w:noProof/>
                <w:webHidden/>
              </w:rPr>
              <w:fldChar w:fldCharType="begin"/>
            </w:r>
            <w:r>
              <w:rPr>
                <w:noProof/>
                <w:webHidden/>
              </w:rPr>
              <w:instrText xml:space="preserve"> PAGEREF _Toc168608013 \h </w:instrText>
            </w:r>
            <w:r>
              <w:rPr>
                <w:noProof/>
                <w:webHidden/>
              </w:rPr>
            </w:r>
            <w:r>
              <w:rPr>
                <w:noProof/>
                <w:webHidden/>
              </w:rPr>
              <w:fldChar w:fldCharType="separate"/>
            </w:r>
            <w:r>
              <w:rPr>
                <w:noProof/>
                <w:webHidden/>
              </w:rPr>
              <w:t>5</w:t>
            </w:r>
            <w:r>
              <w:rPr>
                <w:noProof/>
                <w:webHidden/>
              </w:rPr>
              <w:fldChar w:fldCharType="end"/>
            </w:r>
          </w:hyperlink>
        </w:p>
        <w:p w14:paraId="3C18A1A8" w14:textId="32175880" w:rsidR="00724BC4" w:rsidRDefault="00724BC4">
          <w:pPr>
            <w:pStyle w:val="TOC2"/>
            <w:tabs>
              <w:tab w:val="left" w:pos="720"/>
              <w:tab w:val="right" w:leader="dot" w:pos="9016"/>
            </w:tabs>
            <w:rPr>
              <w:rFonts w:cstheme="minorBidi"/>
              <w:noProof/>
              <w:kern w:val="2"/>
              <w:sz w:val="24"/>
              <w:szCs w:val="24"/>
              <w:lang w:val="en-GB" w:eastAsia="en-GB"/>
              <w14:ligatures w14:val="standardContextual"/>
            </w:rPr>
          </w:pPr>
          <w:hyperlink w:anchor="_Toc168608014" w:history="1">
            <w:r w:rsidRPr="00DE46C2">
              <w:rPr>
                <w:rStyle w:val="Hyperlink"/>
                <w:rFonts w:ascii="Arial" w:eastAsiaTheme="minorHAnsi" w:hAnsi="Arial" w:cs="Arial"/>
                <w:b/>
                <w:noProof/>
              </w:rPr>
              <w:t>4.</w:t>
            </w:r>
            <w:r>
              <w:rPr>
                <w:rFonts w:cstheme="minorBidi"/>
                <w:noProof/>
                <w:kern w:val="2"/>
                <w:sz w:val="24"/>
                <w:szCs w:val="24"/>
                <w:lang w:val="en-GB" w:eastAsia="en-GB"/>
                <w14:ligatures w14:val="standardContextual"/>
              </w:rPr>
              <w:tab/>
            </w:r>
            <w:r w:rsidRPr="00DE46C2">
              <w:rPr>
                <w:rStyle w:val="Hyperlink"/>
                <w:rFonts w:ascii="Arial" w:hAnsi="Arial" w:cs="Arial"/>
                <w:b/>
                <w:bCs/>
                <w:noProof/>
              </w:rPr>
              <w:t>Return on Assets (ROA)</w:t>
            </w:r>
            <w:r>
              <w:rPr>
                <w:noProof/>
                <w:webHidden/>
              </w:rPr>
              <w:tab/>
            </w:r>
            <w:r>
              <w:rPr>
                <w:noProof/>
                <w:webHidden/>
              </w:rPr>
              <w:fldChar w:fldCharType="begin"/>
            </w:r>
            <w:r>
              <w:rPr>
                <w:noProof/>
                <w:webHidden/>
              </w:rPr>
              <w:instrText xml:space="preserve"> PAGEREF _Toc168608014 \h </w:instrText>
            </w:r>
            <w:r>
              <w:rPr>
                <w:noProof/>
                <w:webHidden/>
              </w:rPr>
            </w:r>
            <w:r>
              <w:rPr>
                <w:noProof/>
                <w:webHidden/>
              </w:rPr>
              <w:fldChar w:fldCharType="separate"/>
            </w:r>
            <w:r>
              <w:rPr>
                <w:noProof/>
                <w:webHidden/>
              </w:rPr>
              <w:t>5</w:t>
            </w:r>
            <w:r>
              <w:rPr>
                <w:noProof/>
                <w:webHidden/>
              </w:rPr>
              <w:fldChar w:fldCharType="end"/>
            </w:r>
          </w:hyperlink>
        </w:p>
        <w:p w14:paraId="17FE8140" w14:textId="08E78788" w:rsidR="00724BC4" w:rsidRDefault="00724BC4">
          <w:pPr>
            <w:pStyle w:val="TOC2"/>
            <w:tabs>
              <w:tab w:val="left" w:pos="720"/>
              <w:tab w:val="right" w:leader="dot" w:pos="9016"/>
            </w:tabs>
            <w:rPr>
              <w:rFonts w:cstheme="minorBidi"/>
              <w:noProof/>
              <w:kern w:val="2"/>
              <w:sz w:val="24"/>
              <w:szCs w:val="24"/>
              <w:lang w:val="en-GB" w:eastAsia="en-GB"/>
              <w14:ligatures w14:val="standardContextual"/>
            </w:rPr>
          </w:pPr>
          <w:hyperlink w:anchor="_Toc168608015" w:history="1">
            <w:r w:rsidRPr="00DE46C2">
              <w:rPr>
                <w:rStyle w:val="Hyperlink"/>
                <w:rFonts w:ascii="Arial" w:eastAsiaTheme="minorHAnsi" w:hAnsi="Arial" w:cs="Arial"/>
                <w:b/>
                <w:noProof/>
              </w:rPr>
              <w:t>5.</w:t>
            </w:r>
            <w:r>
              <w:rPr>
                <w:rFonts w:cstheme="minorBidi"/>
                <w:noProof/>
                <w:kern w:val="2"/>
                <w:sz w:val="24"/>
                <w:szCs w:val="24"/>
                <w:lang w:val="en-GB" w:eastAsia="en-GB"/>
                <w14:ligatures w14:val="standardContextual"/>
              </w:rPr>
              <w:tab/>
            </w:r>
            <w:r w:rsidRPr="00DE46C2">
              <w:rPr>
                <w:rStyle w:val="Hyperlink"/>
                <w:rFonts w:ascii="Arial" w:hAnsi="Arial" w:cs="Arial"/>
                <w:b/>
                <w:bCs/>
                <w:noProof/>
              </w:rPr>
              <w:t>Return on Equity (ROE)</w:t>
            </w:r>
            <w:r>
              <w:rPr>
                <w:noProof/>
                <w:webHidden/>
              </w:rPr>
              <w:tab/>
            </w:r>
            <w:r>
              <w:rPr>
                <w:noProof/>
                <w:webHidden/>
              </w:rPr>
              <w:fldChar w:fldCharType="begin"/>
            </w:r>
            <w:r>
              <w:rPr>
                <w:noProof/>
                <w:webHidden/>
              </w:rPr>
              <w:instrText xml:space="preserve"> PAGEREF _Toc168608015 \h </w:instrText>
            </w:r>
            <w:r>
              <w:rPr>
                <w:noProof/>
                <w:webHidden/>
              </w:rPr>
            </w:r>
            <w:r>
              <w:rPr>
                <w:noProof/>
                <w:webHidden/>
              </w:rPr>
              <w:fldChar w:fldCharType="separate"/>
            </w:r>
            <w:r>
              <w:rPr>
                <w:noProof/>
                <w:webHidden/>
              </w:rPr>
              <w:t>5</w:t>
            </w:r>
            <w:r>
              <w:rPr>
                <w:noProof/>
                <w:webHidden/>
              </w:rPr>
              <w:fldChar w:fldCharType="end"/>
            </w:r>
          </w:hyperlink>
        </w:p>
        <w:p w14:paraId="19B13836" w14:textId="76B924E0" w:rsidR="00724BC4" w:rsidRDefault="00724BC4">
          <w:pPr>
            <w:pStyle w:val="TOC1"/>
            <w:tabs>
              <w:tab w:val="right" w:leader="dot" w:pos="9016"/>
            </w:tabs>
            <w:rPr>
              <w:rFonts w:eastAsiaTheme="minorEastAsia"/>
              <w:noProof/>
              <w:sz w:val="24"/>
              <w:szCs w:val="24"/>
              <w:lang w:eastAsia="en-GB"/>
            </w:rPr>
          </w:pPr>
          <w:hyperlink w:anchor="_Toc168608016" w:history="1">
            <w:r w:rsidRPr="00DE46C2">
              <w:rPr>
                <w:rStyle w:val="Hyperlink"/>
                <w:rFonts w:ascii="Arial" w:hAnsi="Arial" w:cs="Arial"/>
                <w:b/>
                <w:bCs/>
                <w:noProof/>
              </w:rPr>
              <w:t>Key Reasons for Decline</w:t>
            </w:r>
            <w:r>
              <w:rPr>
                <w:noProof/>
                <w:webHidden/>
              </w:rPr>
              <w:tab/>
            </w:r>
            <w:r>
              <w:rPr>
                <w:noProof/>
                <w:webHidden/>
              </w:rPr>
              <w:fldChar w:fldCharType="begin"/>
            </w:r>
            <w:r>
              <w:rPr>
                <w:noProof/>
                <w:webHidden/>
              </w:rPr>
              <w:instrText xml:space="preserve"> PAGEREF _Toc168608016 \h </w:instrText>
            </w:r>
            <w:r>
              <w:rPr>
                <w:noProof/>
                <w:webHidden/>
              </w:rPr>
            </w:r>
            <w:r>
              <w:rPr>
                <w:noProof/>
                <w:webHidden/>
              </w:rPr>
              <w:fldChar w:fldCharType="separate"/>
            </w:r>
            <w:r>
              <w:rPr>
                <w:noProof/>
                <w:webHidden/>
              </w:rPr>
              <w:t>6</w:t>
            </w:r>
            <w:r>
              <w:rPr>
                <w:noProof/>
                <w:webHidden/>
              </w:rPr>
              <w:fldChar w:fldCharType="end"/>
            </w:r>
          </w:hyperlink>
        </w:p>
        <w:p w14:paraId="3EC63FCA" w14:textId="6B2760FF" w:rsidR="00724BC4" w:rsidRDefault="00724BC4">
          <w:pPr>
            <w:pStyle w:val="TOC1"/>
            <w:tabs>
              <w:tab w:val="right" w:leader="dot" w:pos="9016"/>
            </w:tabs>
            <w:rPr>
              <w:rFonts w:eastAsiaTheme="minorEastAsia"/>
              <w:noProof/>
              <w:sz w:val="24"/>
              <w:szCs w:val="24"/>
              <w:lang w:eastAsia="en-GB"/>
            </w:rPr>
          </w:pPr>
          <w:hyperlink w:anchor="_Toc168608017" w:history="1">
            <w:r w:rsidRPr="00DE46C2">
              <w:rPr>
                <w:rStyle w:val="Hyperlink"/>
                <w:rFonts w:ascii="Arial" w:hAnsi="Arial" w:cs="Arial"/>
                <w:b/>
                <w:bCs/>
                <w:noProof/>
              </w:rPr>
              <w:t>Turnaround Strategy</w:t>
            </w:r>
            <w:r>
              <w:rPr>
                <w:noProof/>
                <w:webHidden/>
              </w:rPr>
              <w:tab/>
            </w:r>
            <w:r>
              <w:rPr>
                <w:noProof/>
                <w:webHidden/>
              </w:rPr>
              <w:fldChar w:fldCharType="begin"/>
            </w:r>
            <w:r>
              <w:rPr>
                <w:noProof/>
                <w:webHidden/>
              </w:rPr>
              <w:instrText xml:space="preserve"> PAGEREF _Toc168608017 \h </w:instrText>
            </w:r>
            <w:r>
              <w:rPr>
                <w:noProof/>
                <w:webHidden/>
              </w:rPr>
            </w:r>
            <w:r>
              <w:rPr>
                <w:noProof/>
                <w:webHidden/>
              </w:rPr>
              <w:fldChar w:fldCharType="separate"/>
            </w:r>
            <w:r>
              <w:rPr>
                <w:noProof/>
                <w:webHidden/>
              </w:rPr>
              <w:t>7</w:t>
            </w:r>
            <w:r>
              <w:rPr>
                <w:noProof/>
                <w:webHidden/>
              </w:rPr>
              <w:fldChar w:fldCharType="end"/>
            </w:r>
          </w:hyperlink>
        </w:p>
        <w:p w14:paraId="568A0FDC" w14:textId="12C53027" w:rsidR="00724BC4" w:rsidRDefault="00724BC4">
          <w:pPr>
            <w:pStyle w:val="TOC1"/>
            <w:tabs>
              <w:tab w:val="right" w:leader="dot" w:pos="9016"/>
            </w:tabs>
            <w:rPr>
              <w:rFonts w:eastAsiaTheme="minorEastAsia"/>
              <w:noProof/>
              <w:sz w:val="24"/>
              <w:szCs w:val="24"/>
              <w:lang w:eastAsia="en-GB"/>
            </w:rPr>
          </w:pPr>
          <w:hyperlink w:anchor="_Toc168608018" w:history="1">
            <w:r w:rsidRPr="00DE46C2">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_Toc168608018 \h </w:instrText>
            </w:r>
            <w:r>
              <w:rPr>
                <w:noProof/>
                <w:webHidden/>
              </w:rPr>
            </w:r>
            <w:r>
              <w:rPr>
                <w:noProof/>
                <w:webHidden/>
              </w:rPr>
              <w:fldChar w:fldCharType="separate"/>
            </w:r>
            <w:r>
              <w:rPr>
                <w:noProof/>
                <w:webHidden/>
              </w:rPr>
              <w:t>8</w:t>
            </w:r>
            <w:r>
              <w:rPr>
                <w:noProof/>
                <w:webHidden/>
              </w:rPr>
              <w:fldChar w:fldCharType="end"/>
            </w:r>
          </w:hyperlink>
        </w:p>
        <w:p w14:paraId="098F3ED8" w14:textId="1970955C" w:rsidR="00724BC4" w:rsidRDefault="00724BC4">
          <w:pPr>
            <w:pStyle w:val="TOC1"/>
            <w:tabs>
              <w:tab w:val="right" w:leader="dot" w:pos="9016"/>
            </w:tabs>
            <w:rPr>
              <w:rFonts w:eastAsiaTheme="minorEastAsia"/>
              <w:noProof/>
              <w:sz w:val="24"/>
              <w:szCs w:val="24"/>
              <w:lang w:eastAsia="en-GB"/>
            </w:rPr>
          </w:pPr>
          <w:hyperlink w:anchor="_Toc168608019" w:history="1">
            <w:r w:rsidRPr="00DE46C2">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_Toc168608019 \h </w:instrText>
            </w:r>
            <w:r>
              <w:rPr>
                <w:noProof/>
                <w:webHidden/>
              </w:rPr>
            </w:r>
            <w:r>
              <w:rPr>
                <w:noProof/>
                <w:webHidden/>
              </w:rPr>
              <w:fldChar w:fldCharType="separate"/>
            </w:r>
            <w:r>
              <w:rPr>
                <w:noProof/>
                <w:webHidden/>
              </w:rPr>
              <w:t>9</w:t>
            </w:r>
            <w:r>
              <w:rPr>
                <w:noProof/>
                <w:webHidden/>
              </w:rPr>
              <w:fldChar w:fldCharType="end"/>
            </w:r>
          </w:hyperlink>
        </w:p>
        <w:p w14:paraId="7B79A064" w14:textId="576AA8BA" w:rsidR="00075078" w:rsidRDefault="00075078">
          <w:r>
            <w:rPr>
              <w:b/>
              <w:bCs/>
              <w:noProof/>
            </w:rPr>
            <w:fldChar w:fldCharType="end"/>
          </w:r>
        </w:p>
      </w:sdtContent>
    </w:sdt>
    <w:p w14:paraId="37D842BD" w14:textId="77777777" w:rsidR="008F1E34" w:rsidRPr="00B26F39" w:rsidRDefault="008F1E34" w:rsidP="00B26F39">
      <w:pPr>
        <w:spacing w:line="360" w:lineRule="auto"/>
        <w:jc w:val="both"/>
        <w:rPr>
          <w:rFonts w:ascii="Arial" w:hAnsi="Arial" w:cs="Arial"/>
          <w:sz w:val="24"/>
          <w:szCs w:val="24"/>
        </w:rPr>
      </w:pPr>
    </w:p>
    <w:p w14:paraId="500D5E66" w14:textId="77777777" w:rsidR="008F1E34" w:rsidRPr="00B26F39" w:rsidRDefault="008F1E34" w:rsidP="00B26F39">
      <w:pPr>
        <w:spacing w:line="360" w:lineRule="auto"/>
        <w:jc w:val="both"/>
        <w:rPr>
          <w:rFonts w:ascii="Arial" w:hAnsi="Arial" w:cs="Arial"/>
          <w:sz w:val="24"/>
          <w:szCs w:val="24"/>
        </w:rPr>
      </w:pPr>
      <w:r w:rsidRPr="00B26F39">
        <w:rPr>
          <w:rFonts w:ascii="Arial" w:hAnsi="Arial" w:cs="Arial"/>
          <w:sz w:val="24"/>
          <w:szCs w:val="24"/>
        </w:rPr>
        <w:br w:type="page"/>
      </w:r>
    </w:p>
    <w:p w14:paraId="5B5772DD" w14:textId="00E8F0EB" w:rsidR="005F58CA" w:rsidRPr="00F55263" w:rsidRDefault="005F58CA" w:rsidP="0035546A">
      <w:pPr>
        <w:pStyle w:val="Heading1"/>
        <w:spacing w:line="360" w:lineRule="auto"/>
        <w:jc w:val="both"/>
        <w:rPr>
          <w:rFonts w:ascii="Arial" w:hAnsi="Arial" w:cs="Arial"/>
          <w:b/>
          <w:bCs/>
          <w:color w:val="auto"/>
          <w:sz w:val="24"/>
          <w:szCs w:val="24"/>
        </w:rPr>
      </w:pPr>
      <w:bookmarkStart w:id="0" w:name="_Toc168608008"/>
      <w:r w:rsidRPr="00F55263">
        <w:rPr>
          <w:rFonts w:ascii="Arial" w:hAnsi="Arial" w:cs="Arial"/>
          <w:b/>
          <w:bCs/>
          <w:color w:val="auto"/>
          <w:sz w:val="24"/>
          <w:szCs w:val="24"/>
        </w:rPr>
        <w:lastRenderedPageBreak/>
        <w:t>Introduction:</w:t>
      </w:r>
      <w:bookmarkEnd w:id="0"/>
    </w:p>
    <w:p w14:paraId="25979292" w14:textId="7E4AD675" w:rsidR="005F58CA" w:rsidRPr="00B26F39" w:rsidRDefault="00DB59A2" w:rsidP="00B26F39">
      <w:pPr>
        <w:spacing w:line="360" w:lineRule="auto"/>
        <w:jc w:val="both"/>
        <w:rPr>
          <w:rFonts w:ascii="Arial" w:hAnsi="Arial" w:cs="Arial"/>
          <w:sz w:val="24"/>
          <w:szCs w:val="24"/>
        </w:rPr>
      </w:pPr>
      <w:r w:rsidRPr="00B26F39">
        <w:rPr>
          <w:rFonts w:ascii="Arial" w:hAnsi="Arial" w:cs="Arial"/>
          <w:sz w:val="24"/>
          <w:szCs w:val="24"/>
        </w:rPr>
        <w:t>There are substantial issues that the Urban Heights Hotel is facing, including a decline in income, an increase in costs, and poor financial metrics, which raises questions about the hotel's capacity to be profitable in the long run. The purpose of this study is to examine the hotel's financial performance over the course of the past three years</w:t>
      </w:r>
      <w:r w:rsidR="008F1E34" w:rsidRPr="00B26F39">
        <w:rPr>
          <w:rFonts w:ascii="Arial" w:hAnsi="Arial" w:cs="Arial"/>
          <w:sz w:val="24"/>
          <w:szCs w:val="24"/>
        </w:rPr>
        <w:t xml:space="preserve"> (</w:t>
      </w:r>
      <w:r w:rsidR="0076184B" w:rsidRPr="00B26F39">
        <w:rPr>
          <w:rFonts w:ascii="Arial" w:hAnsi="Arial" w:cs="Arial"/>
          <w:sz w:val="24"/>
          <w:szCs w:val="24"/>
        </w:rPr>
        <w:t>Gallagher &amp; Mohan, 2024)</w:t>
      </w:r>
      <w:r w:rsidRPr="00B26F39">
        <w:rPr>
          <w:rFonts w:ascii="Arial" w:hAnsi="Arial" w:cs="Arial"/>
          <w:sz w:val="24"/>
          <w:szCs w:val="24"/>
        </w:rPr>
        <w:t>, investigate the factors that led to the decrease, and make a recommendation for a turnaround strategy that will result in the revitalization of the business. A quantitative perspective on the hotel's financial health will be provided by the utilisation of financial analysis ratios</w:t>
      </w:r>
      <w:r w:rsidR="00CE7867" w:rsidRPr="00B26F39">
        <w:rPr>
          <w:rFonts w:ascii="Arial" w:hAnsi="Arial" w:cs="Arial"/>
          <w:sz w:val="24"/>
          <w:szCs w:val="24"/>
        </w:rPr>
        <w:t xml:space="preserve"> (Corporate Finance Institute</w:t>
      </w:r>
      <w:r w:rsidR="001240F2" w:rsidRPr="00B26F39">
        <w:rPr>
          <w:rFonts w:ascii="Arial" w:hAnsi="Arial" w:cs="Arial"/>
          <w:sz w:val="24"/>
          <w:szCs w:val="24"/>
        </w:rPr>
        <w:t>, No Date)</w:t>
      </w:r>
      <w:r w:rsidRPr="00B26F39">
        <w:rPr>
          <w:rFonts w:ascii="Arial" w:hAnsi="Arial" w:cs="Arial"/>
          <w:sz w:val="24"/>
          <w:szCs w:val="24"/>
        </w:rPr>
        <w:t>, in addition to the qualitative recommendations that will be utilised to evaluate liquidity, solvency, profitability, and efficiency.</w:t>
      </w:r>
    </w:p>
    <w:p w14:paraId="42DEB0F3" w14:textId="17DB1DAC" w:rsidR="005F58CA" w:rsidRPr="00F55263" w:rsidRDefault="005F58CA" w:rsidP="0035546A">
      <w:pPr>
        <w:pStyle w:val="Heading1"/>
        <w:spacing w:line="360" w:lineRule="auto"/>
        <w:jc w:val="both"/>
        <w:rPr>
          <w:rFonts w:ascii="Arial" w:hAnsi="Arial" w:cs="Arial"/>
          <w:b/>
          <w:bCs/>
          <w:color w:val="auto"/>
          <w:sz w:val="24"/>
          <w:szCs w:val="24"/>
        </w:rPr>
      </w:pPr>
      <w:bookmarkStart w:id="1" w:name="_Toc168608009"/>
      <w:r w:rsidRPr="00F55263">
        <w:rPr>
          <w:rFonts w:ascii="Arial" w:hAnsi="Arial" w:cs="Arial"/>
          <w:b/>
          <w:bCs/>
          <w:color w:val="auto"/>
          <w:sz w:val="24"/>
          <w:szCs w:val="24"/>
        </w:rPr>
        <w:t>Financial Performance Analysis:</w:t>
      </w:r>
      <w:bookmarkEnd w:id="1"/>
    </w:p>
    <w:p w14:paraId="0A25E5AB" w14:textId="35BB906B" w:rsidR="00CD71CE" w:rsidRPr="00B26F39" w:rsidRDefault="00CD71CE" w:rsidP="00B26F39">
      <w:pPr>
        <w:pStyle w:val="ListParagraph"/>
        <w:numPr>
          <w:ilvl w:val="0"/>
          <w:numId w:val="7"/>
        </w:numPr>
        <w:spacing w:line="360" w:lineRule="auto"/>
        <w:jc w:val="both"/>
        <w:rPr>
          <w:rFonts w:ascii="Arial" w:hAnsi="Arial" w:cs="Arial"/>
          <w:sz w:val="24"/>
          <w:szCs w:val="24"/>
        </w:rPr>
      </w:pPr>
      <w:r w:rsidRPr="00B26F39">
        <w:rPr>
          <w:rFonts w:ascii="Arial" w:hAnsi="Arial" w:cs="Arial"/>
          <w:sz w:val="24"/>
          <w:szCs w:val="24"/>
        </w:rPr>
        <w:t>Revenue Trends: Due to a hard operating climate</w:t>
      </w:r>
      <w:r w:rsidR="00802D95" w:rsidRPr="00B26F39">
        <w:rPr>
          <w:rFonts w:ascii="Arial" w:hAnsi="Arial" w:cs="Arial"/>
          <w:sz w:val="24"/>
          <w:szCs w:val="24"/>
        </w:rPr>
        <w:t xml:space="preserve"> (Department for Business and Trade</w:t>
      </w:r>
      <w:r w:rsidR="000D65AE" w:rsidRPr="00B26F39">
        <w:rPr>
          <w:rFonts w:ascii="Arial" w:hAnsi="Arial" w:cs="Arial"/>
          <w:sz w:val="24"/>
          <w:szCs w:val="24"/>
        </w:rPr>
        <w:t>, 2023)</w:t>
      </w:r>
      <w:r w:rsidRPr="00B26F39">
        <w:rPr>
          <w:rFonts w:ascii="Arial" w:hAnsi="Arial" w:cs="Arial"/>
          <w:sz w:val="24"/>
          <w:szCs w:val="24"/>
        </w:rPr>
        <w:t xml:space="preserve"> and the need for strategic revenue development, the Urban Heights Hotel's income has slowly decreased from £2,500,000 in 2021 to £1,800,000 in 2023. Revenue fell 28% between 2021 and 2023. This fall may be due to lower occupancy rates and hotel prices. </w:t>
      </w:r>
    </w:p>
    <w:p w14:paraId="6AE8862B" w14:textId="77777777" w:rsidR="00CD71CE" w:rsidRPr="00B26F39" w:rsidRDefault="00CD71CE" w:rsidP="00B26F39">
      <w:pPr>
        <w:pStyle w:val="ListParagraph"/>
        <w:numPr>
          <w:ilvl w:val="0"/>
          <w:numId w:val="7"/>
        </w:numPr>
        <w:spacing w:line="360" w:lineRule="auto"/>
        <w:jc w:val="both"/>
        <w:rPr>
          <w:rFonts w:ascii="Arial" w:hAnsi="Arial" w:cs="Arial"/>
          <w:sz w:val="24"/>
          <w:szCs w:val="24"/>
        </w:rPr>
      </w:pPr>
      <w:r w:rsidRPr="00B26F39">
        <w:rPr>
          <w:rFonts w:ascii="Arial" w:hAnsi="Arial" w:cs="Arial"/>
          <w:sz w:val="24"/>
          <w:szCs w:val="24"/>
        </w:rPr>
        <w:t>Costs and Profit: Operating expenses have increased faster than sales, lowering profitability. Net income fell from £700,000 in 2021 to (£500,000) in 2023 (Creates, 2017), emphasising the need for cost control and operational efficiency. Operating expenses rose 28% between 2021 and 2023. The hotel's profitability has suffered from rising expenses and falling income.</w:t>
      </w:r>
    </w:p>
    <w:p w14:paraId="1AECA91D" w14:textId="699DC1EB" w:rsidR="005F58CA" w:rsidRPr="00B26F39" w:rsidRDefault="00CD71CE" w:rsidP="00B26F39">
      <w:pPr>
        <w:pStyle w:val="ListParagraph"/>
        <w:numPr>
          <w:ilvl w:val="0"/>
          <w:numId w:val="7"/>
        </w:numPr>
        <w:spacing w:line="360" w:lineRule="auto"/>
        <w:jc w:val="both"/>
        <w:rPr>
          <w:rFonts w:ascii="Arial" w:hAnsi="Arial" w:cs="Arial"/>
          <w:sz w:val="24"/>
          <w:szCs w:val="24"/>
        </w:rPr>
      </w:pPr>
      <w:r w:rsidRPr="00B26F39">
        <w:rPr>
          <w:rFonts w:ascii="Arial" w:hAnsi="Arial" w:cs="Arial"/>
          <w:sz w:val="24"/>
          <w:szCs w:val="24"/>
        </w:rPr>
        <w:t>Liquidity and Solvency: A reduction in cash and equivalents, accounts receivable, and equity and a constant long-term debt indicate liquidity and solvency issues. Equity decreased from £2,200,000 in 2021 to £1,380,000 in 2023, raising concerns about the hotel's ability to meet long-term obligations and preserve financial stability</w:t>
      </w:r>
      <w:r w:rsidR="00CD05A7" w:rsidRPr="00B26F39">
        <w:rPr>
          <w:rFonts w:ascii="Arial" w:hAnsi="Arial" w:cs="Arial"/>
          <w:sz w:val="24"/>
          <w:szCs w:val="24"/>
        </w:rPr>
        <w:t xml:space="preserve"> (Merrit</w:t>
      </w:r>
      <w:r w:rsidR="001D1168" w:rsidRPr="00B26F39">
        <w:rPr>
          <w:rFonts w:ascii="Arial" w:hAnsi="Arial" w:cs="Arial"/>
          <w:sz w:val="24"/>
          <w:szCs w:val="24"/>
        </w:rPr>
        <w:t>t</w:t>
      </w:r>
      <w:r w:rsidR="00CD05A7" w:rsidRPr="00B26F39">
        <w:rPr>
          <w:rFonts w:ascii="Arial" w:hAnsi="Arial" w:cs="Arial"/>
          <w:sz w:val="24"/>
          <w:szCs w:val="24"/>
        </w:rPr>
        <w:t>, 2021)</w:t>
      </w:r>
      <w:r w:rsidRPr="00B26F39">
        <w:rPr>
          <w:rFonts w:ascii="Arial" w:hAnsi="Arial" w:cs="Arial"/>
          <w:sz w:val="24"/>
          <w:szCs w:val="24"/>
        </w:rPr>
        <w:t>.</w:t>
      </w:r>
    </w:p>
    <w:p w14:paraId="04207117" w14:textId="5C94FEED" w:rsidR="005F58CA" w:rsidRPr="00F55263" w:rsidRDefault="005F58CA" w:rsidP="0035546A">
      <w:pPr>
        <w:pStyle w:val="Heading1"/>
        <w:spacing w:line="360" w:lineRule="auto"/>
        <w:jc w:val="both"/>
        <w:rPr>
          <w:rFonts w:ascii="Arial" w:hAnsi="Arial" w:cs="Arial"/>
          <w:b/>
          <w:bCs/>
          <w:color w:val="auto"/>
          <w:sz w:val="24"/>
          <w:szCs w:val="24"/>
        </w:rPr>
      </w:pPr>
      <w:bookmarkStart w:id="2" w:name="_Toc168608010"/>
      <w:r w:rsidRPr="00F55263">
        <w:rPr>
          <w:rFonts w:ascii="Arial" w:hAnsi="Arial" w:cs="Arial"/>
          <w:b/>
          <w:bCs/>
          <w:color w:val="auto"/>
          <w:sz w:val="24"/>
          <w:szCs w:val="24"/>
        </w:rPr>
        <w:t>Financial Analysis Ratios:</w:t>
      </w:r>
      <w:bookmarkEnd w:id="2"/>
    </w:p>
    <w:p w14:paraId="6B9F31A1" w14:textId="46EE3641" w:rsidR="005F58CA" w:rsidRPr="00F608C2" w:rsidRDefault="005F58CA" w:rsidP="00F608C2">
      <w:pPr>
        <w:pStyle w:val="ListParagraph"/>
        <w:numPr>
          <w:ilvl w:val="0"/>
          <w:numId w:val="8"/>
        </w:numPr>
        <w:spacing w:line="360" w:lineRule="auto"/>
        <w:jc w:val="both"/>
        <w:rPr>
          <w:rFonts w:ascii="Arial" w:hAnsi="Arial" w:cs="Arial"/>
          <w:sz w:val="24"/>
          <w:szCs w:val="24"/>
        </w:rPr>
      </w:pPr>
      <w:bookmarkStart w:id="3" w:name="_Toc168608011"/>
      <w:r w:rsidRPr="00F55263">
        <w:rPr>
          <w:rStyle w:val="Heading2Char"/>
          <w:rFonts w:ascii="Arial" w:hAnsi="Arial" w:cs="Arial"/>
          <w:b/>
          <w:bCs/>
          <w:color w:val="auto"/>
          <w:sz w:val="24"/>
          <w:szCs w:val="24"/>
        </w:rPr>
        <w:t>Current Ratio</w:t>
      </w:r>
      <w:bookmarkEnd w:id="3"/>
      <w:r w:rsidRPr="00F608C2">
        <w:rPr>
          <w:rStyle w:val="SubtitleChar"/>
          <w:sz w:val="24"/>
          <w:szCs w:val="24"/>
        </w:rPr>
        <w:t>:</w:t>
      </w:r>
      <w:r w:rsidRPr="00F608C2">
        <w:rPr>
          <w:rFonts w:ascii="Arial" w:hAnsi="Arial" w:cs="Arial"/>
          <w:sz w:val="24"/>
          <w:szCs w:val="24"/>
        </w:rPr>
        <w:t xml:space="preserve"> </w:t>
      </w:r>
      <w:r w:rsidR="00BD45C3" w:rsidRPr="00F608C2">
        <w:rPr>
          <w:rFonts w:ascii="Arial" w:hAnsi="Arial" w:cs="Arial"/>
          <w:sz w:val="24"/>
          <w:szCs w:val="24"/>
        </w:rPr>
        <w:t>Current ratio evaluates hotel's capacity to cover short-term liabilities with current assets</w:t>
      </w:r>
      <w:r w:rsidR="00692F41" w:rsidRPr="00F608C2">
        <w:rPr>
          <w:rFonts w:ascii="Arial" w:hAnsi="Arial" w:cs="Arial"/>
          <w:sz w:val="24"/>
          <w:szCs w:val="24"/>
        </w:rPr>
        <w:t xml:space="preserve"> (Javed, 2023)</w:t>
      </w:r>
      <w:r w:rsidR="00BD45C3" w:rsidRPr="00F608C2">
        <w:rPr>
          <w:rFonts w:ascii="Arial" w:hAnsi="Arial" w:cs="Arial"/>
          <w:sz w:val="24"/>
          <w:szCs w:val="24"/>
        </w:rPr>
        <w:t xml:space="preserve">.  We'll include cash and accounts receivable in our hotel's current assets. Current obligations will be examined in </w:t>
      </w:r>
      <w:r w:rsidR="00BD45C3" w:rsidRPr="00F608C2">
        <w:rPr>
          <w:rFonts w:ascii="Arial" w:hAnsi="Arial" w:cs="Arial"/>
          <w:sz w:val="24"/>
          <w:szCs w:val="24"/>
        </w:rPr>
        <w:lastRenderedPageBreak/>
        <w:t>this paper: Accounts payable. A falling current ratio may suggest liquidity issues. The current ratio is current assets divided by current liabilities.</w:t>
      </w:r>
    </w:p>
    <w:p w14:paraId="6ACE4526" w14:textId="10E00D88" w:rsidR="009C00DC" w:rsidRPr="00B26F39" w:rsidRDefault="009C00DC" w:rsidP="00B26F39">
      <w:pPr>
        <w:pStyle w:val="ListParagraph"/>
        <w:numPr>
          <w:ilvl w:val="0"/>
          <w:numId w:val="6"/>
        </w:numPr>
        <w:spacing w:line="360" w:lineRule="auto"/>
        <w:jc w:val="both"/>
        <w:rPr>
          <w:rFonts w:ascii="Arial" w:hAnsi="Arial" w:cs="Arial"/>
          <w:sz w:val="24"/>
          <w:szCs w:val="24"/>
        </w:rPr>
      </w:pPr>
      <w:r w:rsidRPr="00B26F39">
        <w:rPr>
          <w:rFonts w:ascii="Arial" w:hAnsi="Arial" w:cs="Arial"/>
          <w:sz w:val="24"/>
          <w:szCs w:val="24"/>
        </w:rPr>
        <w:t>2021 (Current Ratio of 1.8): The hotel's current assets were £1.80 for every £1.00 in current liabilities in 2021. This implies a sizable safety net to meet immediate obligations, demonstrating sound liquidity and financial stability</w:t>
      </w:r>
      <w:r w:rsidR="005F10EF" w:rsidRPr="00B26F39">
        <w:rPr>
          <w:rFonts w:ascii="Arial" w:hAnsi="Arial" w:cs="Arial"/>
          <w:sz w:val="24"/>
          <w:szCs w:val="24"/>
        </w:rPr>
        <w:t xml:space="preserve"> (Gallo, </w:t>
      </w:r>
      <w:r w:rsidR="001B6C86" w:rsidRPr="00B26F39">
        <w:rPr>
          <w:rFonts w:ascii="Arial" w:hAnsi="Arial" w:cs="Arial"/>
          <w:sz w:val="24"/>
          <w:szCs w:val="24"/>
        </w:rPr>
        <w:t>2015)</w:t>
      </w:r>
      <w:r w:rsidRPr="00B26F39">
        <w:rPr>
          <w:rFonts w:ascii="Arial" w:hAnsi="Arial" w:cs="Arial"/>
          <w:sz w:val="24"/>
          <w:szCs w:val="24"/>
        </w:rPr>
        <w:t>. The hotel was well-equipped to manage unanticipated costs and financial obstacles.</w:t>
      </w:r>
    </w:p>
    <w:p w14:paraId="063FA9D6" w14:textId="77777777" w:rsidR="009C00DC" w:rsidRPr="00B26F39" w:rsidRDefault="009C00DC" w:rsidP="00B26F39">
      <w:pPr>
        <w:pStyle w:val="ListParagraph"/>
        <w:numPr>
          <w:ilvl w:val="0"/>
          <w:numId w:val="6"/>
        </w:numPr>
        <w:spacing w:line="360" w:lineRule="auto"/>
        <w:jc w:val="both"/>
        <w:rPr>
          <w:rFonts w:ascii="Arial" w:hAnsi="Arial" w:cs="Arial"/>
          <w:sz w:val="24"/>
          <w:szCs w:val="24"/>
        </w:rPr>
      </w:pPr>
      <w:r w:rsidRPr="00B26F39">
        <w:rPr>
          <w:rFonts w:ascii="Arial" w:hAnsi="Arial" w:cs="Arial"/>
          <w:sz w:val="24"/>
          <w:szCs w:val="24"/>
        </w:rPr>
        <w:t>2022 (Current Ratio of 1.1): The current ratio fell to 1.1 by that year. This suggests a decrease in liquidity as the hotel's current assets were just 1.1 times its current liabilities. Even with a significantly smaller margin, the hotel still had enough assets to meet its liabilities. This might result in possible problems with cash flow if the hotel experienced unforeseen costs or a decline in revenue.</w:t>
      </w:r>
    </w:p>
    <w:p w14:paraId="1101C617" w14:textId="1151F000" w:rsidR="003A676C" w:rsidRPr="00B26F39" w:rsidRDefault="009C00DC" w:rsidP="00B26F39">
      <w:pPr>
        <w:pStyle w:val="ListParagraph"/>
        <w:numPr>
          <w:ilvl w:val="0"/>
          <w:numId w:val="6"/>
        </w:numPr>
        <w:spacing w:line="360" w:lineRule="auto"/>
        <w:jc w:val="both"/>
        <w:rPr>
          <w:rFonts w:ascii="Arial" w:hAnsi="Arial" w:cs="Arial"/>
          <w:sz w:val="24"/>
          <w:szCs w:val="24"/>
        </w:rPr>
      </w:pPr>
      <w:r w:rsidRPr="00B26F39">
        <w:rPr>
          <w:rFonts w:ascii="Arial" w:hAnsi="Arial" w:cs="Arial"/>
          <w:sz w:val="24"/>
          <w:szCs w:val="24"/>
        </w:rPr>
        <w:t>2023 (Current Ratio of 0.6): The hotel had only £0.60 in current assets for every £1.00 in current liabilities as the current ratio dropped to 0.6 in 2023. This suggests a liquidity dilemma for the hotel since it shows insufficient short-term assets to pay its short-term creditors</w:t>
      </w:r>
      <w:r w:rsidR="00655A43" w:rsidRPr="00B26F39">
        <w:rPr>
          <w:rFonts w:ascii="Arial" w:hAnsi="Arial" w:cs="Arial"/>
          <w:sz w:val="24"/>
          <w:szCs w:val="24"/>
        </w:rPr>
        <w:t xml:space="preserve"> (Holyk</w:t>
      </w:r>
      <w:r w:rsidR="008249AD" w:rsidRPr="00B26F39">
        <w:rPr>
          <w:rFonts w:ascii="Arial" w:hAnsi="Arial" w:cs="Arial"/>
          <w:sz w:val="24"/>
          <w:szCs w:val="24"/>
        </w:rPr>
        <w:t>, 2024)</w:t>
      </w:r>
      <w:r w:rsidRPr="00B26F39">
        <w:rPr>
          <w:rFonts w:ascii="Arial" w:hAnsi="Arial" w:cs="Arial"/>
          <w:sz w:val="24"/>
          <w:szCs w:val="24"/>
        </w:rPr>
        <w:t>. The hotel can find it difficult to fulfil its immediate responsibilities, such</w:t>
      </w:r>
      <w:r w:rsidR="00EB314A" w:rsidRPr="00B26F39">
        <w:rPr>
          <w:rFonts w:ascii="Arial" w:hAnsi="Arial" w:cs="Arial"/>
          <w:sz w:val="24"/>
          <w:szCs w:val="24"/>
        </w:rPr>
        <w:t xml:space="preserve"> as</w:t>
      </w:r>
      <w:r w:rsidRPr="00B26F39">
        <w:rPr>
          <w:rFonts w:ascii="Arial" w:hAnsi="Arial" w:cs="Arial"/>
          <w:sz w:val="24"/>
          <w:szCs w:val="24"/>
        </w:rPr>
        <w:t xml:space="preserve"> paying employees, vendors, and other running costs. Serious operational and financial problems could result from this circumstance.</w:t>
      </w:r>
    </w:p>
    <w:p w14:paraId="553FE91E" w14:textId="1D953158" w:rsidR="005F58CA" w:rsidRPr="00F608C2" w:rsidRDefault="005F58CA" w:rsidP="00F608C2">
      <w:pPr>
        <w:pStyle w:val="ListParagraph"/>
        <w:numPr>
          <w:ilvl w:val="0"/>
          <w:numId w:val="8"/>
        </w:numPr>
        <w:spacing w:line="360" w:lineRule="auto"/>
        <w:jc w:val="both"/>
        <w:rPr>
          <w:rFonts w:ascii="Arial" w:hAnsi="Arial" w:cs="Arial"/>
          <w:sz w:val="24"/>
          <w:szCs w:val="24"/>
        </w:rPr>
      </w:pPr>
      <w:bookmarkStart w:id="4" w:name="_Toc168608012"/>
      <w:r w:rsidRPr="00F55263">
        <w:rPr>
          <w:rStyle w:val="Heading2Char"/>
          <w:rFonts w:ascii="Arial" w:hAnsi="Arial" w:cs="Arial"/>
          <w:b/>
          <w:bCs/>
          <w:color w:val="auto"/>
          <w:sz w:val="24"/>
          <w:szCs w:val="24"/>
        </w:rPr>
        <w:t>Quick Ratio</w:t>
      </w:r>
      <w:bookmarkEnd w:id="4"/>
      <w:r w:rsidRPr="00F608C2">
        <w:rPr>
          <w:rFonts w:ascii="Arial" w:hAnsi="Arial" w:cs="Arial"/>
          <w:sz w:val="24"/>
          <w:szCs w:val="24"/>
        </w:rPr>
        <w:t xml:space="preserve">: </w:t>
      </w:r>
      <w:r w:rsidR="00327CEA" w:rsidRPr="00F608C2">
        <w:rPr>
          <w:rFonts w:ascii="Arial" w:hAnsi="Arial" w:cs="Arial"/>
          <w:sz w:val="24"/>
          <w:szCs w:val="24"/>
        </w:rPr>
        <w:t>The quick ratio excludes accounts receivable from current assets to measure the hotel's immediate liquidity. The quick ratio measures liquidity more strictly than the current ratio since it excludes inventory and other less liquid current assets</w:t>
      </w:r>
      <w:r w:rsidR="00F26286" w:rsidRPr="00F608C2">
        <w:rPr>
          <w:rFonts w:ascii="Arial" w:hAnsi="Arial" w:cs="Arial"/>
          <w:sz w:val="24"/>
          <w:szCs w:val="24"/>
        </w:rPr>
        <w:t xml:space="preserve"> (</w:t>
      </w:r>
      <w:r w:rsidR="0058264F" w:rsidRPr="00F608C2">
        <w:rPr>
          <w:rFonts w:ascii="Arial" w:hAnsi="Arial" w:cs="Arial"/>
          <w:sz w:val="24"/>
          <w:szCs w:val="24"/>
        </w:rPr>
        <w:t>Girsch-Bock, 2024)</w:t>
      </w:r>
      <w:r w:rsidR="00327CEA" w:rsidRPr="00F608C2">
        <w:rPr>
          <w:rFonts w:ascii="Arial" w:hAnsi="Arial" w:cs="Arial"/>
          <w:sz w:val="24"/>
          <w:szCs w:val="24"/>
        </w:rPr>
        <w:t>. A low quick ratio suggests short-term obligations may be challenging</w:t>
      </w:r>
      <w:r w:rsidR="008F4A60" w:rsidRPr="00F608C2">
        <w:rPr>
          <w:rFonts w:ascii="Arial" w:hAnsi="Arial" w:cs="Arial"/>
          <w:sz w:val="24"/>
          <w:szCs w:val="24"/>
        </w:rPr>
        <w:t xml:space="preserve"> (Accounting Professor, 2023)</w:t>
      </w:r>
      <w:r w:rsidR="00327CEA" w:rsidRPr="00F608C2">
        <w:rPr>
          <w:rFonts w:ascii="Arial" w:hAnsi="Arial" w:cs="Arial"/>
          <w:sz w:val="24"/>
          <w:szCs w:val="24"/>
        </w:rPr>
        <w:t>. Urban Heights Hotel's quick ratio is Cash and Equivalents divided by current liabilities.</w:t>
      </w:r>
    </w:p>
    <w:p w14:paraId="6D91BEDC" w14:textId="6023DAE9" w:rsidR="000530DD" w:rsidRPr="00B26F39" w:rsidRDefault="000530DD" w:rsidP="00B26F39">
      <w:pPr>
        <w:pStyle w:val="ListParagraph"/>
        <w:numPr>
          <w:ilvl w:val="0"/>
          <w:numId w:val="5"/>
        </w:numPr>
        <w:spacing w:line="360" w:lineRule="auto"/>
        <w:jc w:val="both"/>
        <w:rPr>
          <w:rFonts w:ascii="Arial" w:hAnsi="Arial" w:cs="Arial"/>
          <w:sz w:val="24"/>
          <w:szCs w:val="24"/>
        </w:rPr>
      </w:pPr>
      <w:r w:rsidRPr="00B26F39">
        <w:rPr>
          <w:rFonts w:ascii="Arial" w:hAnsi="Arial" w:cs="Arial"/>
          <w:sz w:val="24"/>
          <w:szCs w:val="24"/>
        </w:rPr>
        <w:t>2021 (Quick Ratio of 1.2): The hotel's quick assets</w:t>
      </w:r>
      <w:r w:rsidR="005F5254" w:rsidRPr="00B26F39">
        <w:rPr>
          <w:rFonts w:ascii="Arial" w:hAnsi="Arial" w:cs="Arial"/>
          <w:sz w:val="24"/>
          <w:szCs w:val="24"/>
        </w:rPr>
        <w:t xml:space="preserve"> (CFI Team, No Date)</w:t>
      </w:r>
      <w:r w:rsidRPr="00B26F39">
        <w:rPr>
          <w:rFonts w:ascii="Arial" w:hAnsi="Arial" w:cs="Arial"/>
          <w:sz w:val="24"/>
          <w:szCs w:val="24"/>
        </w:rPr>
        <w:t>, which included cash and easily convertible receivables, exceeded its current liabilities by 1.2 times. This suggests that the hotel has good liquidity, which means it won't have to sell any merchandise to pay for its immediate obligations.</w:t>
      </w:r>
    </w:p>
    <w:p w14:paraId="0B53EF38" w14:textId="12E979A8" w:rsidR="000530DD" w:rsidRPr="00B26F39" w:rsidRDefault="000530DD" w:rsidP="00B26F39">
      <w:pPr>
        <w:pStyle w:val="ListParagraph"/>
        <w:numPr>
          <w:ilvl w:val="0"/>
          <w:numId w:val="5"/>
        </w:numPr>
        <w:spacing w:line="360" w:lineRule="auto"/>
        <w:jc w:val="both"/>
        <w:rPr>
          <w:rFonts w:ascii="Arial" w:hAnsi="Arial" w:cs="Arial"/>
          <w:sz w:val="24"/>
          <w:szCs w:val="24"/>
        </w:rPr>
      </w:pPr>
      <w:r w:rsidRPr="00B26F39">
        <w:rPr>
          <w:rFonts w:ascii="Arial" w:hAnsi="Arial" w:cs="Arial"/>
          <w:sz w:val="24"/>
          <w:szCs w:val="24"/>
        </w:rPr>
        <w:t>2022 (Quick Ratio of 0.7): The hotel's quick assets could only pay 70% of its current liabilities by 2022, when the quick ratio fell to 0.7. This points to possible emerging liquidity problems, as the hotel becomes more dependent on its inventory and other less liquid assets to pay its debts</w:t>
      </w:r>
      <w:r w:rsidR="002D049F" w:rsidRPr="00B26F39">
        <w:rPr>
          <w:rFonts w:ascii="Arial" w:hAnsi="Arial" w:cs="Arial"/>
          <w:sz w:val="24"/>
          <w:szCs w:val="24"/>
        </w:rPr>
        <w:t xml:space="preserve"> (Inspired Economist, 2023)</w:t>
      </w:r>
      <w:r w:rsidRPr="00B26F39">
        <w:rPr>
          <w:rFonts w:ascii="Arial" w:hAnsi="Arial" w:cs="Arial"/>
          <w:sz w:val="24"/>
          <w:szCs w:val="24"/>
        </w:rPr>
        <w:t>.</w:t>
      </w:r>
    </w:p>
    <w:p w14:paraId="784AFA54" w14:textId="2E0CDD09" w:rsidR="00972E6D" w:rsidRPr="00B26F39" w:rsidRDefault="000530DD" w:rsidP="00B26F39">
      <w:pPr>
        <w:pStyle w:val="ListParagraph"/>
        <w:numPr>
          <w:ilvl w:val="0"/>
          <w:numId w:val="5"/>
        </w:numPr>
        <w:spacing w:line="360" w:lineRule="auto"/>
        <w:jc w:val="both"/>
        <w:rPr>
          <w:rFonts w:ascii="Arial" w:hAnsi="Arial" w:cs="Arial"/>
          <w:sz w:val="24"/>
          <w:szCs w:val="24"/>
        </w:rPr>
      </w:pPr>
      <w:r w:rsidRPr="00B26F39">
        <w:rPr>
          <w:rFonts w:ascii="Arial" w:hAnsi="Arial" w:cs="Arial"/>
          <w:sz w:val="24"/>
          <w:szCs w:val="24"/>
        </w:rPr>
        <w:lastRenderedPageBreak/>
        <w:t>2023 (Quick Ratio of 0.3): The hotel's quick assets could barely cover 30% of its existing liabilities by 2023, as the quick ratio further decreased to 0.3. This is a blatant indication of serious liquidity issues.</w:t>
      </w:r>
    </w:p>
    <w:p w14:paraId="0FDF18DD" w14:textId="67A5AF77" w:rsidR="005F58CA" w:rsidRPr="00F608C2" w:rsidRDefault="005F58CA" w:rsidP="00F608C2">
      <w:pPr>
        <w:pStyle w:val="ListParagraph"/>
        <w:numPr>
          <w:ilvl w:val="0"/>
          <w:numId w:val="8"/>
        </w:numPr>
        <w:spacing w:line="360" w:lineRule="auto"/>
        <w:jc w:val="both"/>
        <w:rPr>
          <w:rFonts w:ascii="Arial" w:hAnsi="Arial" w:cs="Arial"/>
          <w:sz w:val="24"/>
          <w:szCs w:val="24"/>
        </w:rPr>
      </w:pPr>
      <w:bookmarkStart w:id="5" w:name="_Toc168608013"/>
      <w:r w:rsidRPr="00F55263">
        <w:rPr>
          <w:rStyle w:val="Heading2Char"/>
          <w:rFonts w:ascii="Arial" w:hAnsi="Arial" w:cs="Arial"/>
          <w:b/>
          <w:bCs/>
          <w:color w:val="auto"/>
          <w:sz w:val="24"/>
          <w:szCs w:val="24"/>
        </w:rPr>
        <w:t>Debt-to-Equity Ratio</w:t>
      </w:r>
      <w:bookmarkEnd w:id="5"/>
      <w:r w:rsidRPr="00F608C2">
        <w:rPr>
          <w:rFonts w:ascii="Arial" w:hAnsi="Arial" w:cs="Arial"/>
          <w:sz w:val="24"/>
          <w:szCs w:val="24"/>
        </w:rPr>
        <w:t xml:space="preserve">: </w:t>
      </w:r>
      <w:r w:rsidR="006E42CA" w:rsidRPr="00F608C2">
        <w:rPr>
          <w:rFonts w:ascii="Arial" w:hAnsi="Arial" w:cs="Arial"/>
          <w:sz w:val="24"/>
          <w:szCs w:val="24"/>
        </w:rPr>
        <w:t>In the hotel's financial structure, the debt-to-equity ratio measures loan financing to equity financing</w:t>
      </w:r>
      <w:r w:rsidR="0071488A" w:rsidRPr="00F608C2">
        <w:rPr>
          <w:rFonts w:ascii="Arial" w:hAnsi="Arial" w:cs="Arial"/>
          <w:sz w:val="24"/>
          <w:szCs w:val="24"/>
        </w:rPr>
        <w:t xml:space="preserve"> (Taylor, 20</w:t>
      </w:r>
      <w:r w:rsidR="005B2F7C" w:rsidRPr="00F608C2">
        <w:rPr>
          <w:rFonts w:ascii="Arial" w:hAnsi="Arial" w:cs="Arial"/>
          <w:sz w:val="24"/>
          <w:szCs w:val="24"/>
        </w:rPr>
        <w:t>22)</w:t>
      </w:r>
      <w:r w:rsidR="006E42CA" w:rsidRPr="00F608C2">
        <w:rPr>
          <w:rFonts w:ascii="Arial" w:hAnsi="Arial" w:cs="Arial"/>
          <w:sz w:val="24"/>
          <w:szCs w:val="24"/>
        </w:rPr>
        <w:t xml:space="preserve">. A rising ratio may suggest financial risk and leverage. The next section will determine the debt-to-equity ratio by dividing all long-term </w:t>
      </w:r>
      <w:r w:rsidR="00FD0282" w:rsidRPr="00F608C2">
        <w:rPr>
          <w:rFonts w:ascii="Arial" w:hAnsi="Arial" w:cs="Arial"/>
          <w:sz w:val="24"/>
          <w:szCs w:val="24"/>
        </w:rPr>
        <w:t>liabilities</w:t>
      </w:r>
      <w:r w:rsidR="006E42CA" w:rsidRPr="00F608C2">
        <w:rPr>
          <w:rFonts w:ascii="Arial" w:hAnsi="Arial" w:cs="Arial"/>
          <w:sz w:val="24"/>
          <w:szCs w:val="24"/>
        </w:rPr>
        <w:t xml:space="preserve"> by equity.</w:t>
      </w:r>
    </w:p>
    <w:p w14:paraId="4C33AF7A" w14:textId="77777777" w:rsidR="000D435D" w:rsidRPr="00B26F39" w:rsidRDefault="000D435D" w:rsidP="00B26F39">
      <w:pPr>
        <w:pStyle w:val="ListParagraph"/>
        <w:numPr>
          <w:ilvl w:val="0"/>
          <w:numId w:val="4"/>
        </w:numPr>
        <w:spacing w:line="360" w:lineRule="auto"/>
        <w:jc w:val="both"/>
        <w:rPr>
          <w:rFonts w:ascii="Arial" w:hAnsi="Arial" w:cs="Arial"/>
          <w:sz w:val="24"/>
          <w:szCs w:val="24"/>
        </w:rPr>
      </w:pPr>
      <w:r w:rsidRPr="00B26F39">
        <w:rPr>
          <w:rFonts w:ascii="Arial" w:hAnsi="Arial" w:cs="Arial"/>
          <w:sz w:val="24"/>
          <w:szCs w:val="24"/>
        </w:rPr>
        <w:t>2021 (Debt-to-Equity Ratio of 1.4): The hotel's debt was £1.40 for every £1 of equity in 2021. This suggests a rather well-rounded financing strategy with a modest degree of debt-related risk.</w:t>
      </w:r>
    </w:p>
    <w:p w14:paraId="75DFBFCC" w14:textId="77777777" w:rsidR="000D435D" w:rsidRPr="00B26F39" w:rsidRDefault="000D435D" w:rsidP="00B26F39">
      <w:pPr>
        <w:pStyle w:val="ListParagraph"/>
        <w:numPr>
          <w:ilvl w:val="0"/>
          <w:numId w:val="4"/>
        </w:numPr>
        <w:spacing w:line="360" w:lineRule="auto"/>
        <w:jc w:val="both"/>
        <w:rPr>
          <w:rFonts w:ascii="Arial" w:hAnsi="Arial" w:cs="Arial"/>
          <w:sz w:val="24"/>
          <w:szCs w:val="24"/>
        </w:rPr>
      </w:pPr>
      <w:r w:rsidRPr="00B26F39">
        <w:rPr>
          <w:rFonts w:ascii="Arial" w:hAnsi="Arial" w:cs="Arial"/>
          <w:sz w:val="24"/>
          <w:szCs w:val="24"/>
        </w:rPr>
        <w:t>2022 (Debt-to-Equity Ratio of 1.6): The hotel's debt-to-equity ratio climbed to 1.6 by 2022, indicating that there was £1.60 in debt for every £1 in equity. This implies a rising dependency on debt, raising the danger of money problems.</w:t>
      </w:r>
    </w:p>
    <w:p w14:paraId="517AC8BB" w14:textId="2FE656CF" w:rsidR="004E4448" w:rsidRPr="00B26F39" w:rsidRDefault="00943F7A" w:rsidP="00B26F39">
      <w:pPr>
        <w:pStyle w:val="ListParagraph"/>
        <w:numPr>
          <w:ilvl w:val="0"/>
          <w:numId w:val="4"/>
        </w:numPr>
        <w:spacing w:line="360" w:lineRule="auto"/>
        <w:jc w:val="both"/>
        <w:rPr>
          <w:rFonts w:ascii="Arial" w:hAnsi="Arial" w:cs="Arial"/>
          <w:sz w:val="24"/>
          <w:szCs w:val="24"/>
        </w:rPr>
      </w:pPr>
      <w:r w:rsidRPr="00B26F39">
        <w:rPr>
          <w:rFonts w:ascii="Arial" w:hAnsi="Arial" w:cs="Arial"/>
          <w:sz w:val="24"/>
          <w:szCs w:val="24"/>
        </w:rPr>
        <w:t>2023 (</w:t>
      </w:r>
      <w:r w:rsidR="000D435D" w:rsidRPr="00B26F39">
        <w:rPr>
          <w:rFonts w:ascii="Arial" w:hAnsi="Arial" w:cs="Arial"/>
          <w:sz w:val="24"/>
          <w:szCs w:val="24"/>
        </w:rPr>
        <w:t>Debt-to-Equity Ratio of 2.2</w:t>
      </w:r>
      <w:r w:rsidRPr="00B26F39">
        <w:rPr>
          <w:rFonts w:ascii="Arial" w:hAnsi="Arial" w:cs="Arial"/>
          <w:sz w:val="24"/>
          <w:szCs w:val="24"/>
        </w:rPr>
        <w:t xml:space="preserve">): </w:t>
      </w:r>
      <w:r w:rsidR="000D435D" w:rsidRPr="00B26F39">
        <w:rPr>
          <w:rFonts w:ascii="Arial" w:hAnsi="Arial" w:cs="Arial"/>
          <w:sz w:val="24"/>
          <w:szCs w:val="24"/>
        </w:rPr>
        <w:t>This year saw a further increase in the ratio to 2.2, meaning that for every £1 in equity, the hotel had £2.20 in debt. This signifies a notable transition towards debt financing and an increased level of financial risk</w:t>
      </w:r>
      <w:r w:rsidR="00910874" w:rsidRPr="00B26F39">
        <w:rPr>
          <w:rFonts w:ascii="Arial" w:hAnsi="Arial" w:cs="Arial"/>
          <w:sz w:val="24"/>
          <w:szCs w:val="24"/>
        </w:rPr>
        <w:t xml:space="preserve"> (Stokes, 2024)</w:t>
      </w:r>
      <w:r w:rsidR="000D435D" w:rsidRPr="00B26F39">
        <w:rPr>
          <w:rFonts w:ascii="Arial" w:hAnsi="Arial" w:cs="Arial"/>
          <w:sz w:val="24"/>
          <w:szCs w:val="24"/>
        </w:rPr>
        <w:t>.</w:t>
      </w:r>
    </w:p>
    <w:p w14:paraId="410367D5" w14:textId="3AF0A450" w:rsidR="00F24853" w:rsidRPr="00F608C2" w:rsidRDefault="005F58CA" w:rsidP="00F608C2">
      <w:pPr>
        <w:pStyle w:val="ListParagraph"/>
        <w:numPr>
          <w:ilvl w:val="0"/>
          <w:numId w:val="8"/>
        </w:numPr>
        <w:spacing w:line="360" w:lineRule="auto"/>
        <w:jc w:val="both"/>
        <w:rPr>
          <w:rFonts w:ascii="Arial" w:hAnsi="Arial" w:cs="Arial"/>
          <w:sz w:val="24"/>
          <w:szCs w:val="24"/>
        </w:rPr>
      </w:pPr>
      <w:bookmarkStart w:id="6" w:name="_Toc168608014"/>
      <w:r w:rsidRPr="00F55263">
        <w:rPr>
          <w:rStyle w:val="Heading2Char"/>
          <w:rFonts w:ascii="Arial" w:hAnsi="Arial" w:cs="Arial"/>
          <w:b/>
          <w:bCs/>
          <w:color w:val="auto"/>
          <w:sz w:val="24"/>
          <w:szCs w:val="24"/>
        </w:rPr>
        <w:t>Return on Assets (ROA)</w:t>
      </w:r>
      <w:bookmarkEnd w:id="6"/>
      <w:r w:rsidRPr="00F608C2">
        <w:rPr>
          <w:rFonts w:ascii="Arial" w:hAnsi="Arial" w:cs="Arial"/>
          <w:sz w:val="24"/>
          <w:szCs w:val="24"/>
        </w:rPr>
        <w:t xml:space="preserve">: </w:t>
      </w:r>
      <w:r w:rsidR="00F24853" w:rsidRPr="00F608C2">
        <w:rPr>
          <w:rFonts w:ascii="Arial" w:hAnsi="Arial" w:cs="Arial"/>
          <w:sz w:val="24"/>
          <w:szCs w:val="24"/>
        </w:rPr>
        <w:t>ROA measures how well the hotel uses its assets to create money</w:t>
      </w:r>
      <w:r w:rsidR="00E54292" w:rsidRPr="00F608C2">
        <w:rPr>
          <w:rFonts w:ascii="Arial" w:hAnsi="Arial" w:cs="Arial"/>
          <w:sz w:val="24"/>
          <w:szCs w:val="24"/>
        </w:rPr>
        <w:t xml:space="preserve"> (Hargrave, 2024)</w:t>
      </w:r>
      <w:r w:rsidR="00F24853" w:rsidRPr="00F608C2">
        <w:rPr>
          <w:rFonts w:ascii="Arial" w:hAnsi="Arial" w:cs="Arial"/>
          <w:sz w:val="24"/>
          <w:szCs w:val="24"/>
        </w:rPr>
        <w:t>. A lower ROA indicates poorer profitability relative to asset utilisation. ROA is calculated by dividing net income by average total assets.</w:t>
      </w:r>
    </w:p>
    <w:p w14:paraId="16BC94DC" w14:textId="250B63E1" w:rsidR="00FB0290" w:rsidRPr="00B26F39" w:rsidRDefault="00FB0290" w:rsidP="00B26F39">
      <w:pPr>
        <w:pStyle w:val="ListParagraph"/>
        <w:numPr>
          <w:ilvl w:val="0"/>
          <w:numId w:val="3"/>
        </w:numPr>
        <w:spacing w:line="360" w:lineRule="auto"/>
        <w:jc w:val="both"/>
        <w:rPr>
          <w:rFonts w:ascii="Arial" w:hAnsi="Arial" w:cs="Arial"/>
          <w:sz w:val="24"/>
          <w:szCs w:val="24"/>
        </w:rPr>
      </w:pPr>
      <w:r w:rsidRPr="00B26F39">
        <w:rPr>
          <w:rFonts w:ascii="Arial" w:hAnsi="Arial" w:cs="Arial"/>
          <w:sz w:val="24"/>
          <w:szCs w:val="24"/>
        </w:rPr>
        <w:t>2021 (ROA of 12%): For every pound of assets, the hotel made £0.12 in profit in 2021. This suggests a robust and effective utilisation of resources to produce revenue.</w:t>
      </w:r>
    </w:p>
    <w:p w14:paraId="5BA7771D" w14:textId="5E2F9198" w:rsidR="00FB0290" w:rsidRPr="00B26F39" w:rsidRDefault="00FB0290" w:rsidP="00B26F39">
      <w:pPr>
        <w:pStyle w:val="ListParagraph"/>
        <w:numPr>
          <w:ilvl w:val="0"/>
          <w:numId w:val="3"/>
        </w:numPr>
        <w:spacing w:line="360" w:lineRule="auto"/>
        <w:jc w:val="both"/>
        <w:rPr>
          <w:rFonts w:ascii="Arial" w:hAnsi="Arial" w:cs="Arial"/>
          <w:sz w:val="24"/>
          <w:szCs w:val="24"/>
        </w:rPr>
      </w:pPr>
      <w:r w:rsidRPr="00B26F39">
        <w:rPr>
          <w:rFonts w:ascii="Arial" w:hAnsi="Arial" w:cs="Arial"/>
          <w:sz w:val="24"/>
          <w:szCs w:val="24"/>
        </w:rPr>
        <w:t xml:space="preserve">2022 (ROA of 3%); by 2022, the ROA had plummeted to 3%, indicating a dramatic decline in the hotel's capacity to turn a profit from its assets. With only £0.30 in profitability per </w:t>
      </w:r>
      <w:r w:rsidR="006A08BD" w:rsidRPr="00B26F39">
        <w:rPr>
          <w:rFonts w:ascii="Arial" w:hAnsi="Arial" w:cs="Arial"/>
          <w:sz w:val="24"/>
          <w:szCs w:val="24"/>
        </w:rPr>
        <w:t>£1.00</w:t>
      </w:r>
      <w:r w:rsidRPr="00B26F39">
        <w:rPr>
          <w:rFonts w:ascii="Arial" w:hAnsi="Arial" w:cs="Arial"/>
          <w:sz w:val="24"/>
          <w:szCs w:val="24"/>
        </w:rPr>
        <w:t xml:space="preserve"> of assets, there was a decrease in efficiency.</w:t>
      </w:r>
    </w:p>
    <w:p w14:paraId="465B5DDA" w14:textId="26157DE9" w:rsidR="00FB0290" w:rsidRPr="00B26F39" w:rsidRDefault="00FB0290" w:rsidP="00B26F39">
      <w:pPr>
        <w:pStyle w:val="ListParagraph"/>
        <w:numPr>
          <w:ilvl w:val="0"/>
          <w:numId w:val="3"/>
        </w:numPr>
        <w:spacing w:line="360" w:lineRule="auto"/>
        <w:jc w:val="both"/>
        <w:rPr>
          <w:rFonts w:ascii="Arial" w:hAnsi="Arial" w:cs="Arial"/>
          <w:sz w:val="24"/>
          <w:szCs w:val="24"/>
        </w:rPr>
      </w:pPr>
      <w:r w:rsidRPr="00B26F39">
        <w:rPr>
          <w:rFonts w:ascii="Arial" w:hAnsi="Arial" w:cs="Arial"/>
          <w:sz w:val="24"/>
          <w:szCs w:val="24"/>
        </w:rPr>
        <w:t>2023 (ROA of -10%): The hotel was running at a deficit in 2023 as the ROA continued to drop to -10%. The hotel was losing £0.10 for every pound of assets. This ROA is negative, indicating extreme inefficiency and financial hardship</w:t>
      </w:r>
      <w:r w:rsidR="009648CF" w:rsidRPr="00B26F39">
        <w:rPr>
          <w:rFonts w:ascii="Arial" w:hAnsi="Arial" w:cs="Arial"/>
          <w:sz w:val="24"/>
          <w:szCs w:val="24"/>
        </w:rPr>
        <w:t xml:space="preserve"> (</w:t>
      </w:r>
      <w:proofErr w:type="spellStart"/>
      <w:r w:rsidR="009648CF" w:rsidRPr="00B26F39">
        <w:rPr>
          <w:rFonts w:ascii="Arial" w:hAnsi="Arial" w:cs="Arial"/>
          <w:sz w:val="24"/>
          <w:szCs w:val="24"/>
        </w:rPr>
        <w:t>Cliffcore</w:t>
      </w:r>
      <w:proofErr w:type="spellEnd"/>
      <w:r w:rsidR="009648CF" w:rsidRPr="00B26F39">
        <w:rPr>
          <w:rFonts w:ascii="Arial" w:hAnsi="Arial" w:cs="Arial"/>
          <w:sz w:val="24"/>
          <w:szCs w:val="24"/>
        </w:rPr>
        <w:t xml:space="preserve">, </w:t>
      </w:r>
      <w:r w:rsidR="005E4C7A" w:rsidRPr="00B26F39">
        <w:rPr>
          <w:rFonts w:ascii="Arial" w:hAnsi="Arial" w:cs="Arial"/>
          <w:sz w:val="24"/>
          <w:szCs w:val="24"/>
        </w:rPr>
        <w:t>2022)</w:t>
      </w:r>
      <w:r w:rsidRPr="00B26F39">
        <w:rPr>
          <w:rFonts w:ascii="Arial" w:hAnsi="Arial" w:cs="Arial"/>
          <w:sz w:val="24"/>
          <w:szCs w:val="24"/>
        </w:rPr>
        <w:t>.</w:t>
      </w:r>
    </w:p>
    <w:p w14:paraId="5DD30BB0" w14:textId="049EC8F2" w:rsidR="005F58CA" w:rsidRPr="00F608C2" w:rsidRDefault="005F58CA" w:rsidP="00F608C2">
      <w:pPr>
        <w:pStyle w:val="ListParagraph"/>
        <w:numPr>
          <w:ilvl w:val="0"/>
          <w:numId w:val="8"/>
        </w:numPr>
        <w:spacing w:line="360" w:lineRule="auto"/>
        <w:jc w:val="both"/>
        <w:rPr>
          <w:rFonts w:ascii="Arial" w:hAnsi="Arial" w:cs="Arial"/>
          <w:sz w:val="24"/>
          <w:szCs w:val="24"/>
        </w:rPr>
      </w:pPr>
      <w:bookmarkStart w:id="7" w:name="_Toc168608015"/>
      <w:r w:rsidRPr="00F55263">
        <w:rPr>
          <w:rStyle w:val="Heading2Char"/>
          <w:rFonts w:ascii="Arial" w:hAnsi="Arial" w:cs="Arial"/>
          <w:b/>
          <w:bCs/>
          <w:color w:val="auto"/>
          <w:sz w:val="24"/>
          <w:szCs w:val="24"/>
        </w:rPr>
        <w:t>Return on Equity (ROE)</w:t>
      </w:r>
      <w:bookmarkEnd w:id="7"/>
      <w:r w:rsidRPr="00F608C2">
        <w:rPr>
          <w:rFonts w:ascii="Arial" w:hAnsi="Arial" w:cs="Arial"/>
          <w:sz w:val="24"/>
          <w:szCs w:val="24"/>
        </w:rPr>
        <w:t xml:space="preserve">: </w:t>
      </w:r>
      <w:r w:rsidR="009B229D" w:rsidRPr="00F608C2">
        <w:rPr>
          <w:rFonts w:ascii="Arial" w:hAnsi="Arial" w:cs="Arial"/>
          <w:sz w:val="24"/>
          <w:szCs w:val="24"/>
        </w:rPr>
        <w:t>ROE measures how lucrative the hotel is and how well it creates money for its equity owners</w:t>
      </w:r>
      <w:r w:rsidR="00B309EF" w:rsidRPr="00F608C2">
        <w:rPr>
          <w:rFonts w:ascii="Arial" w:hAnsi="Arial" w:cs="Arial"/>
          <w:sz w:val="24"/>
          <w:szCs w:val="24"/>
        </w:rPr>
        <w:t xml:space="preserve"> (Birken and Curry, 2021)</w:t>
      </w:r>
      <w:r w:rsidR="009B229D" w:rsidRPr="00F608C2">
        <w:rPr>
          <w:rFonts w:ascii="Arial" w:hAnsi="Arial" w:cs="Arial"/>
          <w:sz w:val="24"/>
          <w:szCs w:val="24"/>
        </w:rPr>
        <w:t xml:space="preserve">. A </w:t>
      </w:r>
      <w:r w:rsidR="009B229D" w:rsidRPr="00F608C2">
        <w:rPr>
          <w:rFonts w:ascii="Arial" w:hAnsi="Arial" w:cs="Arial"/>
          <w:sz w:val="24"/>
          <w:szCs w:val="24"/>
        </w:rPr>
        <w:lastRenderedPageBreak/>
        <w:t>diminishing return on equity may indicate lower profits and shareholder value. Net income divided by average total equity yields ROE.</w:t>
      </w:r>
    </w:p>
    <w:p w14:paraId="792EBA92" w14:textId="77777777" w:rsidR="00FC02A7" w:rsidRPr="00B26F39" w:rsidRDefault="004E5FDA" w:rsidP="00B26F39">
      <w:pPr>
        <w:pStyle w:val="ListParagraph"/>
        <w:numPr>
          <w:ilvl w:val="0"/>
          <w:numId w:val="2"/>
        </w:numPr>
        <w:spacing w:line="360" w:lineRule="auto"/>
        <w:jc w:val="both"/>
        <w:rPr>
          <w:rFonts w:ascii="Arial" w:hAnsi="Arial" w:cs="Arial"/>
          <w:sz w:val="24"/>
          <w:szCs w:val="24"/>
        </w:rPr>
      </w:pPr>
      <w:r w:rsidRPr="00B26F39">
        <w:rPr>
          <w:rFonts w:ascii="Arial" w:hAnsi="Arial" w:cs="Arial"/>
          <w:sz w:val="24"/>
          <w:szCs w:val="24"/>
        </w:rPr>
        <w:t>2021 (ROE of 31%): The hotel generated a profit for every £1 of shareholders' equity in 2021, a very profitable year. This suggests excellent profitability and efficient management.</w:t>
      </w:r>
    </w:p>
    <w:p w14:paraId="43EDE3D2" w14:textId="501CBA95" w:rsidR="004E5FDA" w:rsidRPr="00B26F39" w:rsidRDefault="004E5FDA" w:rsidP="00B26F39">
      <w:pPr>
        <w:pStyle w:val="ListParagraph"/>
        <w:numPr>
          <w:ilvl w:val="0"/>
          <w:numId w:val="2"/>
        </w:numPr>
        <w:spacing w:line="360" w:lineRule="auto"/>
        <w:jc w:val="both"/>
        <w:rPr>
          <w:rFonts w:ascii="Arial" w:hAnsi="Arial" w:cs="Arial"/>
          <w:sz w:val="24"/>
          <w:szCs w:val="24"/>
        </w:rPr>
      </w:pPr>
      <w:r w:rsidRPr="00B26F39">
        <w:rPr>
          <w:rFonts w:ascii="Arial" w:hAnsi="Arial" w:cs="Arial"/>
          <w:sz w:val="24"/>
          <w:szCs w:val="24"/>
        </w:rPr>
        <w:t>2022 (ROE of 10%): The ROE fell to 10% by 2022, indicating a sharp decline in the hotel's profitability. With only £0.10 in profit for every £1 in equity, the hotel was using equity less effectively than it should have been.</w:t>
      </w:r>
    </w:p>
    <w:p w14:paraId="74CB2C60" w14:textId="3372532C" w:rsidR="009403E5" w:rsidRPr="00B26F39" w:rsidRDefault="004E5FDA" w:rsidP="00B26F39">
      <w:pPr>
        <w:pStyle w:val="ListParagraph"/>
        <w:numPr>
          <w:ilvl w:val="0"/>
          <w:numId w:val="2"/>
        </w:numPr>
        <w:spacing w:line="360" w:lineRule="auto"/>
        <w:jc w:val="both"/>
        <w:rPr>
          <w:rFonts w:ascii="Arial" w:hAnsi="Arial" w:cs="Arial"/>
          <w:sz w:val="24"/>
          <w:szCs w:val="24"/>
        </w:rPr>
      </w:pPr>
      <w:r w:rsidRPr="00B26F39">
        <w:rPr>
          <w:rFonts w:ascii="Arial" w:hAnsi="Arial" w:cs="Arial"/>
          <w:sz w:val="24"/>
          <w:szCs w:val="24"/>
        </w:rPr>
        <w:t>2023 (ROE of -36%): The hotel was running at a loss in 2023 as the ROE dropped to a negative -36%. The hotel was losing £0.36 for every £1 of shareholders' equity that was invested. This is blatant evidence of inefficiency and financial hardship</w:t>
      </w:r>
      <w:r w:rsidR="003A434B" w:rsidRPr="00B26F39">
        <w:rPr>
          <w:rFonts w:ascii="Arial" w:hAnsi="Arial" w:cs="Arial"/>
          <w:sz w:val="24"/>
          <w:szCs w:val="24"/>
        </w:rPr>
        <w:t xml:space="preserve"> (Accounting Insights Team, 2024)</w:t>
      </w:r>
      <w:r w:rsidRPr="00B26F39">
        <w:rPr>
          <w:rFonts w:ascii="Arial" w:hAnsi="Arial" w:cs="Arial"/>
          <w:sz w:val="24"/>
          <w:szCs w:val="24"/>
        </w:rPr>
        <w:t>.</w:t>
      </w:r>
    </w:p>
    <w:p w14:paraId="7B0BEC71" w14:textId="70ECD084" w:rsidR="005F58CA" w:rsidRPr="00B26F39" w:rsidRDefault="005F58CA" w:rsidP="00B26F39">
      <w:pPr>
        <w:spacing w:line="360" w:lineRule="auto"/>
        <w:jc w:val="both"/>
        <w:rPr>
          <w:rFonts w:ascii="Arial" w:hAnsi="Arial" w:cs="Arial"/>
          <w:b/>
          <w:bCs/>
          <w:sz w:val="24"/>
          <w:szCs w:val="24"/>
        </w:rPr>
      </w:pPr>
      <w:bookmarkStart w:id="8" w:name="_Toc168608016"/>
      <w:r w:rsidRPr="00F55263">
        <w:rPr>
          <w:rStyle w:val="Heading1Char"/>
          <w:rFonts w:ascii="Arial" w:hAnsi="Arial" w:cs="Arial"/>
          <w:b/>
          <w:bCs/>
          <w:color w:val="auto"/>
          <w:sz w:val="24"/>
          <w:szCs w:val="24"/>
        </w:rPr>
        <w:t>Key Reasons for Decline</w:t>
      </w:r>
      <w:bookmarkEnd w:id="8"/>
      <w:r w:rsidRPr="00B26F39">
        <w:rPr>
          <w:rFonts w:ascii="Arial" w:hAnsi="Arial" w:cs="Arial"/>
          <w:b/>
          <w:bCs/>
          <w:sz w:val="24"/>
          <w:szCs w:val="24"/>
        </w:rPr>
        <w:t>:</w:t>
      </w:r>
    </w:p>
    <w:p w14:paraId="2B9319AB" w14:textId="26CD1B51" w:rsidR="00054132" w:rsidRPr="00B26F39" w:rsidRDefault="00054132" w:rsidP="00B26F39">
      <w:pPr>
        <w:pStyle w:val="ListParagraph"/>
        <w:numPr>
          <w:ilvl w:val="0"/>
          <w:numId w:val="1"/>
        </w:numPr>
        <w:spacing w:line="360" w:lineRule="auto"/>
        <w:jc w:val="both"/>
        <w:rPr>
          <w:rFonts w:ascii="Arial" w:hAnsi="Arial" w:cs="Arial"/>
          <w:sz w:val="24"/>
          <w:szCs w:val="24"/>
        </w:rPr>
      </w:pPr>
      <w:r w:rsidRPr="00B26F39">
        <w:rPr>
          <w:rFonts w:ascii="Arial" w:hAnsi="Arial" w:cs="Arial"/>
          <w:sz w:val="24"/>
          <w:szCs w:val="24"/>
        </w:rPr>
        <w:t>Lockdowns, travel restrictions, and a decline in consumer spending</w:t>
      </w:r>
      <w:r w:rsidR="00091701" w:rsidRPr="00B26F39">
        <w:rPr>
          <w:rFonts w:ascii="Arial" w:hAnsi="Arial" w:cs="Arial"/>
          <w:sz w:val="24"/>
          <w:szCs w:val="24"/>
        </w:rPr>
        <w:t xml:space="preserve"> </w:t>
      </w:r>
      <w:r w:rsidR="00355143" w:rsidRPr="00B26F39">
        <w:rPr>
          <w:rFonts w:ascii="Arial" w:hAnsi="Arial" w:cs="Arial"/>
          <w:sz w:val="24"/>
          <w:szCs w:val="24"/>
        </w:rPr>
        <w:t>because of</w:t>
      </w:r>
      <w:r w:rsidR="00091701" w:rsidRPr="00B26F39">
        <w:rPr>
          <w:rFonts w:ascii="Arial" w:hAnsi="Arial" w:cs="Arial"/>
          <w:sz w:val="24"/>
          <w:szCs w:val="24"/>
        </w:rPr>
        <w:t xml:space="preserve"> the Covid-19 pandemic</w:t>
      </w:r>
      <w:r w:rsidRPr="00B26F39">
        <w:rPr>
          <w:rFonts w:ascii="Arial" w:hAnsi="Arial" w:cs="Arial"/>
          <w:sz w:val="24"/>
          <w:szCs w:val="24"/>
        </w:rPr>
        <w:t xml:space="preserve"> were among the major</w:t>
      </w:r>
      <w:r w:rsidR="0082143F" w:rsidRPr="00B26F39">
        <w:rPr>
          <w:rFonts w:ascii="Arial" w:hAnsi="Arial" w:cs="Arial"/>
          <w:sz w:val="24"/>
          <w:szCs w:val="24"/>
        </w:rPr>
        <w:t xml:space="preserve"> negative</w:t>
      </w:r>
      <w:r w:rsidRPr="00B26F39">
        <w:rPr>
          <w:rFonts w:ascii="Arial" w:hAnsi="Arial" w:cs="Arial"/>
          <w:sz w:val="24"/>
          <w:szCs w:val="24"/>
        </w:rPr>
        <w:t xml:space="preserve"> effects on the hotel sector</w:t>
      </w:r>
      <w:r w:rsidR="00C73C0D" w:rsidRPr="00B26F39">
        <w:rPr>
          <w:rFonts w:ascii="Arial" w:hAnsi="Arial" w:cs="Arial"/>
          <w:sz w:val="24"/>
          <w:szCs w:val="24"/>
        </w:rPr>
        <w:t xml:space="preserve"> (Hutton, Irvine and Foley, </w:t>
      </w:r>
      <w:r w:rsidR="003C5ECC" w:rsidRPr="00B26F39">
        <w:rPr>
          <w:rFonts w:ascii="Arial" w:hAnsi="Arial" w:cs="Arial"/>
          <w:sz w:val="24"/>
          <w:szCs w:val="24"/>
        </w:rPr>
        <w:t>2022)</w:t>
      </w:r>
      <w:r w:rsidRPr="00B26F39">
        <w:rPr>
          <w:rFonts w:ascii="Arial" w:hAnsi="Arial" w:cs="Arial"/>
          <w:sz w:val="24"/>
          <w:szCs w:val="24"/>
        </w:rPr>
        <w:t>. These factors probably contributed to decreasing occupancy rates and income at the Urban Heights Hotel</w:t>
      </w:r>
      <w:r w:rsidR="007F29D3" w:rsidRPr="00B26F39">
        <w:rPr>
          <w:rFonts w:ascii="Arial" w:hAnsi="Arial" w:cs="Arial"/>
          <w:sz w:val="24"/>
          <w:szCs w:val="24"/>
        </w:rPr>
        <w:t xml:space="preserve"> (Lee et al., 2024)</w:t>
      </w:r>
      <w:r w:rsidRPr="00B26F39">
        <w:rPr>
          <w:rFonts w:ascii="Arial" w:hAnsi="Arial" w:cs="Arial"/>
          <w:sz w:val="24"/>
          <w:szCs w:val="24"/>
        </w:rPr>
        <w:t>.</w:t>
      </w:r>
    </w:p>
    <w:p w14:paraId="1EA54151" w14:textId="08672DF0" w:rsidR="00054132" w:rsidRPr="00B26F39" w:rsidRDefault="00054132" w:rsidP="00B26F39">
      <w:pPr>
        <w:pStyle w:val="ListParagraph"/>
        <w:numPr>
          <w:ilvl w:val="0"/>
          <w:numId w:val="1"/>
        </w:numPr>
        <w:spacing w:line="360" w:lineRule="auto"/>
        <w:jc w:val="both"/>
        <w:rPr>
          <w:rFonts w:ascii="Arial" w:hAnsi="Arial" w:cs="Arial"/>
          <w:sz w:val="24"/>
          <w:szCs w:val="24"/>
        </w:rPr>
      </w:pPr>
      <w:r w:rsidRPr="00B26F39">
        <w:rPr>
          <w:rFonts w:ascii="Arial" w:hAnsi="Arial" w:cs="Arial"/>
          <w:sz w:val="24"/>
          <w:szCs w:val="24"/>
        </w:rPr>
        <w:t>Potential guests may have been drawn away from the Urban Heights Hotel by the emergence of other lodging options like Airbnb and brand-new hotels in the area</w:t>
      </w:r>
      <w:r w:rsidR="00714071" w:rsidRPr="00B26F39">
        <w:rPr>
          <w:rFonts w:ascii="Arial" w:hAnsi="Arial" w:cs="Arial"/>
          <w:sz w:val="24"/>
          <w:szCs w:val="24"/>
        </w:rPr>
        <w:t xml:space="preserve"> (</w:t>
      </w:r>
      <w:proofErr w:type="spellStart"/>
      <w:r w:rsidR="00714071" w:rsidRPr="00B26F39">
        <w:rPr>
          <w:rFonts w:ascii="Arial" w:hAnsi="Arial" w:cs="Arial"/>
          <w:sz w:val="24"/>
          <w:szCs w:val="24"/>
        </w:rPr>
        <w:t>Blal</w:t>
      </w:r>
      <w:proofErr w:type="spellEnd"/>
      <w:r w:rsidR="00714071" w:rsidRPr="00B26F39">
        <w:rPr>
          <w:rFonts w:ascii="Arial" w:hAnsi="Arial" w:cs="Arial"/>
          <w:sz w:val="24"/>
          <w:szCs w:val="24"/>
        </w:rPr>
        <w:t>, 2018)</w:t>
      </w:r>
      <w:r w:rsidRPr="00B26F39">
        <w:rPr>
          <w:rFonts w:ascii="Arial" w:hAnsi="Arial" w:cs="Arial"/>
          <w:sz w:val="24"/>
          <w:szCs w:val="24"/>
        </w:rPr>
        <w:t>.</w:t>
      </w:r>
    </w:p>
    <w:p w14:paraId="37B27D2C" w14:textId="0AE34F38" w:rsidR="00054132" w:rsidRPr="00B26F39" w:rsidRDefault="00054132" w:rsidP="00B26F39">
      <w:pPr>
        <w:pStyle w:val="ListParagraph"/>
        <w:numPr>
          <w:ilvl w:val="0"/>
          <w:numId w:val="1"/>
        </w:numPr>
        <w:spacing w:line="360" w:lineRule="auto"/>
        <w:jc w:val="both"/>
        <w:rPr>
          <w:rFonts w:ascii="Arial" w:hAnsi="Arial" w:cs="Arial"/>
          <w:sz w:val="24"/>
          <w:szCs w:val="24"/>
        </w:rPr>
      </w:pPr>
      <w:r w:rsidRPr="00B26F39">
        <w:rPr>
          <w:rFonts w:ascii="Arial" w:hAnsi="Arial" w:cs="Arial"/>
          <w:sz w:val="24"/>
          <w:szCs w:val="24"/>
        </w:rPr>
        <w:t>An increase in operating costs without a matching rise in revenue points to a lack of effectiveness in cost control. This can entail more maintenance, labour, or utility costs</w:t>
      </w:r>
      <w:r w:rsidR="00D44067" w:rsidRPr="00B26F39">
        <w:rPr>
          <w:rFonts w:ascii="Arial" w:hAnsi="Arial" w:cs="Arial"/>
          <w:sz w:val="24"/>
          <w:szCs w:val="24"/>
        </w:rPr>
        <w:t xml:space="preserve"> (Ryzhkov, 2024)</w:t>
      </w:r>
      <w:r w:rsidRPr="00B26F39">
        <w:rPr>
          <w:rFonts w:ascii="Arial" w:hAnsi="Arial" w:cs="Arial"/>
          <w:sz w:val="24"/>
          <w:szCs w:val="24"/>
        </w:rPr>
        <w:t>.</w:t>
      </w:r>
    </w:p>
    <w:p w14:paraId="5578BFB3" w14:textId="174D1A2E" w:rsidR="00054132" w:rsidRPr="00B26F39" w:rsidRDefault="00054132" w:rsidP="00B26F39">
      <w:pPr>
        <w:pStyle w:val="ListParagraph"/>
        <w:numPr>
          <w:ilvl w:val="0"/>
          <w:numId w:val="1"/>
        </w:numPr>
        <w:spacing w:line="360" w:lineRule="auto"/>
        <w:jc w:val="both"/>
        <w:rPr>
          <w:rFonts w:ascii="Arial" w:hAnsi="Arial" w:cs="Arial"/>
          <w:sz w:val="24"/>
          <w:szCs w:val="24"/>
        </w:rPr>
      </w:pPr>
      <w:r w:rsidRPr="00B26F39">
        <w:rPr>
          <w:rFonts w:ascii="Arial" w:hAnsi="Arial" w:cs="Arial"/>
          <w:sz w:val="24"/>
          <w:szCs w:val="24"/>
        </w:rPr>
        <w:t xml:space="preserve"> Falling customer satisfaction points to possible issues with marketing initiatives, customer engagement programmes, and service quality</w:t>
      </w:r>
      <w:r w:rsidR="00CB0FE2" w:rsidRPr="00B26F39">
        <w:rPr>
          <w:rFonts w:ascii="Arial" w:hAnsi="Arial" w:cs="Arial"/>
          <w:sz w:val="24"/>
          <w:szCs w:val="24"/>
        </w:rPr>
        <w:t xml:space="preserve"> (</w:t>
      </w:r>
      <w:proofErr w:type="spellStart"/>
      <w:r w:rsidR="00CB0FE2" w:rsidRPr="00B26F39">
        <w:rPr>
          <w:rFonts w:ascii="Arial" w:hAnsi="Arial" w:cs="Arial"/>
          <w:sz w:val="24"/>
          <w:szCs w:val="24"/>
        </w:rPr>
        <w:t>Peuter</w:t>
      </w:r>
      <w:proofErr w:type="spellEnd"/>
      <w:r w:rsidR="00CB0FE2" w:rsidRPr="00B26F39">
        <w:rPr>
          <w:rFonts w:ascii="Arial" w:hAnsi="Arial" w:cs="Arial"/>
          <w:sz w:val="24"/>
          <w:szCs w:val="24"/>
        </w:rPr>
        <w:t>-Rutten, 2020)</w:t>
      </w:r>
      <w:r w:rsidRPr="00B26F39">
        <w:rPr>
          <w:rFonts w:ascii="Arial" w:hAnsi="Arial" w:cs="Arial"/>
          <w:sz w:val="24"/>
          <w:szCs w:val="24"/>
        </w:rPr>
        <w:t>. It's possible that the hotel failed to properly adjust to shifting consumer demands and market dynamics.</w:t>
      </w:r>
    </w:p>
    <w:p w14:paraId="45D68E50" w14:textId="4B4EAC82" w:rsidR="005F58CA" w:rsidRPr="00B26F39" w:rsidRDefault="00054132" w:rsidP="00B26F39">
      <w:pPr>
        <w:pStyle w:val="ListParagraph"/>
        <w:numPr>
          <w:ilvl w:val="0"/>
          <w:numId w:val="1"/>
        </w:numPr>
        <w:spacing w:line="360" w:lineRule="auto"/>
        <w:jc w:val="both"/>
        <w:rPr>
          <w:rFonts w:ascii="Arial" w:hAnsi="Arial" w:cs="Arial"/>
          <w:sz w:val="24"/>
          <w:szCs w:val="24"/>
        </w:rPr>
      </w:pPr>
      <w:r w:rsidRPr="00B26F39">
        <w:rPr>
          <w:rFonts w:ascii="Arial" w:hAnsi="Arial" w:cs="Arial"/>
          <w:sz w:val="24"/>
          <w:szCs w:val="24"/>
        </w:rPr>
        <w:t xml:space="preserve"> The decline in the value of the equipment and property points to potential neglected maintenance and an ageing infrastructure, both of which may have a detrimental effect on the satisfaction and experience of visitors.</w:t>
      </w:r>
    </w:p>
    <w:p w14:paraId="531E6FE6" w14:textId="77777777" w:rsidR="005F58CA" w:rsidRPr="00B26F39" w:rsidRDefault="005F58CA" w:rsidP="00B26F39">
      <w:pPr>
        <w:spacing w:line="360" w:lineRule="auto"/>
        <w:jc w:val="both"/>
        <w:rPr>
          <w:rFonts w:ascii="Arial" w:hAnsi="Arial" w:cs="Arial"/>
          <w:sz w:val="24"/>
          <w:szCs w:val="24"/>
        </w:rPr>
      </w:pPr>
    </w:p>
    <w:p w14:paraId="51B7A66B" w14:textId="4B61F93F" w:rsidR="005F58CA" w:rsidRPr="00B26F39" w:rsidRDefault="005F58CA" w:rsidP="00B26F39">
      <w:pPr>
        <w:spacing w:line="360" w:lineRule="auto"/>
        <w:jc w:val="both"/>
        <w:rPr>
          <w:rFonts w:ascii="Arial" w:hAnsi="Arial" w:cs="Arial"/>
          <w:b/>
          <w:bCs/>
          <w:sz w:val="24"/>
          <w:szCs w:val="24"/>
        </w:rPr>
      </w:pPr>
      <w:bookmarkStart w:id="9" w:name="_Toc168608017"/>
      <w:r w:rsidRPr="00F55263">
        <w:rPr>
          <w:rStyle w:val="Heading1Char"/>
          <w:rFonts w:ascii="Arial" w:hAnsi="Arial" w:cs="Arial"/>
          <w:b/>
          <w:bCs/>
          <w:color w:val="auto"/>
          <w:sz w:val="24"/>
          <w:szCs w:val="24"/>
        </w:rPr>
        <w:lastRenderedPageBreak/>
        <w:t>Turnaround Strategy</w:t>
      </w:r>
      <w:bookmarkEnd w:id="9"/>
      <w:r w:rsidRPr="00B26F39">
        <w:rPr>
          <w:rFonts w:ascii="Arial" w:hAnsi="Arial" w:cs="Arial"/>
          <w:b/>
          <w:bCs/>
          <w:sz w:val="24"/>
          <w:szCs w:val="24"/>
        </w:rPr>
        <w:t>:</w:t>
      </w:r>
    </w:p>
    <w:p w14:paraId="5E4A1ED5" w14:textId="2300B080"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Cost Reduction</w:t>
      </w:r>
      <w:r w:rsidR="009722F6" w:rsidRPr="00B26F39">
        <w:rPr>
          <w:rFonts w:ascii="Arial" w:hAnsi="Arial" w:cs="Arial"/>
          <w:sz w:val="24"/>
          <w:szCs w:val="24"/>
        </w:rPr>
        <w:t xml:space="preserve"> (Landman, 2023)</w:t>
      </w:r>
      <w:r w:rsidRPr="00B26F39">
        <w:rPr>
          <w:rFonts w:ascii="Arial" w:hAnsi="Arial" w:cs="Arial"/>
          <w:sz w:val="24"/>
          <w:szCs w:val="24"/>
        </w:rPr>
        <w:t>:</w:t>
      </w:r>
    </w:p>
    <w:p w14:paraId="3B121859" w14:textId="5C8DBB53"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 Analyse operating expenses to identify cost-cutting options.</w:t>
      </w:r>
    </w:p>
    <w:p w14:paraId="7B1F779A" w14:textId="56F4AF4A"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 Negotiate with suppliers for better terms and bulk purchase discounts.</w:t>
      </w:r>
    </w:p>
    <w:p w14:paraId="013C4C74" w14:textId="77777777"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 Reduce utility costs by implementing energy conservation methods.</w:t>
      </w:r>
    </w:p>
    <w:p w14:paraId="014DBB36" w14:textId="77777777"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 Optimise cost efficiency by matching staffing with occupancy rates.</w:t>
      </w:r>
    </w:p>
    <w:p w14:paraId="69A46D33" w14:textId="2BBB7BAE"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Increase revenue</w:t>
      </w:r>
      <w:r w:rsidR="001C5F28" w:rsidRPr="00B26F39">
        <w:rPr>
          <w:rFonts w:ascii="Arial" w:hAnsi="Arial" w:cs="Arial"/>
          <w:sz w:val="24"/>
          <w:szCs w:val="24"/>
        </w:rPr>
        <w:t xml:space="preserve"> (Hollander, 2024):</w:t>
      </w:r>
    </w:p>
    <w:p w14:paraId="1E13BB85" w14:textId="7AFEB90A"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 Use dynamic pricing to vary hotel prices based on demand fluctuations.</w:t>
      </w:r>
    </w:p>
    <w:p w14:paraId="760DA56E" w14:textId="77777777"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 Employ targeted marketing strategies to attract corporate and leisure tourists. Use email marketing, social networking, and travel company partnerships.</w:t>
      </w:r>
    </w:p>
    <w:p w14:paraId="049062CA" w14:textId="77777777"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 Enhance loyalty schemes to boost consumer retention and encourage repeat visits.</w:t>
      </w:r>
    </w:p>
    <w:p w14:paraId="5086682C" w14:textId="6ECC1698"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 Offer attractive packages for business events, weddings, and social gatherings to maximise event facility utilisation.</w:t>
      </w:r>
    </w:p>
    <w:p w14:paraId="6265ED66" w14:textId="6DD4BE15"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 Implement a visitor feedback system to identify areas for improvement and address problems quickly.</w:t>
      </w:r>
    </w:p>
    <w:p w14:paraId="7B514050" w14:textId="481D2A7B"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 Utilise CRM</w:t>
      </w:r>
      <w:r w:rsidR="007162B9" w:rsidRPr="00B26F39">
        <w:rPr>
          <w:rFonts w:ascii="Arial" w:hAnsi="Arial" w:cs="Arial"/>
          <w:sz w:val="24"/>
          <w:szCs w:val="24"/>
        </w:rPr>
        <w:t xml:space="preserve"> (Customer Relationship Management)</w:t>
      </w:r>
      <w:r w:rsidRPr="00B26F39">
        <w:rPr>
          <w:rFonts w:ascii="Arial" w:hAnsi="Arial" w:cs="Arial"/>
          <w:sz w:val="24"/>
          <w:szCs w:val="24"/>
        </w:rPr>
        <w:t xml:space="preserve"> software to tailor marketing and enhance customer engagement.</w:t>
      </w:r>
    </w:p>
    <w:p w14:paraId="771D2A3B" w14:textId="77777777"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 Partner with local businesses and tourism officials to create compelling travel packages.</w:t>
      </w:r>
    </w:p>
    <w:p w14:paraId="34EA0C4D" w14:textId="77777777"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 Implement strict cash flow management practices to ensure sufficient finances. This includes fast collection and careful handling of firm debt.</w:t>
      </w:r>
    </w:p>
    <w:p w14:paraId="11E6AAFC" w14:textId="77777777"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 Establish a financial cushion to handle unexpected expenses and economic fluctuations.</w:t>
      </w:r>
    </w:p>
    <w:p w14:paraId="593A4430" w14:textId="77777777"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 Establish KPIs to assess financial performance, occupancy rates, customer satisfaction, and operational efficiency.</w:t>
      </w:r>
    </w:p>
    <w:p w14:paraId="2B56B995" w14:textId="77777777"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 Evaluate progress and adjust turnaround strategy through frequent financial evaluations.</w:t>
      </w:r>
    </w:p>
    <w:p w14:paraId="391A624B" w14:textId="77777777"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lastRenderedPageBreak/>
        <w:t>- Implement contingency plans to mitigate economic downturns, including adaptive pricing and cost reduction.</w:t>
      </w:r>
    </w:p>
    <w:p w14:paraId="4439B6EE" w14:textId="77777777" w:rsidR="005F6206"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 Ensure strict health and safety compliance to build customer trust, especially after the pandemic.</w:t>
      </w:r>
    </w:p>
    <w:p w14:paraId="52E5A2B1" w14:textId="752BA093" w:rsidR="002B6210" w:rsidRPr="00B26F39" w:rsidRDefault="005F6206" w:rsidP="00B26F39">
      <w:pPr>
        <w:spacing w:line="360" w:lineRule="auto"/>
        <w:jc w:val="both"/>
        <w:rPr>
          <w:rFonts w:ascii="Arial" w:hAnsi="Arial" w:cs="Arial"/>
          <w:sz w:val="24"/>
          <w:szCs w:val="24"/>
        </w:rPr>
      </w:pPr>
      <w:r w:rsidRPr="00B26F39">
        <w:rPr>
          <w:rFonts w:ascii="Arial" w:hAnsi="Arial" w:cs="Arial"/>
          <w:sz w:val="24"/>
          <w:szCs w:val="24"/>
        </w:rPr>
        <w:t>- Regularly reviewing and effectively communicating health and safety procedures to guests and personnel.</w:t>
      </w:r>
    </w:p>
    <w:p w14:paraId="0F31ACF8" w14:textId="18C879A9" w:rsidR="00BC79EB" w:rsidRPr="00B26F39" w:rsidRDefault="00BC79EB" w:rsidP="00B26F39">
      <w:pPr>
        <w:spacing w:line="360" w:lineRule="auto"/>
        <w:jc w:val="both"/>
        <w:rPr>
          <w:rFonts w:ascii="Arial" w:hAnsi="Arial" w:cs="Arial"/>
          <w:sz w:val="24"/>
          <w:szCs w:val="24"/>
        </w:rPr>
      </w:pPr>
      <w:r w:rsidRPr="00B26F39">
        <w:rPr>
          <w:rFonts w:ascii="Arial" w:hAnsi="Arial" w:cs="Arial"/>
          <w:sz w:val="24"/>
          <w:szCs w:val="24"/>
        </w:rPr>
        <w:t>- Ensure ongoing staff training to improve service and client interactions.</w:t>
      </w:r>
    </w:p>
    <w:p w14:paraId="6D591515" w14:textId="77777777" w:rsidR="008B6C2F" w:rsidRPr="00B26F39" w:rsidRDefault="008B6C2F" w:rsidP="00B26F39">
      <w:pPr>
        <w:spacing w:line="360" w:lineRule="auto"/>
        <w:jc w:val="both"/>
        <w:rPr>
          <w:rFonts w:ascii="Arial" w:hAnsi="Arial" w:cs="Arial"/>
          <w:sz w:val="24"/>
          <w:szCs w:val="24"/>
        </w:rPr>
      </w:pPr>
    </w:p>
    <w:p w14:paraId="1B93DDD3" w14:textId="70FC3D10" w:rsidR="008B6C2F" w:rsidRPr="00B26F39" w:rsidRDefault="008B6C2F" w:rsidP="00B26F39">
      <w:pPr>
        <w:spacing w:line="360" w:lineRule="auto"/>
        <w:jc w:val="both"/>
        <w:rPr>
          <w:rFonts w:ascii="Arial" w:hAnsi="Arial" w:cs="Arial"/>
          <w:b/>
          <w:bCs/>
          <w:sz w:val="24"/>
          <w:szCs w:val="24"/>
        </w:rPr>
      </w:pPr>
      <w:bookmarkStart w:id="10" w:name="_Toc168608018"/>
      <w:r w:rsidRPr="00F55263">
        <w:rPr>
          <w:rStyle w:val="Heading1Char"/>
          <w:rFonts w:ascii="Arial" w:hAnsi="Arial" w:cs="Arial"/>
          <w:b/>
          <w:bCs/>
          <w:color w:val="auto"/>
          <w:sz w:val="24"/>
          <w:szCs w:val="24"/>
        </w:rPr>
        <w:t>Conclusion</w:t>
      </w:r>
      <w:bookmarkEnd w:id="10"/>
      <w:r w:rsidR="00F608C2">
        <w:rPr>
          <w:rFonts w:ascii="Arial" w:hAnsi="Arial" w:cs="Arial"/>
          <w:b/>
          <w:bCs/>
          <w:sz w:val="24"/>
          <w:szCs w:val="24"/>
        </w:rPr>
        <w:t>:</w:t>
      </w:r>
    </w:p>
    <w:p w14:paraId="2FF10099" w14:textId="5A80A5E0" w:rsidR="00F608C2" w:rsidRDefault="008B6C2F" w:rsidP="00B26F39">
      <w:pPr>
        <w:spacing w:line="360" w:lineRule="auto"/>
        <w:jc w:val="both"/>
        <w:rPr>
          <w:rFonts w:ascii="Arial" w:hAnsi="Arial" w:cs="Arial"/>
          <w:sz w:val="24"/>
          <w:szCs w:val="24"/>
        </w:rPr>
      </w:pPr>
      <w:r w:rsidRPr="00B26F39">
        <w:rPr>
          <w:rFonts w:ascii="Arial" w:hAnsi="Arial" w:cs="Arial"/>
          <w:sz w:val="24"/>
          <w:szCs w:val="24"/>
        </w:rPr>
        <w:t>The Urban Heights Hotel is confronted with substantial obstacles, such as a decrease in revenue, an increase in expenses, and a decline in client satisfaction. Nevertheless, by implementing a thorough plan for financial reorganisation, enhancing operational efficiency, and effectively managing risks, there is a possibility to rejuvenate the hotel's financial well-being and regain its standing. Urban Heights Hotel can overcome its current challenges and achieve long-term growth by implementing cost reduction strategies, increasing income through focused marketing and flexible pricing, and upgrading the quality of its services. Consistently evaluating the performance and adherence to best practices in financial and operational management will be essential to guarantee the business's long-term sustainability.</w:t>
      </w:r>
    </w:p>
    <w:p w14:paraId="14686CDA" w14:textId="77777777" w:rsidR="00F608C2" w:rsidRDefault="00F608C2">
      <w:pPr>
        <w:rPr>
          <w:rFonts w:ascii="Arial" w:hAnsi="Arial" w:cs="Arial"/>
          <w:sz w:val="24"/>
          <w:szCs w:val="24"/>
        </w:rPr>
      </w:pPr>
      <w:r>
        <w:rPr>
          <w:rFonts w:ascii="Arial" w:hAnsi="Arial" w:cs="Arial"/>
          <w:sz w:val="24"/>
          <w:szCs w:val="24"/>
        </w:rPr>
        <w:br w:type="page"/>
      </w:r>
    </w:p>
    <w:p w14:paraId="67198E9A" w14:textId="79C43C07" w:rsidR="00F465EA" w:rsidRPr="00724BC4" w:rsidRDefault="00F608C2" w:rsidP="00F608C2">
      <w:pPr>
        <w:spacing w:line="360" w:lineRule="auto"/>
        <w:jc w:val="both"/>
        <w:rPr>
          <w:rFonts w:ascii="Arial" w:hAnsi="Arial" w:cs="Arial"/>
          <w:b/>
          <w:bCs/>
          <w:sz w:val="24"/>
          <w:szCs w:val="24"/>
        </w:rPr>
      </w:pPr>
      <w:bookmarkStart w:id="11" w:name="_Toc168608019"/>
      <w:r w:rsidRPr="00724BC4">
        <w:rPr>
          <w:rStyle w:val="Heading1Char"/>
          <w:rFonts w:ascii="Arial" w:hAnsi="Arial" w:cs="Arial"/>
          <w:b/>
          <w:bCs/>
          <w:color w:val="auto"/>
          <w:sz w:val="24"/>
          <w:szCs w:val="24"/>
        </w:rPr>
        <w:lastRenderedPageBreak/>
        <w:t>References</w:t>
      </w:r>
      <w:bookmarkEnd w:id="11"/>
      <w:r w:rsidRPr="00724BC4">
        <w:rPr>
          <w:rFonts w:ascii="Arial" w:hAnsi="Arial" w:cs="Arial"/>
          <w:b/>
          <w:bCs/>
          <w:sz w:val="24"/>
          <w:szCs w:val="24"/>
        </w:rPr>
        <w:t xml:space="preserve">: </w:t>
      </w:r>
    </w:p>
    <w:p w14:paraId="6FE0BC99"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Account Insights Team (2024) ‘Understanding and Mitigating Negative Return on Equity’, </w:t>
      </w:r>
      <w:r w:rsidRPr="006644F4">
        <w:rPr>
          <w:rFonts w:ascii="Arial" w:hAnsi="Arial" w:cs="Arial"/>
          <w:i/>
          <w:iCs/>
          <w:sz w:val="24"/>
          <w:szCs w:val="24"/>
        </w:rPr>
        <w:t xml:space="preserve">Accounting Insights. </w:t>
      </w:r>
      <w:r w:rsidRPr="006644F4">
        <w:rPr>
          <w:rFonts w:ascii="Arial" w:hAnsi="Arial" w:cs="Arial"/>
          <w:sz w:val="24"/>
          <w:szCs w:val="24"/>
        </w:rPr>
        <w:t>30</w:t>
      </w:r>
      <w:r w:rsidRPr="006644F4">
        <w:rPr>
          <w:rFonts w:ascii="Arial" w:hAnsi="Arial" w:cs="Arial"/>
          <w:sz w:val="24"/>
          <w:szCs w:val="24"/>
          <w:vertAlign w:val="superscript"/>
        </w:rPr>
        <w:t>th</w:t>
      </w:r>
      <w:r w:rsidRPr="006644F4">
        <w:rPr>
          <w:rFonts w:ascii="Arial" w:hAnsi="Arial" w:cs="Arial"/>
          <w:sz w:val="24"/>
          <w:szCs w:val="24"/>
        </w:rPr>
        <w:t xml:space="preserve"> May. Available at: </w:t>
      </w:r>
      <w:hyperlink r:id="rId8" w:history="1">
        <w:r w:rsidRPr="006644F4">
          <w:rPr>
            <w:rStyle w:val="Hyperlink"/>
            <w:rFonts w:ascii="Arial" w:hAnsi="Arial" w:cs="Arial"/>
            <w:sz w:val="24"/>
            <w:szCs w:val="24"/>
          </w:rPr>
          <w:t>https://accountinginsights.org/understanding-and-mitigating-negative-return-on-equity/</w:t>
        </w:r>
      </w:hyperlink>
      <w:r w:rsidRPr="006644F4">
        <w:rPr>
          <w:rFonts w:ascii="Arial" w:hAnsi="Arial" w:cs="Arial"/>
          <w:sz w:val="24"/>
          <w:szCs w:val="24"/>
        </w:rPr>
        <w:t xml:space="preserve"> (accessed: 5</w:t>
      </w:r>
      <w:r w:rsidRPr="006644F4">
        <w:rPr>
          <w:rFonts w:ascii="Arial" w:hAnsi="Arial" w:cs="Arial"/>
          <w:sz w:val="24"/>
          <w:szCs w:val="24"/>
          <w:vertAlign w:val="superscript"/>
        </w:rPr>
        <w:t>th</w:t>
      </w:r>
      <w:r w:rsidRPr="006644F4">
        <w:rPr>
          <w:rFonts w:ascii="Arial" w:hAnsi="Arial" w:cs="Arial"/>
          <w:sz w:val="24"/>
          <w:szCs w:val="24"/>
        </w:rPr>
        <w:t xml:space="preserve"> June 2024). </w:t>
      </w:r>
    </w:p>
    <w:p w14:paraId="1BB034B1"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Accounting Professor (2023) ‘Quick Ratio Explained: Definition, Formula, and Examples’, </w:t>
      </w:r>
      <w:r w:rsidRPr="006644F4">
        <w:rPr>
          <w:rFonts w:ascii="Arial" w:hAnsi="Arial" w:cs="Arial"/>
          <w:i/>
          <w:iCs/>
          <w:sz w:val="24"/>
          <w:szCs w:val="24"/>
        </w:rPr>
        <w:t xml:space="preserve">Accounting Professor. </w:t>
      </w:r>
      <w:r w:rsidRPr="006644F4">
        <w:rPr>
          <w:rFonts w:ascii="Arial" w:hAnsi="Arial" w:cs="Arial"/>
          <w:sz w:val="24"/>
          <w:szCs w:val="24"/>
        </w:rPr>
        <w:t>13</w:t>
      </w:r>
      <w:r w:rsidRPr="006644F4">
        <w:rPr>
          <w:rFonts w:ascii="Arial" w:hAnsi="Arial" w:cs="Arial"/>
          <w:sz w:val="24"/>
          <w:szCs w:val="24"/>
          <w:vertAlign w:val="superscript"/>
        </w:rPr>
        <w:t>th</w:t>
      </w:r>
      <w:r w:rsidRPr="006644F4">
        <w:rPr>
          <w:rFonts w:ascii="Arial" w:hAnsi="Arial" w:cs="Arial"/>
          <w:sz w:val="24"/>
          <w:szCs w:val="24"/>
        </w:rPr>
        <w:t xml:space="preserve"> November. Available at: </w:t>
      </w:r>
      <w:hyperlink r:id="rId9" w:history="1">
        <w:r w:rsidRPr="006644F4">
          <w:rPr>
            <w:rStyle w:val="Hyperlink"/>
            <w:rFonts w:ascii="Arial" w:hAnsi="Arial" w:cs="Arial"/>
            <w:sz w:val="24"/>
            <w:szCs w:val="24"/>
          </w:rPr>
          <w:t>https://accountingprofessor.org/quick-ratio-explained-definition-formula-and-examples/</w:t>
        </w:r>
      </w:hyperlink>
      <w:r w:rsidRPr="006644F4">
        <w:rPr>
          <w:rFonts w:ascii="Arial" w:hAnsi="Arial" w:cs="Arial"/>
          <w:sz w:val="24"/>
          <w:szCs w:val="24"/>
        </w:rPr>
        <w:t xml:space="preserve"> (accessed: 5</w:t>
      </w:r>
      <w:r w:rsidRPr="006644F4">
        <w:rPr>
          <w:rFonts w:ascii="Arial" w:hAnsi="Arial" w:cs="Arial"/>
          <w:sz w:val="24"/>
          <w:szCs w:val="24"/>
          <w:vertAlign w:val="superscript"/>
        </w:rPr>
        <w:t>th</w:t>
      </w:r>
      <w:r w:rsidRPr="006644F4">
        <w:rPr>
          <w:rFonts w:ascii="Arial" w:hAnsi="Arial" w:cs="Arial"/>
          <w:sz w:val="24"/>
          <w:szCs w:val="24"/>
        </w:rPr>
        <w:t xml:space="preserve"> June 2024). </w:t>
      </w:r>
    </w:p>
    <w:p w14:paraId="51E22E8F"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Birken, E. and Curry, B. (2021) ‘How </w:t>
      </w:r>
      <w:proofErr w:type="gramStart"/>
      <w:r w:rsidRPr="006644F4">
        <w:rPr>
          <w:rFonts w:ascii="Arial" w:hAnsi="Arial" w:cs="Arial"/>
          <w:sz w:val="24"/>
          <w:szCs w:val="24"/>
        </w:rPr>
        <w:t>To</w:t>
      </w:r>
      <w:proofErr w:type="gramEnd"/>
      <w:r w:rsidRPr="006644F4">
        <w:rPr>
          <w:rFonts w:ascii="Arial" w:hAnsi="Arial" w:cs="Arial"/>
          <w:sz w:val="24"/>
          <w:szCs w:val="24"/>
        </w:rPr>
        <w:t xml:space="preserve"> Calculate Return On Equity (ROE)’, </w:t>
      </w:r>
      <w:r w:rsidRPr="006644F4">
        <w:rPr>
          <w:rFonts w:ascii="Arial" w:hAnsi="Arial" w:cs="Arial"/>
          <w:i/>
          <w:iCs/>
          <w:sz w:val="24"/>
          <w:szCs w:val="24"/>
        </w:rPr>
        <w:t xml:space="preserve">Forbes, </w:t>
      </w:r>
      <w:r w:rsidRPr="006644F4">
        <w:rPr>
          <w:rFonts w:ascii="Arial" w:hAnsi="Arial" w:cs="Arial"/>
          <w:sz w:val="24"/>
          <w:szCs w:val="24"/>
        </w:rPr>
        <w:t>6</w:t>
      </w:r>
      <w:r w:rsidRPr="006644F4">
        <w:rPr>
          <w:rFonts w:ascii="Arial" w:hAnsi="Arial" w:cs="Arial"/>
          <w:sz w:val="24"/>
          <w:szCs w:val="24"/>
          <w:vertAlign w:val="superscript"/>
        </w:rPr>
        <w:t>th</w:t>
      </w:r>
      <w:r w:rsidRPr="006644F4">
        <w:rPr>
          <w:rFonts w:ascii="Arial" w:hAnsi="Arial" w:cs="Arial"/>
          <w:sz w:val="24"/>
          <w:szCs w:val="24"/>
        </w:rPr>
        <w:t xml:space="preserve"> April. Available at: </w:t>
      </w:r>
      <w:hyperlink r:id="rId10" w:history="1">
        <w:r w:rsidRPr="006644F4">
          <w:rPr>
            <w:rStyle w:val="Hyperlink"/>
            <w:rFonts w:ascii="Arial" w:hAnsi="Arial" w:cs="Arial"/>
            <w:sz w:val="24"/>
            <w:szCs w:val="24"/>
          </w:rPr>
          <w:t>https://www.forbes.com/advisor/investing/roe-return-on-equity/</w:t>
        </w:r>
      </w:hyperlink>
      <w:r w:rsidRPr="006644F4">
        <w:rPr>
          <w:rFonts w:ascii="Arial" w:hAnsi="Arial" w:cs="Arial"/>
          <w:sz w:val="24"/>
          <w:szCs w:val="24"/>
        </w:rPr>
        <w:t xml:space="preserve"> (accessed: 5</w:t>
      </w:r>
      <w:r w:rsidRPr="006644F4">
        <w:rPr>
          <w:rFonts w:ascii="Arial" w:hAnsi="Arial" w:cs="Arial"/>
          <w:sz w:val="24"/>
          <w:szCs w:val="24"/>
          <w:vertAlign w:val="superscript"/>
        </w:rPr>
        <w:t>th</w:t>
      </w:r>
      <w:r w:rsidRPr="006644F4">
        <w:rPr>
          <w:rFonts w:ascii="Arial" w:hAnsi="Arial" w:cs="Arial"/>
          <w:sz w:val="24"/>
          <w:szCs w:val="24"/>
        </w:rPr>
        <w:t xml:space="preserve"> June 2024).</w:t>
      </w:r>
    </w:p>
    <w:p w14:paraId="6D210FFE" w14:textId="77777777" w:rsidR="00A157D3" w:rsidRPr="006644F4" w:rsidRDefault="00A157D3" w:rsidP="00A157D3">
      <w:pPr>
        <w:spacing w:line="360" w:lineRule="auto"/>
        <w:jc w:val="both"/>
        <w:rPr>
          <w:rFonts w:ascii="Arial" w:hAnsi="Arial" w:cs="Arial"/>
          <w:sz w:val="24"/>
          <w:szCs w:val="24"/>
        </w:rPr>
      </w:pPr>
      <w:proofErr w:type="spellStart"/>
      <w:r w:rsidRPr="006644F4">
        <w:rPr>
          <w:rFonts w:ascii="Arial" w:hAnsi="Arial" w:cs="Arial"/>
          <w:sz w:val="24"/>
          <w:szCs w:val="24"/>
        </w:rPr>
        <w:t>Blal</w:t>
      </w:r>
      <w:proofErr w:type="spellEnd"/>
      <w:r w:rsidRPr="006644F4">
        <w:rPr>
          <w:rFonts w:ascii="Arial" w:hAnsi="Arial" w:cs="Arial"/>
          <w:sz w:val="24"/>
          <w:szCs w:val="24"/>
        </w:rPr>
        <w:t xml:space="preserve">, I. (2018) ‘Hospitality Research: Airbnb's Impact on Hotels’, </w:t>
      </w:r>
      <w:r w:rsidRPr="006644F4">
        <w:rPr>
          <w:rFonts w:ascii="Arial" w:hAnsi="Arial" w:cs="Arial"/>
          <w:i/>
          <w:iCs/>
          <w:sz w:val="24"/>
          <w:szCs w:val="24"/>
        </w:rPr>
        <w:t xml:space="preserve">Hospitality Insights, </w:t>
      </w:r>
      <w:r w:rsidRPr="006644F4">
        <w:rPr>
          <w:rFonts w:ascii="Arial" w:hAnsi="Arial" w:cs="Arial"/>
          <w:sz w:val="24"/>
          <w:szCs w:val="24"/>
        </w:rPr>
        <w:t>26</w:t>
      </w:r>
      <w:r w:rsidRPr="006644F4">
        <w:rPr>
          <w:rFonts w:ascii="Arial" w:hAnsi="Arial" w:cs="Arial"/>
          <w:sz w:val="24"/>
          <w:szCs w:val="24"/>
          <w:vertAlign w:val="superscript"/>
        </w:rPr>
        <w:t>th</w:t>
      </w:r>
      <w:r w:rsidRPr="006644F4">
        <w:rPr>
          <w:rFonts w:ascii="Arial" w:hAnsi="Arial" w:cs="Arial"/>
          <w:sz w:val="24"/>
          <w:szCs w:val="24"/>
        </w:rPr>
        <w:t xml:space="preserve"> April. Available at: </w:t>
      </w:r>
      <w:hyperlink r:id="rId11" w:history="1">
        <w:r w:rsidRPr="006644F4">
          <w:rPr>
            <w:rStyle w:val="Hyperlink"/>
            <w:rFonts w:ascii="Arial" w:hAnsi="Arial" w:cs="Arial"/>
            <w:sz w:val="24"/>
            <w:szCs w:val="24"/>
          </w:rPr>
          <w:t>https://hospitalityinsights.ehl.edu/airbnb-impact-hotel-trends</w:t>
        </w:r>
      </w:hyperlink>
      <w:r w:rsidRPr="006644F4">
        <w:rPr>
          <w:rFonts w:ascii="Arial" w:hAnsi="Arial" w:cs="Arial"/>
          <w:sz w:val="24"/>
          <w:szCs w:val="24"/>
        </w:rPr>
        <w:t xml:space="preserve"> (accessed: 6</w:t>
      </w:r>
      <w:r w:rsidRPr="006644F4">
        <w:rPr>
          <w:rFonts w:ascii="Arial" w:hAnsi="Arial" w:cs="Arial"/>
          <w:sz w:val="24"/>
          <w:szCs w:val="24"/>
          <w:vertAlign w:val="superscript"/>
        </w:rPr>
        <w:t>th</w:t>
      </w:r>
      <w:r w:rsidRPr="006644F4">
        <w:rPr>
          <w:rFonts w:ascii="Arial" w:hAnsi="Arial" w:cs="Arial"/>
          <w:sz w:val="24"/>
          <w:szCs w:val="24"/>
        </w:rPr>
        <w:t xml:space="preserve"> June 2024). </w:t>
      </w:r>
    </w:p>
    <w:p w14:paraId="286F80A1"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CFI Team (no date) ‘Quick Assets’, </w:t>
      </w:r>
      <w:r w:rsidRPr="006644F4">
        <w:rPr>
          <w:rFonts w:ascii="Arial" w:hAnsi="Arial" w:cs="Arial"/>
          <w:i/>
          <w:iCs/>
          <w:sz w:val="24"/>
          <w:szCs w:val="24"/>
        </w:rPr>
        <w:t xml:space="preserve">Corporate Finance Institute. </w:t>
      </w:r>
      <w:r w:rsidRPr="006644F4">
        <w:rPr>
          <w:rFonts w:ascii="Arial" w:hAnsi="Arial" w:cs="Arial"/>
          <w:sz w:val="24"/>
          <w:szCs w:val="24"/>
        </w:rPr>
        <w:t xml:space="preserve">Available at:  </w:t>
      </w:r>
      <w:hyperlink r:id="rId12" w:history="1">
        <w:r w:rsidRPr="006644F4">
          <w:rPr>
            <w:rStyle w:val="Hyperlink"/>
            <w:rFonts w:ascii="Arial" w:hAnsi="Arial" w:cs="Arial"/>
            <w:sz w:val="24"/>
            <w:szCs w:val="24"/>
          </w:rPr>
          <w:t>https://corporatefinanceinstitute.com/resources/accounting/quick-assets/</w:t>
        </w:r>
      </w:hyperlink>
      <w:r w:rsidRPr="006644F4">
        <w:rPr>
          <w:rFonts w:ascii="Arial" w:hAnsi="Arial" w:cs="Arial"/>
          <w:sz w:val="24"/>
          <w:szCs w:val="24"/>
        </w:rPr>
        <w:t xml:space="preserve"> (accessed: 5</w:t>
      </w:r>
      <w:r w:rsidRPr="006644F4">
        <w:rPr>
          <w:rFonts w:ascii="Arial" w:hAnsi="Arial" w:cs="Arial"/>
          <w:sz w:val="24"/>
          <w:szCs w:val="24"/>
          <w:vertAlign w:val="superscript"/>
        </w:rPr>
        <w:t>th</w:t>
      </w:r>
      <w:r w:rsidRPr="006644F4">
        <w:rPr>
          <w:rFonts w:ascii="Arial" w:hAnsi="Arial" w:cs="Arial"/>
          <w:sz w:val="24"/>
          <w:szCs w:val="24"/>
        </w:rPr>
        <w:t xml:space="preserve"> June 2024).</w:t>
      </w:r>
    </w:p>
    <w:p w14:paraId="58A675FB" w14:textId="77777777" w:rsidR="00A157D3" w:rsidRPr="006644F4" w:rsidRDefault="00A157D3" w:rsidP="00A157D3">
      <w:pPr>
        <w:spacing w:line="360" w:lineRule="auto"/>
        <w:jc w:val="both"/>
        <w:rPr>
          <w:rFonts w:ascii="Arial" w:hAnsi="Arial" w:cs="Arial"/>
          <w:sz w:val="24"/>
          <w:szCs w:val="24"/>
        </w:rPr>
      </w:pPr>
      <w:proofErr w:type="spellStart"/>
      <w:r w:rsidRPr="006644F4">
        <w:rPr>
          <w:rFonts w:ascii="Arial" w:hAnsi="Arial" w:cs="Arial"/>
          <w:sz w:val="24"/>
          <w:szCs w:val="24"/>
        </w:rPr>
        <w:t>Cliffcore</w:t>
      </w:r>
      <w:proofErr w:type="spellEnd"/>
      <w:r w:rsidRPr="006644F4">
        <w:rPr>
          <w:rFonts w:ascii="Arial" w:hAnsi="Arial" w:cs="Arial"/>
          <w:sz w:val="24"/>
          <w:szCs w:val="24"/>
        </w:rPr>
        <w:t xml:space="preserve"> (2022) ‘Negative Return on Assets: Causes and Meaning’, </w:t>
      </w:r>
      <w:proofErr w:type="spellStart"/>
      <w:r w:rsidRPr="006644F4">
        <w:rPr>
          <w:rFonts w:ascii="Arial" w:hAnsi="Arial" w:cs="Arial"/>
          <w:i/>
          <w:iCs/>
          <w:sz w:val="24"/>
          <w:szCs w:val="24"/>
        </w:rPr>
        <w:t>Cliffcore</w:t>
      </w:r>
      <w:proofErr w:type="spellEnd"/>
      <w:r w:rsidRPr="006644F4">
        <w:rPr>
          <w:rFonts w:ascii="Arial" w:hAnsi="Arial" w:cs="Arial"/>
          <w:i/>
          <w:iCs/>
          <w:sz w:val="24"/>
          <w:szCs w:val="24"/>
        </w:rPr>
        <w:t xml:space="preserve">, </w:t>
      </w:r>
      <w:r w:rsidRPr="006644F4">
        <w:rPr>
          <w:rFonts w:ascii="Arial" w:hAnsi="Arial" w:cs="Arial"/>
          <w:sz w:val="24"/>
          <w:szCs w:val="24"/>
        </w:rPr>
        <w:t>1</w:t>
      </w:r>
      <w:r w:rsidRPr="006644F4">
        <w:rPr>
          <w:rFonts w:ascii="Arial" w:hAnsi="Arial" w:cs="Arial"/>
          <w:sz w:val="24"/>
          <w:szCs w:val="24"/>
          <w:vertAlign w:val="superscript"/>
        </w:rPr>
        <w:t>st</w:t>
      </w:r>
      <w:r w:rsidRPr="006644F4">
        <w:rPr>
          <w:rFonts w:ascii="Arial" w:hAnsi="Arial" w:cs="Arial"/>
          <w:sz w:val="24"/>
          <w:szCs w:val="24"/>
        </w:rPr>
        <w:t xml:space="preserve"> March. Available at: </w:t>
      </w:r>
      <w:hyperlink r:id="rId13" w:history="1">
        <w:r w:rsidRPr="006644F4">
          <w:rPr>
            <w:rStyle w:val="Hyperlink"/>
            <w:rFonts w:ascii="Arial" w:hAnsi="Arial" w:cs="Arial"/>
            <w:sz w:val="24"/>
            <w:szCs w:val="24"/>
          </w:rPr>
          <w:t>https://cliffcore.com/knowledge/fundamentals/negative-return-on-assets-causes-and-meaning/</w:t>
        </w:r>
      </w:hyperlink>
      <w:r w:rsidRPr="006644F4">
        <w:rPr>
          <w:rFonts w:ascii="Arial" w:hAnsi="Arial" w:cs="Arial"/>
          <w:sz w:val="24"/>
          <w:szCs w:val="24"/>
        </w:rPr>
        <w:t xml:space="preserve"> (accessed: 5</w:t>
      </w:r>
      <w:r w:rsidRPr="006644F4">
        <w:rPr>
          <w:rFonts w:ascii="Arial" w:hAnsi="Arial" w:cs="Arial"/>
          <w:sz w:val="24"/>
          <w:szCs w:val="24"/>
          <w:vertAlign w:val="superscript"/>
        </w:rPr>
        <w:t>th</w:t>
      </w:r>
      <w:r w:rsidRPr="006644F4">
        <w:rPr>
          <w:rFonts w:ascii="Arial" w:hAnsi="Arial" w:cs="Arial"/>
          <w:sz w:val="24"/>
          <w:szCs w:val="24"/>
        </w:rPr>
        <w:t xml:space="preserve"> June 2024). </w:t>
      </w:r>
    </w:p>
    <w:p w14:paraId="050901B1"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Corporate Finance Institute (no date) ‘Financial Ratios’, </w:t>
      </w:r>
      <w:r w:rsidRPr="006644F4">
        <w:rPr>
          <w:rFonts w:ascii="Arial" w:hAnsi="Arial" w:cs="Arial"/>
          <w:i/>
          <w:iCs/>
          <w:sz w:val="24"/>
          <w:szCs w:val="24"/>
        </w:rPr>
        <w:t xml:space="preserve">Corporate Finance Institute. </w:t>
      </w:r>
      <w:r w:rsidRPr="006644F4">
        <w:rPr>
          <w:rFonts w:ascii="Arial" w:hAnsi="Arial" w:cs="Arial"/>
          <w:sz w:val="24"/>
          <w:szCs w:val="24"/>
        </w:rPr>
        <w:t xml:space="preserve">Available at: </w:t>
      </w:r>
      <w:hyperlink r:id="rId14" w:history="1">
        <w:r w:rsidRPr="006644F4">
          <w:rPr>
            <w:rStyle w:val="Hyperlink"/>
            <w:rFonts w:ascii="Arial" w:hAnsi="Arial" w:cs="Arial"/>
            <w:sz w:val="24"/>
            <w:szCs w:val="24"/>
          </w:rPr>
          <w:t>https://corporatefinanceinstitute.com/resources/accounting/financial-ratios/</w:t>
        </w:r>
      </w:hyperlink>
      <w:r w:rsidRPr="006644F4">
        <w:rPr>
          <w:rFonts w:ascii="Arial" w:hAnsi="Arial" w:cs="Arial"/>
          <w:sz w:val="24"/>
          <w:szCs w:val="24"/>
        </w:rPr>
        <w:t xml:space="preserve"> (accessed: 2</w:t>
      </w:r>
      <w:r w:rsidRPr="006644F4">
        <w:rPr>
          <w:rFonts w:ascii="Arial" w:hAnsi="Arial" w:cs="Arial"/>
          <w:sz w:val="24"/>
          <w:szCs w:val="24"/>
          <w:vertAlign w:val="superscript"/>
        </w:rPr>
        <w:t>nd</w:t>
      </w:r>
      <w:r w:rsidRPr="006644F4">
        <w:rPr>
          <w:rFonts w:ascii="Arial" w:hAnsi="Arial" w:cs="Arial"/>
          <w:sz w:val="24"/>
          <w:szCs w:val="24"/>
        </w:rPr>
        <w:t xml:space="preserve"> June 2024).</w:t>
      </w:r>
    </w:p>
    <w:p w14:paraId="45929F2B"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Creates, B. (2017) ‘What Does a Number in Parentheses/Brackets Mean in Accounting?’, </w:t>
      </w:r>
      <w:r w:rsidRPr="006644F4">
        <w:rPr>
          <w:rFonts w:ascii="Arial" w:hAnsi="Arial" w:cs="Arial"/>
          <w:i/>
          <w:iCs/>
          <w:sz w:val="24"/>
          <w:szCs w:val="24"/>
        </w:rPr>
        <w:t xml:space="preserve">Tyler Olyphant Accountancy, </w:t>
      </w:r>
      <w:r w:rsidRPr="006644F4">
        <w:rPr>
          <w:rFonts w:ascii="Arial" w:hAnsi="Arial" w:cs="Arial"/>
          <w:sz w:val="24"/>
          <w:szCs w:val="24"/>
        </w:rPr>
        <w:t>3</w:t>
      </w:r>
      <w:r w:rsidRPr="006644F4">
        <w:rPr>
          <w:rFonts w:ascii="Arial" w:hAnsi="Arial" w:cs="Arial"/>
          <w:sz w:val="24"/>
          <w:szCs w:val="24"/>
          <w:vertAlign w:val="superscript"/>
        </w:rPr>
        <w:t>rd</w:t>
      </w:r>
      <w:r w:rsidRPr="006644F4">
        <w:rPr>
          <w:rFonts w:ascii="Arial" w:hAnsi="Arial" w:cs="Arial"/>
          <w:sz w:val="24"/>
          <w:szCs w:val="24"/>
        </w:rPr>
        <w:t xml:space="preserve"> September. Available at: </w:t>
      </w:r>
      <w:hyperlink r:id="rId15" w:history="1">
        <w:r w:rsidRPr="006644F4">
          <w:rPr>
            <w:rStyle w:val="Hyperlink"/>
            <w:rFonts w:ascii="Arial" w:hAnsi="Arial" w:cs="Arial"/>
            <w:sz w:val="24"/>
            <w:szCs w:val="24"/>
          </w:rPr>
          <w:t>https://tyleroliphantaccountancy.wordpress.com/2017/09/03/what-does-a-number-in-parenthesesbrackets-mean-in-accounting/</w:t>
        </w:r>
      </w:hyperlink>
      <w:r w:rsidRPr="006644F4">
        <w:rPr>
          <w:rFonts w:ascii="Arial" w:hAnsi="Arial" w:cs="Arial"/>
          <w:sz w:val="24"/>
          <w:szCs w:val="24"/>
        </w:rPr>
        <w:t xml:space="preserve"> (accessed: 2</w:t>
      </w:r>
      <w:r w:rsidRPr="006644F4">
        <w:rPr>
          <w:rFonts w:ascii="Arial" w:hAnsi="Arial" w:cs="Arial"/>
          <w:sz w:val="24"/>
          <w:szCs w:val="24"/>
          <w:vertAlign w:val="superscript"/>
        </w:rPr>
        <w:t>nd</w:t>
      </w:r>
      <w:r w:rsidRPr="006644F4">
        <w:rPr>
          <w:rFonts w:ascii="Arial" w:hAnsi="Arial" w:cs="Arial"/>
          <w:sz w:val="24"/>
          <w:szCs w:val="24"/>
        </w:rPr>
        <w:t xml:space="preserve"> June 2024). </w:t>
      </w:r>
    </w:p>
    <w:p w14:paraId="24F1137B" w14:textId="77777777" w:rsidR="00A157D3" w:rsidRPr="006644F4" w:rsidRDefault="00A157D3" w:rsidP="00A157D3">
      <w:pPr>
        <w:spacing w:line="360" w:lineRule="auto"/>
        <w:jc w:val="both"/>
        <w:rPr>
          <w:rFonts w:ascii="Arial" w:hAnsi="Arial" w:cs="Arial"/>
          <w:i/>
          <w:iCs/>
          <w:sz w:val="24"/>
          <w:szCs w:val="24"/>
        </w:rPr>
      </w:pPr>
      <w:r w:rsidRPr="006644F4">
        <w:rPr>
          <w:rFonts w:ascii="Arial" w:hAnsi="Arial" w:cs="Arial"/>
          <w:sz w:val="24"/>
          <w:szCs w:val="24"/>
        </w:rPr>
        <w:t xml:space="preserve">Department for Business and Trade (2023) ‘Hospitality Strategy: Reopening, Recovery, Resilience.’ </w:t>
      </w:r>
      <w:r w:rsidRPr="006644F4">
        <w:rPr>
          <w:rFonts w:ascii="Arial" w:hAnsi="Arial" w:cs="Arial"/>
          <w:i/>
          <w:iCs/>
          <w:sz w:val="24"/>
          <w:szCs w:val="24"/>
        </w:rPr>
        <w:t>Gov.uk, 1</w:t>
      </w:r>
      <w:r w:rsidRPr="006644F4">
        <w:rPr>
          <w:rFonts w:ascii="Arial" w:hAnsi="Arial" w:cs="Arial"/>
          <w:i/>
          <w:iCs/>
          <w:sz w:val="24"/>
          <w:szCs w:val="24"/>
          <w:vertAlign w:val="superscript"/>
        </w:rPr>
        <w:t>st</w:t>
      </w:r>
      <w:r w:rsidRPr="006644F4">
        <w:rPr>
          <w:rFonts w:ascii="Arial" w:hAnsi="Arial" w:cs="Arial"/>
          <w:i/>
          <w:iCs/>
          <w:sz w:val="24"/>
          <w:szCs w:val="24"/>
        </w:rPr>
        <w:t xml:space="preserve"> March. Available at: </w:t>
      </w:r>
      <w:hyperlink r:id="rId16" w:history="1">
        <w:r w:rsidRPr="006644F4">
          <w:rPr>
            <w:rStyle w:val="Hyperlink"/>
            <w:rFonts w:ascii="Arial" w:hAnsi="Arial" w:cs="Arial"/>
            <w:i/>
            <w:iCs/>
            <w:sz w:val="24"/>
            <w:szCs w:val="24"/>
          </w:rPr>
          <w:t>https://www.gov.uk/government/publications/hospitality-strategy-reopening-recovery-resilience</w:t>
        </w:r>
      </w:hyperlink>
      <w:r w:rsidRPr="006644F4">
        <w:rPr>
          <w:rFonts w:ascii="Arial" w:hAnsi="Arial" w:cs="Arial"/>
          <w:i/>
          <w:iCs/>
          <w:sz w:val="24"/>
          <w:szCs w:val="24"/>
        </w:rPr>
        <w:t xml:space="preserve"> (accessed: 2</w:t>
      </w:r>
      <w:r w:rsidRPr="006644F4">
        <w:rPr>
          <w:rFonts w:ascii="Arial" w:hAnsi="Arial" w:cs="Arial"/>
          <w:i/>
          <w:iCs/>
          <w:sz w:val="24"/>
          <w:szCs w:val="24"/>
          <w:vertAlign w:val="superscript"/>
        </w:rPr>
        <w:t>nd</w:t>
      </w:r>
      <w:r w:rsidRPr="006644F4">
        <w:rPr>
          <w:rFonts w:ascii="Arial" w:hAnsi="Arial" w:cs="Arial"/>
          <w:i/>
          <w:iCs/>
          <w:sz w:val="24"/>
          <w:szCs w:val="24"/>
        </w:rPr>
        <w:t xml:space="preserve"> June 2024). </w:t>
      </w:r>
    </w:p>
    <w:p w14:paraId="4F852DE0"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Gallagher &amp; Mohan (2024) ‘Unravelling the Numbers: A Guide to Hotel Financial Analysis’, </w:t>
      </w:r>
      <w:r w:rsidRPr="006644F4">
        <w:rPr>
          <w:rFonts w:ascii="Arial" w:hAnsi="Arial" w:cs="Arial"/>
          <w:i/>
          <w:iCs/>
          <w:sz w:val="24"/>
          <w:szCs w:val="24"/>
        </w:rPr>
        <w:t xml:space="preserve">Gallagher Mohan, </w:t>
      </w:r>
      <w:r w:rsidRPr="006644F4">
        <w:rPr>
          <w:rFonts w:ascii="Arial" w:hAnsi="Arial" w:cs="Arial"/>
          <w:sz w:val="24"/>
          <w:szCs w:val="24"/>
        </w:rPr>
        <w:t>7</w:t>
      </w:r>
      <w:r w:rsidRPr="006644F4">
        <w:rPr>
          <w:rFonts w:ascii="Arial" w:hAnsi="Arial" w:cs="Arial"/>
          <w:sz w:val="24"/>
          <w:szCs w:val="24"/>
          <w:vertAlign w:val="superscript"/>
        </w:rPr>
        <w:t>th</w:t>
      </w:r>
      <w:r w:rsidRPr="006644F4">
        <w:rPr>
          <w:rFonts w:ascii="Arial" w:hAnsi="Arial" w:cs="Arial"/>
          <w:sz w:val="24"/>
          <w:szCs w:val="24"/>
        </w:rPr>
        <w:t xml:space="preserve"> February. Available at: </w:t>
      </w:r>
      <w:hyperlink r:id="rId17" w:history="1">
        <w:r w:rsidRPr="006644F4">
          <w:rPr>
            <w:rStyle w:val="Hyperlink"/>
            <w:rFonts w:ascii="Arial" w:hAnsi="Arial" w:cs="Arial"/>
            <w:sz w:val="24"/>
            <w:szCs w:val="24"/>
          </w:rPr>
          <w:t>https://www.gallaghermohan.com/blogs/unraveling-the-numbers-a-guide-to-hotel-financial-analysis/</w:t>
        </w:r>
      </w:hyperlink>
      <w:r w:rsidRPr="006644F4">
        <w:rPr>
          <w:rFonts w:ascii="Arial" w:hAnsi="Arial" w:cs="Arial"/>
          <w:sz w:val="24"/>
          <w:szCs w:val="24"/>
        </w:rPr>
        <w:t xml:space="preserve"> (accessed: 2</w:t>
      </w:r>
      <w:r w:rsidRPr="006644F4">
        <w:rPr>
          <w:rFonts w:ascii="Arial" w:hAnsi="Arial" w:cs="Arial"/>
          <w:sz w:val="24"/>
          <w:szCs w:val="24"/>
          <w:vertAlign w:val="superscript"/>
        </w:rPr>
        <w:t>nd</w:t>
      </w:r>
      <w:r w:rsidRPr="006644F4">
        <w:rPr>
          <w:rFonts w:ascii="Arial" w:hAnsi="Arial" w:cs="Arial"/>
          <w:sz w:val="24"/>
          <w:szCs w:val="24"/>
        </w:rPr>
        <w:t xml:space="preserve"> June 2024). </w:t>
      </w:r>
    </w:p>
    <w:p w14:paraId="433DBC32"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Gallo, A. (2015) ‘A Refresher on Current Ratio’, </w:t>
      </w:r>
      <w:r w:rsidRPr="006644F4">
        <w:rPr>
          <w:rFonts w:ascii="Arial" w:hAnsi="Arial" w:cs="Arial"/>
          <w:i/>
          <w:iCs/>
          <w:sz w:val="24"/>
          <w:szCs w:val="24"/>
        </w:rPr>
        <w:t xml:space="preserve">Harvard Business Review, </w:t>
      </w:r>
      <w:r w:rsidRPr="006644F4">
        <w:rPr>
          <w:rFonts w:ascii="Arial" w:hAnsi="Arial" w:cs="Arial"/>
          <w:sz w:val="24"/>
          <w:szCs w:val="24"/>
        </w:rPr>
        <w:t>14</w:t>
      </w:r>
      <w:r w:rsidRPr="006644F4">
        <w:rPr>
          <w:rFonts w:ascii="Arial" w:hAnsi="Arial" w:cs="Arial"/>
          <w:sz w:val="24"/>
          <w:szCs w:val="24"/>
          <w:vertAlign w:val="superscript"/>
        </w:rPr>
        <w:t>th</w:t>
      </w:r>
      <w:r w:rsidRPr="006644F4">
        <w:rPr>
          <w:rFonts w:ascii="Arial" w:hAnsi="Arial" w:cs="Arial"/>
          <w:sz w:val="24"/>
          <w:szCs w:val="24"/>
        </w:rPr>
        <w:t xml:space="preserve"> September. Available at: </w:t>
      </w:r>
      <w:hyperlink r:id="rId18" w:history="1">
        <w:r w:rsidRPr="006644F4">
          <w:rPr>
            <w:rStyle w:val="Hyperlink"/>
            <w:rFonts w:ascii="Arial" w:hAnsi="Arial" w:cs="Arial"/>
            <w:sz w:val="24"/>
            <w:szCs w:val="24"/>
          </w:rPr>
          <w:t>https://hbr.org/2015/09/a-refresher-on-current-ratio</w:t>
        </w:r>
      </w:hyperlink>
      <w:r w:rsidRPr="006644F4">
        <w:rPr>
          <w:rFonts w:ascii="Arial" w:hAnsi="Arial" w:cs="Arial"/>
          <w:sz w:val="24"/>
          <w:szCs w:val="24"/>
        </w:rPr>
        <w:t xml:space="preserve"> (accessed: 5</w:t>
      </w:r>
      <w:r w:rsidRPr="006644F4">
        <w:rPr>
          <w:rFonts w:ascii="Arial" w:hAnsi="Arial" w:cs="Arial"/>
          <w:sz w:val="24"/>
          <w:szCs w:val="24"/>
          <w:vertAlign w:val="superscript"/>
        </w:rPr>
        <w:t>th</w:t>
      </w:r>
      <w:r w:rsidRPr="006644F4">
        <w:rPr>
          <w:rFonts w:ascii="Arial" w:hAnsi="Arial" w:cs="Arial"/>
          <w:sz w:val="24"/>
          <w:szCs w:val="24"/>
        </w:rPr>
        <w:t xml:space="preserve"> June 2024).</w:t>
      </w:r>
    </w:p>
    <w:p w14:paraId="3269B17E"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Girsch-Bock, M. (2024) ‘Current Ratio vs. Quick Ratio: Learn the Difference’, </w:t>
      </w:r>
      <w:r w:rsidRPr="006644F4">
        <w:rPr>
          <w:rFonts w:ascii="Arial" w:hAnsi="Arial" w:cs="Arial"/>
          <w:i/>
          <w:iCs/>
          <w:sz w:val="24"/>
          <w:szCs w:val="24"/>
        </w:rPr>
        <w:t xml:space="preserve">Fool, </w:t>
      </w:r>
      <w:r w:rsidRPr="006644F4">
        <w:rPr>
          <w:rFonts w:ascii="Arial" w:hAnsi="Arial" w:cs="Arial"/>
          <w:sz w:val="24"/>
          <w:szCs w:val="24"/>
        </w:rPr>
        <w:t>10</w:t>
      </w:r>
      <w:r w:rsidRPr="006644F4">
        <w:rPr>
          <w:rFonts w:ascii="Arial" w:hAnsi="Arial" w:cs="Arial"/>
          <w:sz w:val="24"/>
          <w:szCs w:val="24"/>
          <w:vertAlign w:val="superscript"/>
        </w:rPr>
        <w:t>th</w:t>
      </w:r>
      <w:r w:rsidRPr="006644F4">
        <w:rPr>
          <w:rFonts w:ascii="Arial" w:hAnsi="Arial" w:cs="Arial"/>
          <w:sz w:val="24"/>
          <w:szCs w:val="24"/>
        </w:rPr>
        <w:t xml:space="preserve"> May. Available at: </w:t>
      </w:r>
      <w:hyperlink r:id="rId19" w:history="1">
        <w:r w:rsidRPr="006644F4">
          <w:rPr>
            <w:rStyle w:val="Hyperlink"/>
            <w:rFonts w:ascii="Arial" w:hAnsi="Arial" w:cs="Arial"/>
            <w:sz w:val="24"/>
            <w:szCs w:val="24"/>
          </w:rPr>
          <w:t>https://www.fool.com/the-ascent/small-business/accounting/current-ratio-vs-quick-ratio/</w:t>
        </w:r>
      </w:hyperlink>
      <w:r w:rsidRPr="006644F4">
        <w:rPr>
          <w:rFonts w:ascii="Arial" w:hAnsi="Arial" w:cs="Arial"/>
          <w:sz w:val="24"/>
          <w:szCs w:val="24"/>
        </w:rPr>
        <w:t xml:space="preserve"> (accessed: 5</w:t>
      </w:r>
      <w:r w:rsidRPr="006644F4">
        <w:rPr>
          <w:rFonts w:ascii="Arial" w:hAnsi="Arial" w:cs="Arial"/>
          <w:sz w:val="24"/>
          <w:szCs w:val="24"/>
          <w:vertAlign w:val="superscript"/>
        </w:rPr>
        <w:t>th</w:t>
      </w:r>
      <w:r w:rsidRPr="006644F4">
        <w:rPr>
          <w:rFonts w:ascii="Arial" w:hAnsi="Arial" w:cs="Arial"/>
          <w:sz w:val="24"/>
          <w:szCs w:val="24"/>
        </w:rPr>
        <w:t xml:space="preserve"> June 2024).</w:t>
      </w:r>
    </w:p>
    <w:p w14:paraId="1BCAF4C2"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Hargrave, M. (2024) ‘Return on Assets (ROA): Formula and "Good" ROA Defined’, </w:t>
      </w:r>
      <w:r w:rsidRPr="006644F4">
        <w:rPr>
          <w:rFonts w:ascii="Arial" w:hAnsi="Arial" w:cs="Arial"/>
          <w:i/>
          <w:iCs/>
          <w:sz w:val="24"/>
          <w:szCs w:val="24"/>
        </w:rPr>
        <w:t xml:space="preserve">Investopedia, </w:t>
      </w:r>
      <w:r w:rsidRPr="006644F4">
        <w:rPr>
          <w:rFonts w:ascii="Arial" w:hAnsi="Arial" w:cs="Arial"/>
          <w:sz w:val="24"/>
          <w:szCs w:val="24"/>
        </w:rPr>
        <w:t>28</w:t>
      </w:r>
      <w:r w:rsidRPr="006644F4">
        <w:rPr>
          <w:rFonts w:ascii="Arial" w:hAnsi="Arial" w:cs="Arial"/>
          <w:sz w:val="24"/>
          <w:szCs w:val="24"/>
          <w:vertAlign w:val="superscript"/>
        </w:rPr>
        <w:t>th</w:t>
      </w:r>
      <w:r w:rsidRPr="006644F4">
        <w:rPr>
          <w:rFonts w:ascii="Arial" w:hAnsi="Arial" w:cs="Arial"/>
          <w:sz w:val="24"/>
          <w:szCs w:val="24"/>
        </w:rPr>
        <w:t xml:space="preserve"> January. Available at: </w:t>
      </w:r>
      <w:hyperlink r:id="rId20" w:history="1">
        <w:r w:rsidRPr="006644F4">
          <w:rPr>
            <w:rStyle w:val="Hyperlink"/>
            <w:rFonts w:ascii="Arial" w:hAnsi="Arial" w:cs="Arial"/>
            <w:sz w:val="24"/>
            <w:szCs w:val="24"/>
          </w:rPr>
          <w:t>https://www.investopedia.com/terms/r/returnonassets.asp</w:t>
        </w:r>
      </w:hyperlink>
      <w:r w:rsidRPr="006644F4">
        <w:rPr>
          <w:rFonts w:ascii="Arial" w:hAnsi="Arial" w:cs="Arial"/>
          <w:sz w:val="24"/>
          <w:szCs w:val="24"/>
        </w:rPr>
        <w:t xml:space="preserve"> (accessed: 5</w:t>
      </w:r>
      <w:r w:rsidRPr="006644F4">
        <w:rPr>
          <w:rFonts w:ascii="Arial" w:hAnsi="Arial" w:cs="Arial"/>
          <w:sz w:val="24"/>
          <w:szCs w:val="24"/>
          <w:vertAlign w:val="superscript"/>
        </w:rPr>
        <w:t>th</w:t>
      </w:r>
      <w:r w:rsidRPr="006644F4">
        <w:rPr>
          <w:rFonts w:ascii="Arial" w:hAnsi="Arial" w:cs="Arial"/>
          <w:sz w:val="24"/>
          <w:szCs w:val="24"/>
        </w:rPr>
        <w:t xml:space="preserve"> June 2024). </w:t>
      </w:r>
    </w:p>
    <w:p w14:paraId="541C82FA"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Hollander, J. (2024) ‘30 Essential Sales Strategy for Hotel Teams’, </w:t>
      </w:r>
      <w:r w:rsidRPr="006644F4">
        <w:rPr>
          <w:rFonts w:ascii="Arial" w:hAnsi="Arial" w:cs="Arial"/>
          <w:i/>
          <w:iCs/>
          <w:sz w:val="24"/>
          <w:szCs w:val="24"/>
        </w:rPr>
        <w:t xml:space="preserve">Hotel Tech Report, </w:t>
      </w:r>
      <w:r w:rsidRPr="006644F4">
        <w:rPr>
          <w:rFonts w:ascii="Arial" w:hAnsi="Arial" w:cs="Arial"/>
          <w:sz w:val="24"/>
          <w:szCs w:val="24"/>
        </w:rPr>
        <w:t>30</w:t>
      </w:r>
      <w:r w:rsidRPr="006644F4">
        <w:rPr>
          <w:rFonts w:ascii="Arial" w:hAnsi="Arial" w:cs="Arial"/>
          <w:sz w:val="24"/>
          <w:szCs w:val="24"/>
          <w:vertAlign w:val="superscript"/>
        </w:rPr>
        <w:t>th</w:t>
      </w:r>
      <w:r w:rsidRPr="006644F4">
        <w:rPr>
          <w:rFonts w:ascii="Arial" w:hAnsi="Arial" w:cs="Arial"/>
          <w:sz w:val="24"/>
          <w:szCs w:val="24"/>
        </w:rPr>
        <w:t xml:space="preserve"> May. Available at: </w:t>
      </w:r>
      <w:hyperlink r:id="rId21" w:history="1">
        <w:r w:rsidRPr="006644F4">
          <w:rPr>
            <w:rStyle w:val="Hyperlink"/>
            <w:rFonts w:ascii="Arial" w:hAnsi="Arial" w:cs="Arial"/>
            <w:sz w:val="24"/>
            <w:szCs w:val="24"/>
          </w:rPr>
          <w:t>https://hoteltechreport.com/news/hotel-sales-strategies</w:t>
        </w:r>
      </w:hyperlink>
      <w:r w:rsidRPr="006644F4">
        <w:rPr>
          <w:rFonts w:ascii="Arial" w:hAnsi="Arial" w:cs="Arial"/>
          <w:sz w:val="24"/>
          <w:szCs w:val="24"/>
        </w:rPr>
        <w:t xml:space="preserve"> (accessed: 6</w:t>
      </w:r>
      <w:r w:rsidRPr="006644F4">
        <w:rPr>
          <w:rFonts w:ascii="Arial" w:hAnsi="Arial" w:cs="Arial"/>
          <w:sz w:val="24"/>
          <w:szCs w:val="24"/>
          <w:vertAlign w:val="superscript"/>
        </w:rPr>
        <w:t>th</w:t>
      </w:r>
      <w:r w:rsidRPr="006644F4">
        <w:rPr>
          <w:rFonts w:ascii="Arial" w:hAnsi="Arial" w:cs="Arial"/>
          <w:sz w:val="24"/>
          <w:szCs w:val="24"/>
        </w:rPr>
        <w:t xml:space="preserve"> June 2024). </w:t>
      </w:r>
    </w:p>
    <w:p w14:paraId="64D99C1E"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Holyk, M. (2024) ‘Liquidity Management: Importance, Risks, and Best Practices’, </w:t>
      </w:r>
      <w:proofErr w:type="spellStart"/>
      <w:r w:rsidRPr="006644F4">
        <w:rPr>
          <w:rFonts w:ascii="Arial" w:hAnsi="Arial" w:cs="Arial"/>
          <w:i/>
          <w:iCs/>
          <w:sz w:val="24"/>
          <w:szCs w:val="24"/>
        </w:rPr>
        <w:t>Precoro</w:t>
      </w:r>
      <w:proofErr w:type="spellEnd"/>
      <w:r w:rsidRPr="006644F4">
        <w:rPr>
          <w:rFonts w:ascii="Arial" w:hAnsi="Arial" w:cs="Arial"/>
          <w:i/>
          <w:iCs/>
          <w:sz w:val="24"/>
          <w:szCs w:val="24"/>
        </w:rPr>
        <w:t xml:space="preserve"> </w:t>
      </w:r>
      <w:r w:rsidRPr="006644F4">
        <w:rPr>
          <w:rFonts w:ascii="Arial" w:hAnsi="Arial" w:cs="Arial"/>
          <w:sz w:val="24"/>
          <w:szCs w:val="24"/>
        </w:rPr>
        <w:t>[blog]</w:t>
      </w:r>
      <w:r w:rsidRPr="006644F4">
        <w:rPr>
          <w:rFonts w:ascii="Arial" w:hAnsi="Arial" w:cs="Arial"/>
          <w:i/>
          <w:iCs/>
          <w:sz w:val="24"/>
          <w:szCs w:val="24"/>
        </w:rPr>
        <w:t xml:space="preserve">. </w:t>
      </w:r>
      <w:r w:rsidRPr="006644F4">
        <w:rPr>
          <w:rFonts w:ascii="Arial" w:hAnsi="Arial" w:cs="Arial"/>
          <w:sz w:val="24"/>
          <w:szCs w:val="24"/>
        </w:rPr>
        <w:t>12</w:t>
      </w:r>
      <w:r w:rsidRPr="006644F4">
        <w:rPr>
          <w:rFonts w:ascii="Arial" w:hAnsi="Arial" w:cs="Arial"/>
          <w:sz w:val="24"/>
          <w:szCs w:val="24"/>
          <w:vertAlign w:val="superscript"/>
        </w:rPr>
        <w:t>th</w:t>
      </w:r>
      <w:r w:rsidRPr="006644F4">
        <w:rPr>
          <w:rFonts w:ascii="Arial" w:hAnsi="Arial" w:cs="Arial"/>
          <w:sz w:val="24"/>
          <w:szCs w:val="24"/>
        </w:rPr>
        <w:t xml:space="preserve"> February. Available at: </w:t>
      </w:r>
      <w:hyperlink r:id="rId22" w:history="1">
        <w:r w:rsidRPr="006644F4">
          <w:rPr>
            <w:rStyle w:val="Hyperlink"/>
            <w:rFonts w:ascii="Arial" w:hAnsi="Arial" w:cs="Arial"/>
            <w:sz w:val="24"/>
            <w:szCs w:val="24"/>
          </w:rPr>
          <w:t>https://precoro.com/blog/liquidity-management/</w:t>
        </w:r>
      </w:hyperlink>
      <w:r w:rsidRPr="006644F4">
        <w:rPr>
          <w:rFonts w:ascii="Arial" w:hAnsi="Arial" w:cs="Arial"/>
          <w:sz w:val="24"/>
          <w:szCs w:val="24"/>
        </w:rPr>
        <w:t xml:space="preserve"> (accessed: 5</w:t>
      </w:r>
      <w:r w:rsidRPr="006644F4">
        <w:rPr>
          <w:rFonts w:ascii="Arial" w:hAnsi="Arial" w:cs="Arial"/>
          <w:sz w:val="24"/>
          <w:szCs w:val="24"/>
          <w:vertAlign w:val="superscript"/>
        </w:rPr>
        <w:t>th</w:t>
      </w:r>
      <w:r w:rsidRPr="006644F4">
        <w:rPr>
          <w:rFonts w:ascii="Arial" w:hAnsi="Arial" w:cs="Arial"/>
          <w:sz w:val="24"/>
          <w:szCs w:val="24"/>
        </w:rPr>
        <w:t xml:space="preserve"> June 2024).</w:t>
      </w:r>
    </w:p>
    <w:p w14:paraId="0B4708F0"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Hutton, G., Irvine, S. and Foley, N. (2022) ‘Hospitality industry and Covid-19’, </w:t>
      </w:r>
      <w:r w:rsidRPr="006644F4">
        <w:rPr>
          <w:rFonts w:ascii="Arial" w:hAnsi="Arial" w:cs="Arial"/>
          <w:i/>
          <w:iCs/>
          <w:sz w:val="24"/>
          <w:szCs w:val="24"/>
        </w:rPr>
        <w:t xml:space="preserve">House of Commons Library, </w:t>
      </w:r>
      <w:r w:rsidRPr="006644F4">
        <w:rPr>
          <w:rFonts w:ascii="Arial" w:hAnsi="Arial" w:cs="Arial"/>
          <w:sz w:val="24"/>
          <w:szCs w:val="24"/>
        </w:rPr>
        <w:t>12</w:t>
      </w:r>
      <w:r w:rsidRPr="006644F4">
        <w:rPr>
          <w:rFonts w:ascii="Arial" w:hAnsi="Arial" w:cs="Arial"/>
          <w:sz w:val="24"/>
          <w:szCs w:val="24"/>
          <w:vertAlign w:val="superscript"/>
        </w:rPr>
        <w:t>th</w:t>
      </w:r>
      <w:r w:rsidRPr="006644F4">
        <w:rPr>
          <w:rFonts w:ascii="Arial" w:hAnsi="Arial" w:cs="Arial"/>
          <w:sz w:val="24"/>
          <w:szCs w:val="24"/>
        </w:rPr>
        <w:t xml:space="preserve"> May. Available at: </w:t>
      </w:r>
      <w:hyperlink r:id="rId23" w:history="1">
        <w:r w:rsidRPr="006644F4">
          <w:rPr>
            <w:rStyle w:val="Hyperlink"/>
            <w:rFonts w:ascii="Arial" w:hAnsi="Arial" w:cs="Arial"/>
            <w:sz w:val="24"/>
            <w:szCs w:val="24"/>
          </w:rPr>
          <w:t>https://commonslibrary.parliament.uk/research-briefings/cbp-9111/</w:t>
        </w:r>
      </w:hyperlink>
      <w:r w:rsidRPr="006644F4">
        <w:rPr>
          <w:rFonts w:ascii="Arial" w:hAnsi="Arial" w:cs="Arial"/>
          <w:sz w:val="24"/>
          <w:szCs w:val="24"/>
        </w:rPr>
        <w:t xml:space="preserve"> (accessed: 6</w:t>
      </w:r>
      <w:r w:rsidRPr="006644F4">
        <w:rPr>
          <w:rFonts w:ascii="Arial" w:hAnsi="Arial" w:cs="Arial"/>
          <w:sz w:val="24"/>
          <w:szCs w:val="24"/>
          <w:vertAlign w:val="superscript"/>
        </w:rPr>
        <w:t>th</w:t>
      </w:r>
      <w:r w:rsidRPr="006644F4">
        <w:rPr>
          <w:rFonts w:ascii="Arial" w:hAnsi="Arial" w:cs="Arial"/>
          <w:sz w:val="24"/>
          <w:szCs w:val="24"/>
        </w:rPr>
        <w:t xml:space="preserve"> June 2024). </w:t>
      </w:r>
    </w:p>
    <w:p w14:paraId="3F2E9117"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Inspired Economist (2023) ‘Quick Ratio: Understanding its Importance for Liquidity Assessment’, </w:t>
      </w:r>
      <w:r w:rsidRPr="006644F4">
        <w:rPr>
          <w:rFonts w:ascii="Arial" w:hAnsi="Arial" w:cs="Arial"/>
          <w:i/>
          <w:iCs/>
          <w:sz w:val="24"/>
          <w:szCs w:val="24"/>
        </w:rPr>
        <w:t xml:space="preserve">Inspired Economist, </w:t>
      </w:r>
      <w:r w:rsidRPr="006644F4">
        <w:rPr>
          <w:rFonts w:ascii="Arial" w:hAnsi="Arial" w:cs="Arial"/>
          <w:sz w:val="24"/>
          <w:szCs w:val="24"/>
        </w:rPr>
        <w:t>1</w:t>
      </w:r>
      <w:r w:rsidRPr="006644F4">
        <w:rPr>
          <w:rFonts w:ascii="Arial" w:hAnsi="Arial" w:cs="Arial"/>
          <w:sz w:val="24"/>
          <w:szCs w:val="24"/>
          <w:vertAlign w:val="superscript"/>
        </w:rPr>
        <w:t>st</w:t>
      </w:r>
      <w:r w:rsidRPr="006644F4">
        <w:rPr>
          <w:rFonts w:ascii="Arial" w:hAnsi="Arial" w:cs="Arial"/>
          <w:sz w:val="24"/>
          <w:szCs w:val="24"/>
        </w:rPr>
        <w:t xml:space="preserve"> November. Available at: </w:t>
      </w:r>
      <w:hyperlink r:id="rId24" w:anchor=":~:text=Substantially%20lower%20or%20declining%20quick%20ratios%20could%20be,debt%2C%20both%20of%20which%20need%20immediate%20management%20attention" w:history="1">
        <w:r w:rsidRPr="006644F4">
          <w:rPr>
            <w:rStyle w:val="Hyperlink"/>
            <w:rFonts w:ascii="Arial" w:hAnsi="Arial" w:cs="Arial"/>
            <w:sz w:val="24"/>
            <w:szCs w:val="24"/>
          </w:rPr>
          <w:t>https://inspiredeconomist.com/articles/quick-ratio/#:~:text=Substantially%20lower%20or%20declining%20quick%20ratios%20cou</w:t>
        </w:r>
        <w:r w:rsidRPr="006644F4">
          <w:rPr>
            <w:rStyle w:val="Hyperlink"/>
            <w:rFonts w:ascii="Arial" w:hAnsi="Arial" w:cs="Arial"/>
            <w:sz w:val="24"/>
            <w:szCs w:val="24"/>
          </w:rPr>
          <w:lastRenderedPageBreak/>
          <w:t>ld%20be,debt%2C%20both%20of%20which%20need%20immediate%20management%20attention</w:t>
        </w:r>
      </w:hyperlink>
      <w:r w:rsidRPr="006644F4">
        <w:rPr>
          <w:rFonts w:ascii="Arial" w:hAnsi="Arial" w:cs="Arial"/>
          <w:sz w:val="24"/>
          <w:szCs w:val="24"/>
        </w:rPr>
        <w:t>. (accessed: 5</w:t>
      </w:r>
      <w:r w:rsidRPr="006644F4">
        <w:rPr>
          <w:rFonts w:ascii="Arial" w:hAnsi="Arial" w:cs="Arial"/>
          <w:sz w:val="24"/>
          <w:szCs w:val="24"/>
          <w:vertAlign w:val="superscript"/>
        </w:rPr>
        <w:t>th</w:t>
      </w:r>
      <w:r w:rsidRPr="006644F4">
        <w:rPr>
          <w:rFonts w:ascii="Arial" w:hAnsi="Arial" w:cs="Arial"/>
          <w:sz w:val="24"/>
          <w:szCs w:val="24"/>
        </w:rPr>
        <w:t xml:space="preserve"> June 2024).</w:t>
      </w:r>
    </w:p>
    <w:p w14:paraId="7880F824"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Javed, R. (2023) ‘Financial statement analysis’, </w:t>
      </w:r>
      <w:r w:rsidRPr="006644F4">
        <w:rPr>
          <w:rFonts w:ascii="Arial" w:hAnsi="Arial" w:cs="Arial"/>
          <w:i/>
          <w:iCs/>
          <w:sz w:val="24"/>
          <w:szCs w:val="24"/>
        </w:rPr>
        <w:t xml:space="preserve">Accounting for Management, </w:t>
      </w:r>
      <w:r w:rsidRPr="006644F4">
        <w:rPr>
          <w:rFonts w:ascii="Arial" w:hAnsi="Arial" w:cs="Arial"/>
          <w:sz w:val="24"/>
          <w:szCs w:val="24"/>
        </w:rPr>
        <w:t>11</w:t>
      </w:r>
      <w:r w:rsidRPr="006644F4">
        <w:rPr>
          <w:rFonts w:ascii="Arial" w:hAnsi="Arial" w:cs="Arial"/>
          <w:sz w:val="24"/>
          <w:szCs w:val="24"/>
          <w:vertAlign w:val="superscript"/>
        </w:rPr>
        <w:t>th</w:t>
      </w:r>
      <w:r w:rsidRPr="006644F4">
        <w:rPr>
          <w:rFonts w:ascii="Arial" w:hAnsi="Arial" w:cs="Arial"/>
          <w:sz w:val="24"/>
          <w:szCs w:val="24"/>
        </w:rPr>
        <w:t xml:space="preserve"> July. Available at: </w:t>
      </w:r>
      <w:hyperlink r:id="rId25" w:history="1">
        <w:r w:rsidRPr="006644F4">
          <w:rPr>
            <w:rStyle w:val="Hyperlink"/>
            <w:rFonts w:ascii="Arial" w:hAnsi="Arial" w:cs="Arial"/>
            <w:sz w:val="24"/>
            <w:szCs w:val="24"/>
          </w:rPr>
          <w:t>https://www.accountingformanagement.org/current-ratio/</w:t>
        </w:r>
      </w:hyperlink>
      <w:r w:rsidRPr="006644F4">
        <w:rPr>
          <w:rFonts w:ascii="Arial" w:hAnsi="Arial" w:cs="Arial"/>
          <w:sz w:val="24"/>
          <w:szCs w:val="24"/>
        </w:rPr>
        <w:t xml:space="preserve"> (accessed: 5</w:t>
      </w:r>
      <w:r w:rsidRPr="006644F4">
        <w:rPr>
          <w:rFonts w:ascii="Arial" w:hAnsi="Arial" w:cs="Arial"/>
          <w:sz w:val="24"/>
          <w:szCs w:val="24"/>
          <w:vertAlign w:val="superscript"/>
        </w:rPr>
        <w:t>th</w:t>
      </w:r>
      <w:r w:rsidRPr="006644F4">
        <w:rPr>
          <w:rFonts w:ascii="Arial" w:hAnsi="Arial" w:cs="Arial"/>
          <w:sz w:val="24"/>
          <w:szCs w:val="24"/>
        </w:rPr>
        <w:t xml:space="preserve"> June 2024). </w:t>
      </w:r>
    </w:p>
    <w:p w14:paraId="06BC86A6"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Landman, P. (2023) ‘10 Effective Cost-Saving Strategies for Hotels’, </w:t>
      </w:r>
      <w:r w:rsidRPr="006644F4">
        <w:rPr>
          <w:rFonts w:ascii="Arial" w:hAnsi="Arial" w:cs="Arial"/>
          <w:i/>
          <w:iCs/>
          <w:sz w:val="24"/>
          <w:szCs w:val="24"/>
        </w:rPr>
        <w:t xml:space="preserve">Hospitality Net, </w:t>
      </w:r>
      <w:r w:rsidRPr="006644F4">
        <w:rPr>
          <w:rFonts w:ascii="Arial" w:hAnsi="Arial" w:cs="Arial"/>
          <w:sz w:val="24"/>
          <w:szCs w:val="24"/>
        </w:rPr>
        <w:t>9</w:t>
      </w:r>
      <w:r w:rsidRPr="006644F4">
        <w:rPr>
          <w:rFonts w:ascii="Arial" w:hAnsi="Arial" w:cs="Arial"/>
          <w:sz w:val="24"/>
          <w:szCs w:val="24"/>
          <w:vertAlign w:val="superscript"/>
        </w:rPr>
        <w:t>th</w:t>
      </w:r>
      <w:r w:rsidRPr="006644F4">
        <w:rPr>
          <w:rFonts w:ascii="Arial" w:hAnsi="Arial" w:cs="Arial"/>
          <w:sz w:val="24"/>
          <w:szCs w:val="24"/>
        </w:rPr>
        <w:t xml:space="preserve"> May. Available at: </w:t>
      </w:r>
      <w:hyperlink r:id="rId26" w:history="1">
        <w:r w:rsidRPr="006644F4">
          <w:rPr>
            <w:rStyle w:val="Hyperlink"/>
            <w:rFonts w:ascii="Arial" w:hAnsi="Arial" w:cs="Arial"/>
            <w:sz w:val="24"/>
            <w:szCs w:val="24"/>
          </w:rPr>
          <w:t>https://www.hospitalitynet.org/opinion/4116297.html</w:t>
        </w:r>
      </w:hyperlink>
      <w:r w:rsidRPr="006644F4">
        <w:rPr>
          <w:rFonts w:ascii="Arial" w:hAnsi="Arial" w:cs="Arial"/>
          <w:sz w:val="24"/>
          <w:szCs w:val="24"/>
        </w:rPr>
        <w:t xml:space="preserve"> (accessed: 6</w:t>
      </w:r>
      <w:r w:rsidRPr="006644F4">
        <w:rPr>
          <w:rFonts w:ascii="Arial" w:hAnsi="Arial" w:cs="Arial"/>
          <w:sz w:val="24"/>
          <w:szCs w:val="24"/>
          <w:vertAlign w:val="superscript"/>
        </w:rPr>
        <w:t>th</w:t>
      </w:r>
      <w:r w:rsidRPr="006644F4">
        <w:rPr>
          <w:rFonts w:ascii="Arial" w:hAnsi="Arial" w:cs="Arial"/>
          <w:sz w:val="24"/>
          <w:szCs w:val="24"/>
        </w:rPr>
        <w:t xml:space="preserve"> June 2024). </w:t>
      </w:r>
    </w:p>
    <w:p w14:paraId="098654AA"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Lee, S. et al. (2024) ‘Resilience of the hospitality industry during crises: A comparison between the 2008 financial crisis and COVID-19’, </w:t>
      </w:r>
      <w:r w:rsidRPr="006644F4">
        <w:rPr>
          <w:rFonts w:ascii="Arial" w:hAnsi="Arial" w:cs="Arial"/>
          <w:i/>
          <w:iCs/>
          <w:sz w:val="24"/>
          <w:szCs w:val="24"/>
        </w:rPr>
        <w:t xml:space="preserve">International Journal of Hospitality Management. </w:t>
      </w:r>
      <w:r w:rsidRPr="006644F4">
        <w:rPr>
          <w:rFonts w:ascii="Arial" w:hAnsi="Arial" w:cs="Arial"/>
          <w:sz w:val="24"/>
          <w:szCs w:val="24"/>
        </w:rPr>
        <w:t xml:space="preserve">Vol. 116. DOI: </w:t>
      </w:r>
      <w:hyperlink r:id="rId27" w:history="1">
        <w:r w:rsidRPr="006644F4">
          <w:rPr>
            <w:rStyle w:val="Hyperlink"/>
            <w:rFonts w:ascii="Arial" w:hAnsi="Arial" w:cs="Arial"/>
            <w:sz w:val="24"/>
            <w:szCs w:val="24"/>
          </w:rPr>
          <w:t>https://doi.org/10.1016/j.ijhm.2023.103622</w:t>
        </w:r>
      </w:hyperlink>
      <w:r w:rsidRPr="006644F4">
        <w:rPr>
          <w:rFonts w:ascii="Arial" w:hAnsi="Arial" w:cs="Arial"/>
          <w:sz w:val="24"/>
          <w:szCs w:val="24"/>
        </w:rPr>
        <w:t xml:space="preserve"> (accessed: 6</w:t>
      </w:r>
      <w:r w:rsidRPr="006644F4">
        <w:rPr>
          <w:rFonts w:ascii="Arial" w:hAnsi="Arial" w:cs="Arial"/>
          <w:sz w:val="24"/>
          <w:szCs w:val="24"/>
          <w:vertAlign w:val="superscript"/>
        </w:rPr>
        <w:t>th</w:t>
      </w:r>
      <w:r w:rsidRPr="006644F4">
        <w:rPr>
          <w:rFonts w:ascii="Arial" w:hAnsi="Arial" w:cs="Arial"/>
          <w:sz w:val="24"/>
          <w:szCs w:val="24"/>
        </w:rPr>
        <w:t xml:space="preserve"> June 2024). </w:t>
      </w:r>
    </w:p>
    <w:p w14:paraId="016AC6BE"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Merritt, C. (2021) ‘Reasons for Decrease in Stockholders Equity’, </w:t>
      </w:r>
      <w:r w:rsidRPr="006644F4">
        <w:rPr>
          <w:rFonts w:ascii="Arial" w:hAnsi="Arial" w:cs="Arial"/>
          <w:i/>
          <w:iCs/>
          <w:sz w:val="24"/>
          <w:szCs w:val="24"/>
        </w:rPr>
        <w:t xml:space="preserve">Sapling, </w:t>
      </w:r>
      <w:r w:rsidRPr="006644F4">
        <w:rPr>
          <w:rFonts w:ascii="Arial" w:hAnsi="Arial" w:cs="Arial"/>
          <w:sz w:val="24"/>
          <w:szCs w:val="24"/>
        </w:rPr>
        <w:t>15</w:t>
      </w:r>
      <w:r w:rsidRPr="006644F4">
        <w:rPr>
          <w:rFonts w:ascii="Arial" w:hAnsi="Arial" w:cs="Arial"/>
          <w:sz w:val="24"/>
          <w:szCs w:val="24"/>
          <w:vertAlign w:val="superscript"/>
        </w:rPr>
        <w:t>th</w:t>
      </w:r>
      <w:r w:rsidRPr="006644F4">
        <w:rPr>
          <w:rFonts w:ascii="Arial" w:hAnsi="Arial" w:cs="Arial"/>
          <w:sz w:val="24"/>
          <w:szCs w:val="24"/>
        </w:rPr>
        <w:t xml:space="preserve"> October. Available at: </w:t>
      </w:r>
      <w:hyperlink r:id="rId28" w:history="1">
        <w:r w:rsidRPr="006644F4">
          <w:rPr>
            <w:rStyle w:val="Hyperlink"/>
            <w:rFonts w:ascii="Arial" w:hAnsi="Arial" w:cs="Arial"/>
            <w:sz w:val="24"/>
            <w:szCs w:val="24"/>
          </w:rPr>
          <w:t>https://www.sapling.com/10019281/reasons-decrease-stockholders-equity</w:t>
        </w:r>
      </w:hyperlink>
      <w:r w:rsidRPr="006644F4">
        <w:rPr>
          <w:rFonts w:ascii="Arial" w:hAnsi="Arial" w:cs="Arial"/>
          <w:sz w:val="24"/>
          <w:szCs w:val="24"/>
        </w:rPr>
        <w:t xml:space="preserve"> (accessed: 2</w:t>
      </w:r>
      <w:r w:rsidRPr="006644F4">
        <w:rPr>
          <w:rFonts w:ascii="Arial" w:hAnsi="Arial" w:cs="Arial"/>
          <w:sz w:val="24"/>
          <w:szCs w:val="24"/>
          <w:vertAlign w:val="superscript"/>
        </w:rPr>
        <w:t>nd</w:t>
      </w:r>
      <w:r w:rsidRPr="006644F4">
        <w:rPr>
          <w:rFonts w:ascii="Arial" w:hAnsi="Arial" w:cs="Arial"/>
          <w:sz w:val="24"/>
          <w:szCs w:val="24"/>
        </w:rPr>
        <w:t xml:space="preserve"> June 2024). </w:t>
      </w:r>
    </w:p>
    <w:p w14:paraId="78571759" w14:textId="77777777" w:rsidR="00A157D3" w:rsidRPr="006644F4" w:rsidRDefault="00A157D3" w:rsidP="00A157D3">
      <w:pPr>
        <w:spacing w:line="360" w:lineRule="auto"/>
        <w:jc w:val="both"/>
        <w:rPr>
          <w:rFonts w:ascii="Arial" w:hAnsi="Arial" w:cs="Arial"/>
          <w:sz w:val="24"/>
          <w:szCs w:val="24"/>
        </w:rPr>
      </w:pPr>
      <w:proofErr w:type="spellStart"/>
      <w:r w:rsidRPr="006644F4">
        <w:rPr>
          <w:rFonts w:ascii="Arial" w:hAnsi="Arial" w:cs="Arial"/>
          <w:sz w:val="24"/>
          <w:szCs w:val="24"/>
        </w:rPr>
        <w:t>Peuter</w:t>
      </w:r>
      <w:proofErr w:type="spellEnd"/>
      <w:r w:rsidRPr="006644F4">
        <w:rPr>
          <w:rFonts w:ascii="Arial" w:hAnsi="Arial" w:cs="Arial"/>
          <w:sz w:val="24"/>
          <w:szCs w:val="24"/>
        </w:rPr>
        <w:t xml:space="preserve">-Rutten, J. (2020) ‘Evaluating hotel performance: 6 key factors’, </w:t>
      </w:r>
      <w:r w:rsidRPr="006644F4">
        <w:rPr>
          <w:rFonts w:ascii="Arial" w:hAnsi="Arial" w:cs="Arial"/>
          <w:i/>
          <w:iCs/>
          <w:sz w:val="24"/>
          <w:szCs w:val="24"/>
        </w:rPr>
        <w:t xml:space="preserve">Hospitality Insights, </w:t>
      </w:r>
      <w:r w:rsidRPr="006644F4">
        <w:rPr>
          <w:rFonts w:ascii="Arial" w:hAnsi="Arial" w:cs="Arial"/>
          <w:sz w:val="24"/>
          <w:szCs w:val="24"/>
        </w:rPr>
        <w:t>15</w:t>
      </w:r>
      <w:r w:rsidRPr="006644F4">
        <w:rPr>
          <w:rFonts w:ascii="Arial" w:hAnsi="Arial" w:cs="Arial"/>
          <w:sz w:val="24"/>
          <w:szCs w:val="24"/>
          <w:vertAlign w:val="superscript"/>
        </w:rPr>
        <w:t>th</w:t>
      </w:r>
      <w:r w:rsidRPr="006644F4">
        <w:rPr>
          <w:rFonts w:ascii="Arial" w:hAnsi="Arial" w:cs="Arial"/>
          <w:sz w:val="24"/>
          <w:szCs w:val="24"/>
        </w:rPr>
        <w:t xml:space="preserve"> September. Available at: </w:t>
      </w:r>
      <w:hyperlink r:id="rId29" w:anchor=":~:text=Various%20factors%20feed%20into%20the%20success%20of%20a,aims%20to%20maximize%20the%20value%20of%20hotel%20property" w:history="1">
        <w:r w:rsidRPr="006644F4">
          <w:rPr>
            <w:rStyle w:val="Hyperlink"/>
            <w:rFonts w:ascii="Arial" w:hAnsi="Arial" w:cs="Arial"/>
            <w:sz w:val="24"/>
            <w:szCs w:val="24"/>
          </w:rPr>
          <w:t>https://hospitalityinsights.ehl.edu/evaluating-hotel-performance#:~:text=Various%20factors%20feed%20into%20the%20success%20of%20a,aims%20to%20maximize%20the%20value%20of%20hotel%20property</w:t>
        </w:r>
      </w:hyperlink>
      <w:r w:rsidRPr="006644F4">
        <w:rPr>
          <w:rFonts w:ascii="Arial" w:hAnsi="Arial" w:cs="Arial"/>
          <w:sz w:val="24"/>
          <w:szCs w:val="24"/>
        </w:rPr>
        <w:t>. (accessed: 6</w:t>
      </w:r>
      <w:r w:rsidRPr="006644F4">
        <w:rPr>
          <w:rFonts w:ascii="Arial" w:hAnsi="Arial" w:cs="Arial"/>
          <w:sz w:val="24"/>
          <w:szCs w:val="24"/>
          <w:vertAlign w:val="superscript"/>
        </w:rPr>
        <w:t>th</w:t>
      </w:r>
      <w:r w:rsidRPr="006644F4">
        <w:rPr>
          <w:rFonts w:ascii="Arial" w:hAnsi="Arial" w:cs="Arial"/>
          <w:sz w:val="24"/>
          <w:szCs w:val="24"/>
        </w:rPr>
        <w:t xml:space="preserve"> June 2024). </w:t>
      </w:r>
    </w:p>
    <w:p w14:paraId="4027B79B"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Ryzhkov, A. (2024) ‘The Hidden Costs of the Hotel Industry: Understanding Operating Expenses’, </w:t>
      </w:r>
      <w:r w:rsidRPr="006644F4">
        <w:rPr>
          <w:rFonts w:ascii="Arial" w:hAnsi="Arial" w:cs="Arial"/>
          <w:i/>
          <w:iCs/>
          <w:sz w:val="24"/>
          <w:szCs w:val="24"/>
        </w:rPr>
        <w:t xml:space="preserve">Fin Models Lab, </w:t>
      </w:r>
      <w:r w:rsidRPr="006644F4">
        <w:rPr>
          <w:rFonts w:ascii="Arial" w:hAnsi="Arial" w:cs="Arial"/>
          <w:sz w:val="24"/>
          <w:szCs w:val="24"/>
        </w:rPr>
        <w:t>31</w:t>
      </w:r>
      <w:r w:rsidRPr="006644F4">
        <w:rPr>
          <w:rFonts w:ascii="Arial" w:hAnsi="Arial" w:cs="Arial"/>
          <w:sz w:val="24"/>
          <w:szCs w:val="24"/>
          <w:vertAlign w:val="superscript"/>
        </w:rPr>
        <w:t>st</w:t>
      </w:r>
      <w:r w:rsidRPr="006644F4">
        <w:rPr>
          <w:rFonts w:ascii="Arial" w:hAnsi="Arial" w:cs="Arial"/>
          <w:sz w:val="24"/>
          <w:szCs w:val="24"/>
        </w:rPr>
        <w:t xml:space="preserve"> May. Available at: </w:t>
      </w:r>
      <w:hyperlink r:id="rId30" w:history="1">
        <w:r w:rsidRPr="006644F4">
          <w:rPr>
            <w:rStyle w:val="Hyperlink"/>
            <w:rFonts w:ascii="Arial" w:hAnsi="Arial" w:cs="Arial"/>
            <w:sz w:val="24"/>
            <w:szCs w:val="24"/>
          </w:rPr>
          <w:t>https://finmodelslab.com/blogs/operating-costs/hotel-operating-costs</w:t>
        </w:r>
      </w:hyperlink>
      <w:r w:rsidRPr="006644F4">
        <w:rPr>
          <w:rFonts w:ascii="Arial" w:hAnsi="Arial" w:cs="Arial"/>
          <w:sz w:val="24"/>
          <w:szCs w:val="24"/>
        </w:rPr>
        <w:t xml:space="preserve"> (accessed: 6</w:t>
      </w:r>
      <w:r w:rsidRPr="006644F4">
        <w:rPr>
          <w:rFonts w:ascii="Arial" w:hAnsi="Arial" w:cs="Arial"/>
          <w:sz w:val="24"/>
          <w:szCs w:val="24"/>
          <w:vertAlign w:val="superscript"/>
        </w:rPr>
        <w:t>th</w:t>
      </w:r>
      <w:r w:rsidRPr="006644F4">
        <w:rPr>
          <w:rFonts w:ascii="Arial" w:hAnsi="Arial" w:cs="Arial"/>
          <w:sz w:val="24"/>
          <w:szCs w:val="24"/>
        </w:rPr>
        <w:t xml:space="preserve"> June 2024). </w:t>
      </w:r>
    </w:p>
    <w:p w14:paraId="4EBB8781" w14:textId="77777777" w:rsidR="00A157D3" w:rsidRPr="006644F4" w:rsidRDefault="00A157D3" w:rsidP="00A157D3">
      <w:pPr>
        <w:spacing w:line="360" w:lineRule="auto"/>
        <w:jc w:val="both"/>
        <w:rPr>
          <w:rFonts w:ascii="Arial" w:hAnsi="Arial" w:cs="Arial"/>
          <w:sz w:val="24"/>
          <w:szCs w:val="24"/>
        </w:rPr>
      </w:pPr>
      <w:r w:rsidRPr="006644F4">
        <w:rPr>
          <w:rFonts w:ascii="Arial" w:hAnsi="Arial" w:cs="Arial"/>
          <w:sz w:val="24"/>
          <w:szCs w:val="24"/>
        </w:rPr>
        <w:t xml:space="preserve">Stokes, M. (2024) ‘Debt to Equity Ratio Explained’, </w:t>
      </w:r>
      <w:r w:rsidRPr="006644F4">
        <w:rPr>
          <w:rFonts w:ascii="Arial" w:hAnsi="Arial" w:cs="Arial"/>
          <w:i/>
          <w:iCs/>
          <w:sz w:val="24"/>
          <w:szCs w:val="24"/>
        </w:rPr>
        <w:t xml:space="preserve">Investing, </w:t>
      </w:r>
      <w:r w:rsidRPr="006644F4">
        <w:rPr>
          <w:rFonts w:ascii="Arial" w:hAnsi="Arial" w:cs="Arial"/>
          <w:sz w:val="24"/>
          <w:szCs w:val="24"/>
        </w:rPr>
        <w:t>16</w:t>
      </w:r>
      <w:r w:rsidRPr="006644F4">
        <w:rPr>
          <w:rFonts w:ascii="Arial" w:hAnsi="Arial" w:cs="Arial"/>
          <w:sz w:val="24"/>
          <w:szCs w:val="24"/>
          <w:vertAlign w:val="superscript"/>
        </w:rPr>
        <w:t>th</w:t>
      </w:r>
      <w:r w:rsidRPr="006644F4">
        <w:rPr>
          <w:rFonts w:ascii="Arial" w:hAnsi="Arial" w:cs="Arial"/>
          <w:sz w:val="24"/>
          <w:szCs w:val="24"/>
        </w:rPr>
        <w:t xml:space="preserve"> May. Available at: </w:t>
      </w:r>
      <w:hyperlink r:id="rId31" w:history="1">
        <w:r w:rsidRPr="006644F4">
          <w:rPr>
            <w:rStyle w:val="Hyperlink"/>
            <w:rFonts w:ascii="Arial" w:hAnsi="Arial" w:cs="Arial"/>
            <w:sz w:val="24"/>
            <w:szCs w:val="24"/>
          </w:rPr>
          <w:t>https://www.investing.com/academy/analysis/debt-to-equity-ratio/</w:t>
        </w:r>
      </w:hyperlink>
      <w:r w:rsidRPr="006644F4">
        <w:rPr>
          <w:rFonts w:ascii="Arial" w:hAnsi="Arial" w:cs="Arial"/>
          <w:sz w:val="24"/>
          <w:szCs w:val="24"/>
        </w:rPr>
        <w:t xml:space="preserve"> (accessed: 5</w:t>
      </w:r>
      <w:r w:rsidRPr="006644F4">
        <w:rPr>
          <w:rFonts w:ascii="Arial" w:hAnsi="Arial" w:cs="Arial"/>
          <w:sz w:val="24"/>
          <w:szCs w:val="24"/>
          <w:vertAlign w:val="superscript"/>
        </w:rPr>
        <w:t>th</w:t>
      </w:r>
      <w:r w:rsidRPr="006644F4">
        <w:rPr>
          <w:rFonts w:ascii="Arial" w:hAnsi="Arial" w:cs="Arial"/>
          <w:sz w:val="24"/>
          <w:szCs w:val="24"/>
        </w:rPr>
        <w:t xml:space="preserve"> June 2024). </w:t>
      </w:r>
    </w:p>
    <w:p w14:paraId="17165EF4" w14:textId="4644E260" w:rsidR="00A157D3" w:rsidRPr="00B26F39" w:rsidRDefault="00A157D3" w:rsidP="00F608C2">
      <w:pPr>
        <w:spacing w:line="360" w:lineRule="auto"/>
        <w:jc w:val="both"/>
        <w:rPr>
          <w:rFonts w:ascii="Arial" w:hAnsi="Arial" w:cs="Arial"/>
          <w:sz w:val="24"/>
          <w:szCs w:val="24"/>
        </w:rPr>
      </w:pPr>
      <w:r w:rsidRPr="006644F4">
        <w:rPr>
          <w:rFonts w:ascii="Arial" w:hAnsi="Arial" w:cs="Arial"/>
          <w:sz w:val="24"/>
          <w:szCs w:val="24"/>
        </w:rPr>
        <w:t xml:space="preserve">Tayor, B. (2022) ‘Debt-to-Equity (D/E) Ratio’, </w:t>
      </w:r>
      <w:r w:rsidRPr="006644F4">
        <w:rPr>
          <w:rFonts w:ascii="Arial" w:hAnsi="Arial" w:cs="Arial"/>
          <w:i/>
          <w:iCs/>
          <w:sz w:val="24"/>
          <w:szCs w:val="24"/>
        </w:rPr>
        <w:t xml:space="preserve">Stock Analysis, </w:t>
      </w:r>
      <w:r w:rsidRPr="006644F4">
        <w:rPr>
          <w:rFonts w:ascii="Arial" w:hAnsi="Arial" w:cs="Arial"/>
          <w:sz w:val="24"/>
          <w:szCs w:val="24"/>
        </w:rPr>
        <w:t>12</w:t>
      </w:r>
      <w:r w:rsidRPr="006644F4">
        <w:rPr>
          <w:rFonts w:ascii="Arial" w:hAnsi="Arial" w:cs="Arial"/>
          <w:sz w:val="24"/>
          <w:szCs w:val="24"/>
          <w:vertAlign w:val="superscript"/>
        </w:rPr>
        <w:t>th</w:t>
      </w:r>
      <w:r w:rsidRPr="006644F4">
        <w:rPr>
          <w:rFonts w:ascii="Arial" w:hAnsi="Arial" w:cs="Arial"/>
          <w:sz w:val="24"/>
          <w:szCs w:val="24"/>
        </w:rPr>
        <w:t xml:space="preserve"> December. Available at: </w:t>
      </w:r>
      <w:hyperlink r:id="rId32" w:history="1">
        <w:r w:rsidRPr="006644F4">
          <w:rPr>
            <w:rStyle w:val="Hyperlink"/>
            <w:rFonts w:ascii="Arial" w:hAnsi="Arial" w:cs="Arial"/>
            <w:sz w:val="24"/>
            <w:szCs w:val="24"/>
          </w:rPr>
          <w:t>https://stockanalysis.com/term/debt-to-equity-ratio/</w:t>
        </w:r>
      </w:hyperlink>
      <w:r w:rsidRPr="006644F4">
        <w:rPr>
          <w:rFonts w:ascii="Arial" w:hAnsi="Arial" w:cs="Arial"/>
          <w:sz w:val="24"/>
          <w:szCs w:val="24"/>
        </w:rPr>
        <w:t xml:space="preserve"> (accessed: 5</w:t>
      </w:r>
      <w:r w:rsidRPr="006644F4">
        <w:rPr>
          <w:rFonts w:ascii="Arial" w:hAnsi="Arial" w:cs="Arial"/>
          <w:sz w:val="24"/>
          <w:szCs w:val="24"/>
          <w:vertAlign w:val="superscript"/>
        </w:rPr>
        <w:t>th</w:t>
      </w:r>
      <w:r w:rsidRPr="006644F4">
        <w:rPr>
          <w:rFonts w:ascii="Arial" w:hAnsi="Arial" w:cs="Arial"/>
          <w:sz w:val="24"/>
          <w:szCs w:val="24"/>
        </w:rPr>
        <w:t xml:space="preserve"> June 2024). </w:t>
      </w:r>
    </w:p>
    <w:sectPr w:rsidR="00A157D3" w:rsidRPr="00B26F39" w:rsidSect="00A157D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4034D"/>
    <w:multiLevelType w:val="hybridMultilevel"/>
    <w:tmpl w:val="7D78E166"/>
    <w:lvl w:ilvl="0" w:tplc="0E9E1DB0">
      <w:start w:val="202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770231"/>
    <w:multiLevelType w:val="hybridMultilevel"/>
    <w:tmpl w:val="8E90C466"/>
    <w:lvl w:ilvl="0" w:tplc="0E9E1DB0">
      <w:start w:val="202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AC0165"/>
    <w:multiLevelType w:val="hybridMultilevel"/>
    <w:tmpl w:val="CFE4E178"/>
    <w:lvl w:ilvl="0" w:tplc="8026C35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1476F9"/>
    <w:multiLevelType w:val="hybridMultilevel"/>
    <w:tmpl w:val="21FE7A62"/>
    <w:lvl w:ilvl="0" w:tplc="0E9E1DB0">
      <w:start w:val="202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933630"/>
    <w:multiLevelType w:val="hybridMultilevel"/>
    <w:tmpl w:val="003662DA"/>
    <w:lvl w:ilvl="0" w:tplc="0E9E1DB0">
      <w:start w:val="202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17470D"/>
    <w:multiLevelType w:val="hybridMultilevel"/>
    <w:tmpl w:val="2FBCCFAE"/>
    <w:lvl w:ilvl="0" w:tplc="0E9E1DB0">
      <w:start w:val="202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A959DD"/>
    <w:multiLevelType w:val="hybridMultilevel"/>
    <w:tmpl w:val="7FA6915C"/>
    <w:lvl w:ilvl="0" w:tplc="0E9E1DB0">
      <w:start w:val="202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E62FFC"/>
    <w:multiLevelType w:val="hybridMultilevel"/>
    <w:tmpl w:val="4788B618"/>
    <w:lvl w:ilvl="0" w:tplc="0E9E1DB0">
      <w:start w:val="202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6842174">
    <w:abstractNumId w:val="5"/>
  </w:num>
  <w:num w:numId="2" w16cid:durableId="1156452233">
    <w:abstractNumId w:val="1"/>
  </w:num>
  <w:num w:numId="3" w16cid:durableId="721291053">
    <w:abstractNumId w:val="6"/>
  </w:num>
  <w:num w:numId="4" w16cid:durableId="1720209203">
    <w:abstractNumId w:val="0"/>
  </w:num>
  <w:num w:numId="5" w16cid:durableId="707413815">
    <w:abstractNumId w:val="4"/>
  </w:num>
  <w:num w:numId="6" w16cid:durableId="107698590">
    <w:abstractNumId w:val="3"/>
  </w:num>
  <w:num w:numId="7" w16cid:durableId="1674185440">
    <w:abstractNumId w:val="7"/>
  </w:num>
  <w:num w:numId="8" w16cid:durableId="15057841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63E"/>
    <w:rsid w:val="00000F12"/>
    <w:rsid w:val="000055E2"/>
    <w:rsid w:val="000435EF"/>
    <w:rsid w:val="000530DD"/>
    <w:rsid w:val="00053CDB"/>
    <w:rsid w:val="00054132"/>
    <w:rsid w:val="00075078"/>
    <w:rsid w:val="0008189F"/>
    <w:rsid w:val="00091701"/>
    <w:rsid w:val="0009392D"/>
    <w:rsid w:val="000B7F02"/>
    <w:rsid w:val="000D435D"/>
    <w:rsid w:val="000D65AE"/>
    <w:rsid w:val="000E06D9"/>
    <w:rsid w:val="00104A22"/>
    <w:rsid w:val="00114305"/>
    <w:rsid w:val="001240F2"/>
    <w:rsid w:val="00124E77"/>
    <w:rsid w:val="001456F7"/>
    <w:rsid w:val="00172E87"/>
    <w:rsid w:val="0019342F"/>
    <w:rsid w:val="001B6C86"/>
    <w:rsid w:val="001C163E"/>
    <w:rsid w:val="001C5F28"/>
    <w:rsid w:val="001D1168"/>
    <w:rsid w:val="001E4CB3"/>
    <w:rsid w:val="001F55F8"/>
    <w:rsid w:val="001F687E"/>
    <w:rsid w:val="00227C51"/>
    <w:rsid w:val="00271F0C"/>
    <w:rsid w:val="002967EC"/>
    <w:rsid w:val="002B6210"/>
    <w:rsid w:val="002C23C7"/>
    <w:rsid w:val="002D049F"/>
    <w:rsid w:val="002E58BC"/>
    <w:rsid w:val="002F2568"/>
    <w:rsid w:val="002F7BB4"/>
    <w:rsid w:val="00327917"/>
    <w:rsid w:val="00327CEA"/>
    <w:rsid w:val="00343838"/>
    <w:rsid w:val="00355143"/>
    <w:rsid w:val="0035546A"/>
    <w:rsid w:val="003641A7"/>
    <w:rsid w:val="003715E0"/>
    <w:rsid w:val="003A2523"/>
    <w:rsid w:val="003A434B"/>
    <w:rsid w:val="003A676C"/>
    <w:rsid w:val="003C5ECC"/>
    <w:rsid w:val="00407AED"/>
    <w:rsid w:val="00410204"/>
    <w:rsid w:val="00410457"/>
    <w:rsid w:val="00412787"/>
    <w:rsid w:val="00414145"/>
    <w:rsid w:val="00490A3D"/>
    <w:rsid w:val="00495EE8"/>
    <w:rsid w:val="004E4448"/>
    <w:rsid w:val="004E5FDA"/>
    <w:rsid w:val="00511FF7"/>
    <w:rsid w:val="0053078B"/>
    <w:rsid w:val="00534490"/>
    <w:rsid w:val="00542345"/>
    <w:rsid w:val="005434CC"/>
    <w:rsid w:val="005547B8"/>
    <w:rsid w:val="00566C76"/>
    <w:rsid w:val="00574109"/>
    <w:rsid w:val="00574E14"/>
    <w:rsid w:val="00576205"/>
    <w:rsid w:val="0058264F"/>
    <w:rsid w:val="00582C30"/>
    <w:rsid w:val="00591A1E"/>
    <w:rsid w:val="00593BE3"/>
    <w:rsid w:val="005A0A87"/>
    <w:rsid w:val="005B2F7C"/>
    <w:rsid w:val="005B3170"/>
    <w:rsid w:val="005E4C7A"/>
    <w:rsid w:val="005F10EF"/>
    <w:rsid w:val="005F5254"/>
    <w:rsid w:val="005F58CA"/>
    <w:rsid w:val="005F6206"/>
    <w:rsid w:val="00610929"/>
    <w:rsid w:val="00617C96"/>
    <w:rsid w:val="00631174"/>
    <w:rsid w:val="006337DD"/>
    <w:rsid w:val="00652FC0"/>
    <w:rsid w:val="00655A43"/>
    <w:rsid w:val="00675134"/>
    <w:rsid w:val="00675C40"/>
    <w:rsid w:val="00692F41"/>
    <w:rsid w:val="00696B88"/>
    <w:rsid w:val="006A08BD"/>
    <w:rsid w:val="006B3A6F"/>
    <w:rsid w:val="006C2FC4"/>
    <w:rsid w:val="006E3EE6"/>
    <w:rsid w:val="006E42CA"/>
    <w:rsid w:val="006E530C"/>
    <w:rsid w:val="00706E78"/>
    <w:rsid w:val="00714071"/>
    <w:rsid w:val="0071488A"/>
    <w:rsid w:val="007162B9"/>
    <w:rsid w:val="00724BC4"/>
    <w:rsid w:val="00737F55"/>
    <w:rsid w:val="0076184B"/>
    <w:rsid w:val="007A28B8"/>
    <w:rsid w:val="007B3733"/>
    <w:rsid w:val="007F25C4"/>
    <w:rsid w:val="007F29D3"/>
    <w:rsid w:val="00802D95"/>
    <w:rsid w:val="0082143F"/>
    <w:rsid w:val="0082477D"/>
    <w:rsid w:val="008249AD"/>
    <w:rsid w:val="00840E7C"/>
    <w:rsid w:val="008A59FF"/>
    <w:rsid w:val="008B39BA"/>
    <w:rsid w:val="008B4FE7"/>
    <w:rsid w:val="008B59EF"/>
    <w:rsid w:val="008B6C2F"/>
    <w:rsid w:val="008E37B6"/>
    <w:rsid w:val="008E6A69"/>
    <w:rsid w:val="008F1E34"/>
    <w:rsid w:val="008F418D"/>
    <w:rsid w:val="008F4A60"/>
    <w:rsid w:val="00904AB0"/>
    <w:rsid w:val="00910874"/>
    <w:rsid w:val="00911AF3"/>
    <w:rsid w:val="00912FFF"/>
    <w:rsid w:val="00914AD8"/>
    <w:rsid w:val="009403E5"/>
    <w:rsid w:val="00943F7A"/>
    <w:rsid w:val="00945F9B"/>
    <w:rsid w:val="00955C98"/>
    <w:rsid w:val="009648CF"/>
    <w:rsid w:val="009722F6"/>
    <w:rsid w:val="00972E6D"/>
    <w:rsid w:val="009736C2"/>
    <w:rsid w:val="0099037A"/>
    <w:rsid w:val="00997DB4"/>
    <w:rsid w:val="00997F1A"/>
    <w:rsid w:val="009B229D"/>
    <w:rsid w:val="009B2F11"/>
    <w:rsid w:val="009C00DC"/>
    <w:rsid w:val="009F2EF8"/>
    <w:rsid w:val="00A06E77"/>
    <w:rsid w:val="00A07E0E"/>
    <w:rsid w:val="00A157D3"/>
    <w:rsid w:val="00A30574"/>
    <w:rsid w:val="00A31FA6"/>
    <w:rsid w:val="00A43580"/>
    <w:rsid w:val="00A8574A"/>
    <w:rsid w:val="00A94F0D"/>
    <w:rsid w:val="00AD5927"/>
    <w:rsid w:val="00B07E41"/>
    <w:rsid w:val="00B11FA7"/>
    <w:rsid w:val="00B14E8D"/>
    <w:rsid w:val="00B2283B"/>
    <w:rsid w:val="00B26F39"/>
    <w:rsid w:val="00B309EF"/>
    <w:rsid w:val="00B331C6"/>
    <w:rsid w:val="00B3584B"/>
    <w:rsid w:val="00B75D9B"/>
    <w:rsid w:val="00BA018F"/>
    <w:rsid w:val="00BA4805"/>
    <w:rsid w:val="00BB2355"/>
    <w:rsid w:val="00BB7894"/>
    <w:rsid w:val="00BC79EB"/>
    <w:rsid w:val="00BD3E72"/>
    <w:rsid w:val="00BD45C3"/>
    <w:rsid w:val="00BE791C"/>
    <w:rsid w:val="00BF119F"/>
    <w:rsid w:val="00BF7E9D"/>
    <w:rsid w:val="00C170CC"/>
    <w:rsid w:val="00C27C03"/>
    <w:rsid w:val="00C34256"/>
    <w:rsid w:val="00C519FA"/>
    <w:rsid w:val="00C55D14"/>
    <w:rsid w:val="00C6302C"/>
    <w:rsid w:val="00C73C0D"/>
    <w:rsid w:val="00C743EF"/>
    <w:rsid w:val="00C775DE"/>
    <w:rsid w:val="00C83A65"/>
    <w:rsid w:val="00C86E2D"/>
    <w:rsid w:val="00CB0FE2"/>
    <w:rsid w:val="00CC0569"/>
    <w:rsid w:val="00CD05A7"/>
    <w:rsid w:val="00CD2D49"/>
    <w:rsid w:val="00CD71CE"/>
    <w:rsid w:val="00CE7867"/>
    <w:rsid w:val="00CF1537"/>
    <w:rsid w:val="00D15FAA"/>
    <w:rsid w:val="00D44067"/>
    <w:rsid w:val="00D4626C"/>
    <w:rsid w:val="00D54420"/>
    <w:rsid w:val="00D92D0C"/>
    <w:rsid w:val="00DA21F4"/>
    <w:rsid w:val="00DB59A2"/>
    <w:rsid w:val="00DC5DD4"/>
    <w:rsid w:val="00DD38C7"/>
    <w:rsid w:val="00DD645B"/>
    <w:rsid w:val="00DE0361"/>
    <w:rsid w:val="00DF1C18"/>
    <w:rsid w:val="00E04B93"/>
    <w:rsid w:val="00E17978"/>
    <w:rsid w:val="00E245A8"/>
    <w:rsid w:val="00E25E49"/>
    <w:rsid w:val="00E318A9"/>
    <w:rsid w:val="00E357E9"/>
    <w:rsid w:val="00E3766B"/>
    <w:rsid w:val="00E54292"/>
    <w:rsid w:val="00E776CD"/>
    <w:rsid w:val="00E91FAF"/>
    <w:rsid w:val="00EB314A"/>
    <w:rsid w:val="00EC3C9B"/>
    <w:rsid w:val="00EC58F8"/>
    <w:rsid w:val="00ED593D"/>
    <w:rsid w:val="00F1569A"/>
    <w:rsid w:val="00F23042"/>
    <w:rsid w:val="00F24853"/>
    <w:rsid w:val="00F24897"/>
    <w:rsid w:val="00F26286"/>
    <w:rsid w:val="00F41568"/>
    <w:rsid w:val="00F465EA"/>
    <w:rsid w:val="00F55263"/>
    <w:rsid w:val="00F5704A"/>
    <w:rsid w:val="00F608C2"/>
    <w:rsid w:val="00F821FB"/>
    <w:rsid w:val="00FA63F6"/>
    <w:rsid w:val="00FB0290"/>
    <w:rsid w:val="00FC02A7"/>
    <w:rsid w:val="00FD0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CA8BB"/>
  <w15:chartTrackingRefBased/>
  <w15:docId w15:val="{55A45013-3C19-4BBC-8ED7-735167682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16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C16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16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16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16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16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16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16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16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6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16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16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16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16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16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16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16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163E"/>
    <w:rPr>
      <w:rFonts w:eastAsiaTheme="majorEastAsia" w:cstheme="majorBidi"/>
      <w:color w:val="272727" w:themeColor="text1" w:themeTint="D8"/>
    </w:rPr>
  </w:style>
  <w:style w:type="paragraph" w:styleId="Title">
    <w:name w:val="Title"/>
    <w:basedOn w:val="Normal"/>
    <w:next w:val="Normal"/>
    <w:link w:val="TitleChar"/>
    <w:uiPriority w:val="10"/>
    <w:qFormat/>
    <w:rsid w:val="001C16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16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16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16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163E"/>
    <w:pPr>
      <w:spacing w:before="160"/>
      <w:jc w:val="center"/>
    </w:pPr>
    <w:rPr>
      <w:i/>
      <w:iCs/>
      <w:color w:val="404040" w:themeColor="text1" w:themeTint="BF"/>
    </w:rPr>
  </w:style>
  <w:style w:type="character" w:customStyle="1" w:styleId="QuoteChar">
    <w:name w:val="Quote Char"/>
    <w:basedOn w:val="DefaultParagraphFont"/>
    <w:link w:val="Quote"/>
    <w:uiPriority w:val="29"/>
    <w:rsid w:val="001C163E"/>
    <w:rPr>
      <w:i/>
      <w:iCs/>
      <w:color w:val="404040" w:themeColor="text1" w:themeTint="BF"/>
    </w:rPr>
  </w:style>
  <w:style w:type="paragraph" w:styleId="ListParagraph">
    <w:name w:val="List Paragraph"/>
    <w:basedOn w:val="Normal"/>
    <w:uiPriority w:val="34"/>
    <w:qFormat/>
    <w:rsid w:val="001C163E"/>
    <w:pPr>
      <w:ind w:left="720"/>
      <w:contextualSpacing/>
    </w:pPr>
  </w:style>
  <w:style w:type="character" w:styleId="IntenseEmphasis">
    <w:name w:val="Intense Emphasis"/>
    <w:basedOn w:val="DefaultParagraphFont"/>
    <w:uiPriority w:val="21"/>
    <w:qFormat/>
    <w:rsid w:val="001C163E"/>
    <w:rPr>
      <w:i/>
      <w:iCs/>
      <w:color w:val="0F4761" w:themeColor="accent1" w:themeShade="BF"/>
    </w:rPr>
  </w:style>
  <w:style w:type="paragraph" w:styleId="IntenseQuote">
    <w:name w:val="Intense Quote"/>
    <w:basedOn w:val="Normal"/>
    <w:next w:val="Normal"/>
    <w:link w:val="IntenseQuoteChar"/>
    <w:uiPriority w:val="30"/>
    <w:qFormat/>
    <w:rsid w:val="001C16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163E"/>
    <w:rPr>
      <w:i/>
      <w:iCs/>
      <w:color w:val="0F4761" w:themeColor="accent1" w:themeShade="BF"/>
    </w:rPr>
  </w:style>
  <w:style w:type="character" w:styleId="IntenseReference">
    <w:name w:val="Intense Reference"/>
    <w:basedOn w:val="DefaultParagraphFont"/>
    <w:uiPriority w:val="32"/>
    <w:qFormat/>
    <w:rsid w:val="001C163E"/>
    <w:rPr>
      <w:b/>
      <w:bCs/>
      <w:smallCaps/>
      <w:color w:val="0F4761" w:themeColor="accent1" w:themeShade="BF"/>
      <w:spacing w:val="5"/>
    </w:rPr>
  </w:style>
  <w:style w:type="paragraph" w:styleId="TOCHeading">
    <w:name w:val="TOC Heading"/>
    <w:basedOn w:val="Heading1"/>
    <w:next w:val="Normal"/>
    <w:uiPriority w:val="39"/>
    <w:unhideWhenUsed/>
    <w:qFormat/>
    <w:rsid w:val="0007507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75078"/>
    <w:pPr>
      <w:spacing w:after="100"/>
    </w:pPr>
  </w:style>
  <w:style w:type="character" w:styleId="Hyperlink">
    <w:name w:val="Hyperlink"/>
    <w:basedOn w:val="DefaultParagraphFont"/>
    <w:uiPriority w:val="99"/>
    <w:unhideWhenUsed/>
    <w:rsid w:val="00075078"/>
    <w:rPr>
      <w:color w:val="467886" w:themeColor="hyperlink"/>
      <w:u w:val="single"/>
    </w:rPr>
  </w:style>
  <w:style w:type="paragraph" w:styleId="TOC2">
    <w:name w:val="toc 2"/>
    <w:basedOn w:val="Normal"/>
    <w:next w:val="Normal"/>
    <w:autoRedefine/>
    <w:uiPriority w:val="39"/>
    <w:unhideWhenUsed/>
    <w:rsid w:val="003715E0"/>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3715E0"/>
    <w:pPr>
      <w:spacing w:after="100"/>
      <w:ind w:left="440"/>
    </w:pPr>
    <w:rPr>
      <w:rFonts w:eastAsiaTheme="minorEastAsia" w:cs="Times New Roman"/>
      <w:kern w:val="0"/>
      <w:lang w:val="en-US"/>
      <w14:ligatures w14:val="none"/>
    </w:rPr>
  </w:style>
  <w:style w:type="character" w:styleId="FollowedHyperlink">
    <w:name w:val="FollowedHyperlink"/>
    <w:basedOn w:val="DefaultParagraphFont"/>
    <w:uiPriority w:val="99"/>
    <w:semiHidden/>
    <w:unhideWhenUsed/>
    <w:rsid w:val="00A157D3"/>
    <w:rPr>
      <w:color w:val="96607D" w:themeColor="followedHyperlink"/>
      <w:u w:val="single"/>
    </w:rPr>
  </w:style>
  <w:style w:type="paragraph" w:styleId="NoSpacing">
    <w:name w:val="No Spacing"/>
    <w:link w:val="NoSpacingChar"/>
    <w:uiPriority w:val="1"/>
    <w:qFormat/>
    <w:rsid w:val="00A157D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157D3"/>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587134">
      <w:bodyDiv w:val="1"/>
      <w:marLeft w:val="0"/>
      <w:marRight w:val="0"/>
      <w:marTop w:val="0"/>
      <w:marBottom w:val="0"/>
      <w:divBdr>
        <w:top w:val="none" w:sz="0" w:space="0" w:color="auto"/>
        <w:left w:val="none" w:sz="0" w:space="0" w:color="auto"/>
        <w:bottom w:val="none" w:sz="0" w:space="0" w:color="auto"/>
        <w:right w:val="none" w:sz="0" w:space="0" w:color="auto"/>
      </w:divBdr>
    </w:div>
    <w:div w:id="1643971230">
      <w:bodyDiv w:val="1"/>
      <w:marLeft w:val="0"/>
      <w:marRight w:val="0"/>
      <w:marTop w:val="0"/>
      <w:marBottom w:val="0"/>
      <w:divBdr>
        <w:top w:val="none" w:sz="0" w:space="0" w:color="auto"/>
        <w:left w:val="none" w:sz="0" w:space="0" w:color="auto"/>
        <w:bottom w:val="none" w:sz="0" w:space="0" w:color="auto"/>
        <w:right w:val="none" w:sz="0" w:space="0" w:color="auto"/>
      </w:divBdr>
    </w:div>
    <w:div w:id="212743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liffcore.com/knowledge/fundamentals/negative-return-on-assets-causes-and-meaning/" TargetMode="External"/><Relationship Id="rId18" Type="http://schemas.openxmlformats.org/officeDocument/2006/relationships/hyperlink" Target="https://hbr.org/2015/09/a-refresher-on-current-ratio" TargetMode="External"/><Relationship Id="rId26" Type="http://schemas.openxmlformats.org/officeDocument/2006/relationships/hyperlink" Target="https://www.hospitalitynet.org/opinion/4116297.html" TargetMode="External"/><Relationship Id="rId3" Type="http://schemas.openxmlformats.org/officeDocument/2006/relationships/styles" Target="styles.xml"/><Relationship Id="rId21" Type="http://schemas.openxmlformats.org/officeDocument/2006/relationships/hyperlink" Target="https://hoteltechreport.com/news/hotel-sales-strategies" TargetMode="External"/><Relationship Id="rId34" Type="http://schemas.openxmlformats.org/officeDocument/2006/relationships/glossaryDocument" Target="glossary/document.xml"/><Relationship Id="rId7" Type="http://schemas.openxmlformats.org/officeDocument/2006/relationships/image" Target="media/image2.png"/><Relationship Id="rId12" Type="http://schemas.openxmlformats.org/officeDocument/2006/relationships/hyperlink" Target="https://corporatefinanceinstitute.com/resources/accounting/quick-assets/" TargetMode="External"/><Relationship Id="rId17" Type="http://schemas.openxmlformats.org/officeDocument/2006/relationships/hyperlink" Target="https://www.gallaghermohan.com/blogs/unraveling-the-numbers-a-guide-to-hotel-financial-analysis/" TargetMode="External"/><Relationship Id="rId25" Type="http://schemas.openxmlformats.org/officeDocument/2006/relationships/hyperlink" Target="https://www.accountingformanagement.org/current-ratio/"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hospitality-strategy-reopening-recovery-resilience" TargetMode="External"/><Relationship Id="rId20" Type="http://schemas.openxmlformats.org/officeDocument/2006/relationships/hyperlink" Target="https://www.investopedia.com/terms/r/returnonassets.asp" TargetMode="External"/><Relationship Id="rId29" Type="http://schemas.openxmlformats.org/officeDocument/2006/relationships/hyperlink" Target="https://hospitalityinsights.ehl.edu/evaluating-hotel-performanc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hospitalityinsights.ehl.edu/airbnb-impact-hotel-trends" TargetMode="External"/><Relationship Id="rId24" Type="http://schemas.openxmlformats.org/officeDocument/2006/relationships/hyperlink" Target="https://inspiredeconomist.com/articles/quick-ratio/" TargetMode="External"/><Relationship Id="rId32" Type="http://schemas.openxmlformats.org/officeDocument/2006/relationships/hyperlink" Target="https://stockanalysis.com/term/debt-to-equity-ratio/" TargetMode="External"/><Relationship Id="rId5" Type="http://schemas.openxmlformats.org/officeDocument/2006/relationships/webSettings" Target="webSettings.xml"/><Relationship Id="rId15" Type="http://schemas.openxmlformats.org/officeDocument/2006/relationships/hyperlink" Target="https://tyleroliphantaccountancy.wordpress.com/2017/09/03/what-does-a-number-in-parenthesesbrackets-mean-in-accounting/" TargetMode="External"/><Relationship Id="rId23" Type="http://schemas.openxmlformats.org/officeDocument/2006/relationships/hyperlink" Target="https://commonslibrary.parliament.uk/research-briefings/cbp-9111/" TargetMode="External"/><Relationship Id="rId28" Type="http://schemas.openxmlformats.org/officeDocument/2006/relationships/hyperlink" Target="https://www.sapling.com/10019281/reasons-decrease-stockholders-equity" TargetMode="External"/><Relationship Id="rId10" Type="http://schemas.openxmlformats.org/officeDocument/2006/relationships/hyperlink" Target="https://www.forbes.com/advisor/investing/roe-return-on-equity/" TargetMode="External"/><Relationship Id="rId19" Type="http://schemas.openxmlformats.org/officeDocument/2006/relationships/hyperlink" Target="https://www.fool.com/the-ascent/small-business/accounting/current-ratio-vs-quick-ratio/" TargetMode="External"/><Relationship Id="rId31" Type="http://schemas.openxmlformats.org/officeDocument/2006/relationships/hyperlink" Target="https://www.investing.com/academy/analysis/debt-to-equity-ratio/" TargetMode="External"/><Relationship Id="rId4" Type="http://schemas.openxmlformats.org/officeDocument/2006/relationships/settings" Target="settings.xml"/><Relationship Id="rId9" Type="http://schemas.openxmlformats.org/officeDocument/2006/relationships/hyperlink" Target="https://accountingprofessor.org/quick-ratio-explained-definition-formula-and-examples/" TargetMode="External"/><Relationship Id="rId14" Type="http://schemas.openxmlformats.org/officeDocument/2006/relationships/hyperlink" Target="https://corporatefinanceinstitute.com/resources/accounting/financial-ratios/" TargetMode="External"/><Relationship Id="rId22" Type="http://schemas.openxmlformats.org/officeDocument/2006/relationships/hyperlink" Target="https://precoro.com/blog/liquidity-management/" TargetMode="External"/><Relationship Id="rId27" Type="http://schemas.openxmlformats.org/officeDocument/2006/relationships/hyperlink" Target="https://doi.org/10.1016/j.ijhm.2023.103622" TargetMode="External"/><Relationship Id="rId30" Type="http://schemas.openxmlformats.org/officeDocument/2006/relationships/hyperlink" Target="https://finmodelslab.com/blogs/operating-costs/hotel-operating-costs" TargetMode="External"/><Relationship Id="rId35" Type="http://schemas.openxmlformats.org/officeDocument/2006/relationships/theme" Target="theme/theme1.xml"/><Relationship Id="rId8" Type="http://schemas.openxmlformats.org/officeDocument/2006/relationships/hyperlink" Target="https://accountinginsights.org/understanding-and-mitigating-negative-return-on-equit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477B9E71001484B97870B7598147171"/>
        <w:category>
          <w:name w:val="General"/>
          <w:gallery w:val="placeholder"/>
        </w:category>
        <w:types>
          <w:type w:val="bbPlcHdr"/>
        </w:types>
        <w:behaviors>
          <w:behavior w:val="content"/>
        </w:behaviors>
        <w:guid w:val="{73CF3DEA-99F2-43A3-9C1A-0E970F9CE9E5}"/>
      </w:docPartPr>
      <w:docPartBody>
        <w:p w:rsidR="00366473" w:rsidRDefault="00AA42FC" w:rsidP="00AA42FC">
          <w:pPr>
            <w:pStyle w:val="2477B9E71001484B97870B7598147171"/>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2FC"/>
    <w:rsid w:val="001D3EEE"/>
    <w:rsid w:val="00366473"/>
    <w:rsid w:val="0051067E"/>
    <w:rsid w:val="00AA42FC"/>
    <w:rsid w:val="00DC5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77B9E71001484B97870B7598147171">
    <w:name w:val="2477B9E71001484B97870B7598147171"/>
    <w:rsid w:val="00AA42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B050E-5F43-4C60-AABA-044F1CFD2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12</Pages>
  <Words>3297</Words>
  <Characters>18799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Case Study: Urban Heights Hotel</dc:title>
  <dc:subject/>
  <dc:creator>Alina Badea</dc:creator>
  <cp:keywords/>
  <dc:description/>
  <cp:lastModifiedBy>Alina Badea</cp:lastModifiedBy>
  <cp:revision>212</cp:revision>
  <dcterms:created xsi:type="dcterms:W3CDTF">2024-06-04T09:00:00Z</dcterms:created>
  <dcterms:modified xsi:type="dcterms:W3CDTF">2024-06-06T22:13:00Z</dcterms:modified>
</cp:coreProperties>
</file>