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BA (Hons) Leadership and Management Skills for the Workplace</w:t>
      </w: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Module: Leading and Implementing Change (LCLM6003)</w:t>
      </w: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Assignment Title: A Strategic Change Plan</w:t>
      </w:r>
    </w:p>
    <w:p>
      <w:pPr>
        <w:spacing w:before="0" w:after="160" w:line="259"/>
        <w:ind w:right="0" w:left="0" w:firstLine="0"/>
        <w:jc w:val="center"/>
        <w:rPr>
          <w:rFonts w:ascii="Arial" w:hAnsi="Arial" w:cs="Arial" w:eastAsia="Arial"/>
          <w:b/>
          <w:color w:val="auto"/>
          <w:spacing w:val="0"/>
          <w:position w:val="0"/>
          <w:sz w:val="24"/>
          <w:shd w:fill="auto" w:val="clear"/>
        </w:rPr>
      </w:pP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 Desislava Dimitrova</w:t>
      </w: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ID: 2312911</w:t>
      </w:r>
    </w:p>
    <w:p>
      <w:pPr>
        <w:spacing w:before="0" w:after="160" w:line="259"/>
        <w:ind w:right="0" w:left="0" w:firstLine="0"/>
        <w:jc w:val="center"/>
        <w:rPr>
          <w:rFonts w:ascii="Arial" w:hAnsi="Arial" w:cs="Arial" w:eastAsia="Arial"/>
          <w:b/>
          <w:color w:val="auto"/>
          <w:spacing w:val="0"/>
          <w:position w:val="0"/>
          <w:sz w:val="24"/>
          <w:shd w:fill="auto" w:val="clear"/>
        </w:rPr>
      </w:pP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Lecturer(s): Stephen Malone</w:t>
      </w:r>
    </w:p>
    <w:p>
      <w:pPr>
        <w:spacing w:before="0" w:after="160" w:line="259"/>
        <w:ind w:right="0" w:left="0" w:firstLine="0"/>
        <w:jc w:val="center"/>
        <w:rPr>
          <w:rFonts w:ascii="Arial" w:hAnsi="Arial" w:cs="Arial" w:eastAsia="Arial"/>
          <w:b/>
          <w:color w:val="auto"/>
          <w:spacing w:val="0"/>
          <w:position w:val="0"/>
          <w:sz w:val="24"/>
          <w:shd w:fill="auto" w:val="clear"/>
        </w:rPr>
      </w:pP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Submission Date: 23/03/2026</w:t>
      </w:r>
    </w:p>
    <w:p>
      <w:pPr>
        <w:spacing w:before="0" w:after="160" w:line="259"/>
        <w:ind w:right="0" w:left="0" w:firstLine="0"/>
        <w:jc w:val="center"/>
        <w:rPr>
          <w:rFonts w:ascii="Arial" w:hAnsi="Arial" w:cs="Arial" w:eastAsia="Arial"/>
          <w:b/>
          <w:color w:val="auto"/>
          <w:spacing w:val="0"/>
          <w:position w:val="0"/>
          <w:sz w:val="24"/>
          <w:shd w:fill="auto" w:val="clear"/>
        </w:rPr>
      </w:pPr>
    </w:p>
    <w:p>
      <w:pPr>
        <w:spacing w:before="0" w:after="160" w:line="259"/>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Word Count: 4388</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keepNext w:val="true"/>
        <w:keepLines w:val="true"/>
        <w:spacing w:before="0" w:after="120" w:line="259"/>
        <w:ind w:right="0" w:left="0" w:firstLine="0"/>
        <w:jc w:val="left"/>
        <w:rPr>
          <w:rFonts w:ascii="Arial" w:hAnsi="Arial" w:cs="Arial" w:eastAsia="Arial"/>
          <w:b/>
          <w:color w:val="002060"/>
          <w:spacing w:val="0"/>
          <w:position w:val="0"/>
          <w:sz w:val="30"/>
          <w:shd w:fill="auto" w:val="clear"/>
        </w:rPr>
      </w:pPr>
    </w:p>
    <w:p>
      <w:pPr>
        <w:keepNext w:val="true"/>
        <w:keepLines w:val="true"/>
        <w:spacing w:before="0" w:after="120" w:line="259"/>
        <w:ind w:right="0" w:left="0" w:firstLine="0"/>
        <w:jc w:val="left"/>
        <w:rPr>
          <w:rFonts w:ascii="Arial" w:hAnsi="Arial" w:cs="Arial" w:eastAsia="Arial"/>
          <w:b/>
          <w:color w:val="002060"/>
          <w:spacing w:val="0"/>
          <w:position w:val="0"/>
          <w:sz w:val="30"/>
          <w:shd w:fill="auto" w:val="clear"/>
        </w:rPr>
      </w:pPr>
      <w:r>
        <w:rPr>
          <w:rFonts w:ascii="Arial" w:hAnsi="Arial" w:cs="Arial" w:eastAsia="Arial"/>
          <w:b/>
          <w:color w:val="002060"/>
          <w:spacing w:val="0"/>
          <w:position w:val="0"/>
          <w:sz w:val="30"/>
          <w:shd w:fill="auto" w:val="clear"/>
        </w:rPr>
        <w:t xml:space="preserve">Executive Summary</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Marks and Spencer plc (M&amp;S) is a UK-based retail organization that is facing a critical turning point in its history. The organisation has now been back into the FTSE 100 in 2023 after years of strategic drift and, therefore, needs to use the re-established investor confidence to implement a transformation that will deal with the underlying competitive threats at the core. These are speeding up the digital disruption, increasing the appearance of artificial intelligence throughout the retail value chain, the structural expansion of the online shopping and the growing competition with nimble, digitally native competitors. This is a Board of Directors commissioned report written in the eyes of the new Change Manager and gives a detailed strategic change management plan to cope with these challenges.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report critically assesses four change management models Lewin, Kotter, ADKAR and McKinsey 7S after thorough analysis of the organisation and environment based on the Porters Five forces and SWOT model and suggests a hybrid factor-based change management model to be implemented in the particular context of M&amp;S. The human aspects of the plan are informed with the help of leadership style analysis and cultural frameworks, such as Schein, Hofstede, and Handy. The full-fledged Strategic Change Management Plan is then tabled, with the vision, stakeholder analysis, implementation, communication, financial planning, risk management and KPIs. The report ends with a critical reflection of the strengths, limitations, ethical aspects, and implications of the plan to the Board, and strategic recommendations.</w:t>
      </w: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240" w:line="259"/>
        <w:ind w:right="0" w:left="0" w:firstLine="0"/>
        <w:jc w:val="left"/>
        <w:rPr>
          <w:rFonts w:ascii="Arial" w:hAnsi="Arial" w:cs="Arial" w:eastAsia="Arial"/>
          <w:b/>
          <w:color w:val="002060"/>
          <w:spacing w:val="0"/>
          <w:position w:val="0"/>
          <w:sz w:val="30"/>
          <w:shd w:fill="auto" w:val="clear"/>
        </w:rPr>
      </w:pPr>
    </w:p>
    <w:p>
      <w:pPr>
        <w:keepNext w:val="true"/>
        <w:keepLines w:val="true"/>
        <w:spacing w:before="240" w:after="240" w:line="259"/>
        <w:ind w:right="0" w:left="0" w:firstLine="0"/>
        <w:jc w:val="left"/>
        <w:rPr>
          <w:rFonts w:ascii="Arial" w:hAnsi="Arial" w:cs="Arial" w:eastAsia="Arial"/>
          <w:b/>
          <w:color w:val="002060"/>
          <w:spacing w:val="0"/>
          <w:position w:val="0"/>
          <w:sz w:val="30"/>
          <w:shd w:fill="auto" w:val="clear"/>
        </w:rPr>
      </w:pPr>
      <w:r>
        <w:rPr>
          <w:rFonts w:ascii="Arial" w:hAnsi="Arial" w:cs="Arial" w:eastAsia="Arial"/>
          <w:b/>
          <w:color w:val="002060"/>
          <w:spacing w:val="0"/>
          <w:position w:val="0"/>
          <w:sz w:val="30"/>
          <w:shd w:fill="auto" w:val="clear"/>
        </w:rPr>
        <w:t xml:space="preserve">1. Introduction to the Organisation</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Marks and Spencer plc is among the most familiar and largest standing brands of retail in the United Kingdom. Started by Michael Marks and Thomas Spencer in Leeds in 1884, the company started as a one-market stall and expanded into a multinational retailer in the field of food, clothing, home, and financial services (Marks and Spencer Group plc, 2026). By 2025, M&amp;S is expected to have a greater number of over 1,000 stores in the UK besides having franchise associations in more than 30 countries; with an approximate of around 64,000 employees and annual revenues totalling more than thirteen billion pounds. The Marks and Spencer mission is to provide high-quality products to everybody founded on a chain of trust, value and customer service. It has a vision of being the most reliable retailer in all the avenues it operates. The Plan A sustainability programme that supports these aspirations includes ethical sourcing commitments, carbon reduction targets, food waste reduction, and community investment efforts. </w:t>
      </w:r>
    </w:p>
    <w:p>
      <w:pPr>
        <w:spacing w:before="120" w:after="0" w:line="360"/>
        <w:ind w:right="0" w:left="0" w:firstLine="0"/>
        <w:jc w:val="center"/>
        <w:rPr>
          <w:rFonts w:ascii="Arial" w:hAnsi="Arial" w:cs="Arial" w:eastAsia="Arial"/>
          <w:color w:val="auto"/>
          <w:spacing w:val="0"/>
          <w:position w:val="0"/>
          <w:sz w:val="22"/>
          <w:shd w:fill="auto" w:val="clear"/>
        </w:rPr>
      </w:pPr>
      <w:r>
        <w:object w:dxaOrig="5076" w:dyaOrig="5076">
          <v:rect xmlns:o="urn:schemas-microsoft-com:office:office" xmlns:v="urn:schemas-microsoft-com:vml" id="rectole0000000000" style="width:253.800000pt;height:253.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2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1: Logo of Marks &amp; Spencer (Source: Marks and Spencer Group plc, 2026)</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reasons why M&amp;S has been chosen as the topic of the current report are threefold. First, it is a legendary example of British retail, so it can be used to study by any practitioner in its attempt to comprehend how heritage brands need to evolve to be competitive in the digitally disrupted market. Two, M&amp;S is on a real strategic inflection point: having made a comeback to the FTSE100 has given it a window of confidence, which it needs to turn into transformational action before it gets distilled away by competition (Hong, 2024). Third, the depth of the organisation operations in the food, fashion, home, financial services renders the analytical richness required to examine how concurrent, synergising change drivers can demand integrated and not piecemeal management responses. </w:t>
      </w:r>
    </w:p>
    <w:p>
      <w:pPr>
        <w:keepNext w:val="true"/>
        <w:keepLines w:val="true"/>
        <w:spacing w:before="240" w:after="240" w:line="259"/>
        <w:ind w:right="0" w:left="0" w:firstLine="0"/>
        <w:jc w:val="left"/>
        <w:rPr>
          <w:rFonts w:ascii="Arial" w:hAnsi="Arial" w:cs="Arial" w:eastAsia="Arial"/>
          <w:b/>
          <w:color w:val="002060"/>
          <w:spacing w:val="0"/>
          <w:position w:val="0"/>
          <w:sz w:val="30"/>
          <w:shd w:fill="auto" w:val="clear"/>
        </w:rPr>
      </w:pPr>
      <w:r>
        <w:rPr>
          <w:rFonts w:ascii="Arial" w:hAnsi="Arial" w:cs="Arial" w:eastAsia="Arial"/>
          <w:b/>
          <w:color w:val="002060"/>
          <w:spacing w:val="0"/>
          <w:position w:val="0"/>
          <w:sz w:val="30"/>
          <w:shd w:fill="auto" w:val="clear"/>
        </w:rPr>
        <w:t xml:space="preserve">2. Environmental and Organisational Analysis</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2.1 External Environment Analysis: Porter’s Five Forces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Five Forces analysis allows evaluating the nature of competition that influences the operating environment of M&amp;S. </w:t>
      </w:r>
    </w:p>
    <w:p>
      <w:pPr>
        <w:spacing w:before="120" w:after="0" w:line="360"/>
        <w:ind w:right="0" w:left="0" w:firstLine="0"/>
        <w:jc w:val="center"/>
        <w:rPr>
          <w:rFonts w:ascii="Arial" w:hAnsi="Arial" w:cs="Arial" w:eastAsia="Arial"/>
          <w:color w:val="auto"/>
          <w:spacing w:val="0"/>
          <w:position w:val="0"/>
          <w:sz w:val="22"/>
          <w:shd w:fill="auto" w:val="clear"/>
        </w:rPr>
      </w:pPr>
      <w:r>
        <w:object w:dxaOrig="13386" w:dyaOrig="6419">
          <v:rect xmlns:o="urn:schemas-microsoft-com:office:office" xmlns:v="urn:schemas-microsoft-com:vml" id="rectole0000000001" style="width:669.300000pt;height:320.9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2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2: Porter’s Five Forces Model (Sources: Lewis, 2025)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Threat of New Entrants (Moderate to High):</w:t>
      </w:r>
      <w:r>
        <w:rPr>
          <w:rFonts w:ascii="Arial" w:hAnsi="Arial" w:cs="Arial" w:eastAsia="Arial"/>
          <w:color w:val="auto"/>
          <w:spacing w:val="0"/>
          <w:position w:val="0"/>
          <w:sz w:val="22"/>
          <w:shd w:fill="auto" w:val="clear"/>
        </w:rPr>
        <w:t xml:space="preserve"> Although physical retail requires a high amount of capital, online channels have made entry barriers minimal. The UK consumers can now be accessed through social commerce platforms, direct-to-consumer fashion brands as well as international e-commerce operators with minimum infrastructural investment. In the case of M&amp;S clothing division in particular, it has enabled brands like ASOS, Shein, and many other smaller digital-native players to gain a major market share and in particular to the younger demographic that has little affinity towards heritage brands in retail (Hong, 2024).</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Bargaining Power of Suppliers (Low to Moderate):</w:t>
      </w:r>
      <w:r>
        <w:rPr>
          <w:rFonts w:ascii="Arial" w:hAnsi="Arial" w:cs="Arial" w:eastAsia="Arial"/>
          <w:color w:val="auto"/>
          <w:spacing w:val="0"/>
          <w:position w:val="0"/>
          <w:sz w:val="22"/>
          <w:shd w:fill="auto" w:val="clear"/>
        </w:rPr>
        <w:t xml:space="preserve"> Having developed long-term supplier relationships and direct-sourcing relationships, M&amp;S has restricted individual supplier power. Switching to a more and more concentrated bundle of technology and AI-platform-provider, however, is a relatively new threat that M&amp;S faces emerging as it opts to rely on the specialized expertise of third-party suppliers to execute its digital transformation objectives (Marks and Spencer Group Plc, 2026).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Bargaining Power of Buyers (High):</w:t>
      </w:r>
      <w:r>
        <w:rPr>
          <w:rFonts w:ascii="Arial" w:hAnsi="Arial" w:cs="Arial" w:eastAsia="Arial"/>
          <w:color w:val="auto"/>
          <w:spacing w:val="0"/>
          <w:position w:val="0"/>
          <w:sz w:val="22"/>
          <w:shd w:fill="auto" w:val="clear"/>
        </w:rPr>
        <w:t xml:space="preserve"> The advanced price comparison tools, loyalty programs and frictionless online switching funded by the contemporary consumer have essentially become the driving force behind the empowered consumer (Kaufman, 2017, p. 48). The customers of M&amp;S have the possibility of comparing quality and price among dozens of options with incredible ease. The pressure on the cost of living since 2022 has augmented this relationship, with customers questioning value propositions and becoming more adamant to trade down within discretionary classes.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Threat of Substitutes (High):</w:t>
      </w:r>
      <w:r>
        <w:rPr>
          <w:rFonts w:ascii="Arial" w:hAnsi="Arial" w:cs="Arial" w:eastAsia="Arial"/>
          <w:color w:val="auto"/>
          <w:spacing w:val="0"/>
          <w:position w:val="0"/>
          <w:sz w:val="22"/>
          <w:shd w:fill="auto" w:val="clear"/>
        </w:rPr>
        <w:t xml:space="preserve"> Waitrose, Sainsbury's and Tesco have direct competitors in their own-label premium food propositions which challenge the M&amp;S Food proposition, according to Li, Wang and Zhang (2023). In fashion, rental, second-hand, and fast-fashion products occupy the entire price spectrum. The shift in consumer behaviours towards sustainability is driving a faster shift towards using the circular fashion models, which pose a structural threat of substitution to the new clothing purchases.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Competitive Rivalry (Very High):</w:t>
      </w:r>
      <w:r>
        <w:rPr>
          <w:rFonts w:ascii="Arial" w:hAnsi="Arial" w:cs="Arial" w:eastAsia="Arial"/>
          <w:color w:val="auto"/>
          <w:spacing w:val="0"/>
          <w:position w:val="0"/>
          <w:sz w:val="22"/>
          <w:shd w:fill="auto" w:val="clear"/>
        </w:rPr>
        <w:t xml:space="preserve"> M&amp;S is a competition of both high-end food stores, mass-market clothing stores, department stores, as well as digital-pure competitors. Foreign entries such as Zara and Primark have reduced margins and have reduced shorter trend cycles (Stouten, Rousseau and De Cremer, 2018). The penetration of Shein in the UK market has exacerbated the price competition at the value, which indirectly threatens the positioning of M&amp;S across the line of clothing.</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2.2 Internal Environment Analysis: SWOT</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Strengths:</w:t>
      </w:r>
      <w:r>
        <w:rPr>
          <w:rFonts w:ascii="Arial" w:hAnsi="Arial" w:cs="Arial" w:eastAsia="Arial"/>
          <w:color w:val="auto"/>
          <w:spacing w:val="0"/>
          <w:position w:val="0"/>
          <w:sz w:val="22"/>
          <w:shd w:fill="auto" w:val="clear"/>
        </w:rPr>
        <w:t xml:space="preserve"> M&amp;S also has great organisational strengths. The legacy of the brand and customer trust are also a strong tool especially in the food industry since its premium product model earns a steady following (Fernandez and Rainey, 2017, p. 10). The Ocado partnership comes in the form of a scalable digital fulfilment infrastructure that sets the business at the right positioning to expand online groceries. The recent reentry to the FTSE100 has conceded institutional confidence and generated an enhanced capital foundation on which to invest.</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Weaknesses:</w:t>
      </w:r>
      <w:r>
        <w:rPr>
          <w:rFonts w:ascii="Arial" w:hAnsi="Arial" w:cs="Arial" w:eastAsia="Arial"/>
          <w:color w:val="auto"/>
          <w:spacing w:val="0"/>
          <w:position w:val="0"/>
          <w:sz w:val="22"/>
          <w:shd w:fill="auto" w:val="clear"/>
        </w:rPr>
        <w:t xml:space="preserve"> Key weaknesses persist. The home and clothing segment is still performing below the standards of the competitors. The portfolio of physical stores has been costly to operate and was becoming more out-of-step with the changing footfall trends of customers moving online and moving to more convenient formats (Hong, 2024). The historical area of technology infrastructure investment suffers a lag behind industry leaders, which renders disparities in data analytics and quality in digital and customer experience.</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Opportunities:</w:t>
      </w:r>
      <w:r>
        <w:rPr>
          <w:rFonts w:ascii="Arial" w:hAnsi="Arial" w:cs="Arial" w:eastAsia="Arial"/>
          <w:color w:val="auto"/>
          <w:spacing w:val="0"/>
          <w:position w:val="0"/>
          <w:sz w:val="22"/>
          <w:shd w:fill="auto" w:val="clear"/>
        </w:rPr>
        <w:t xml:space="preserve"> M&amp;S are capable of taking significant opportunities. Personalisation in marketing, merchandising and supply chain management through AI depicts an upgraded capability to change. With millions of active members, the Sparks loyalty programme is a very valuable proprietary data asset that has been underutilised substantially (Scott and Walker, 2017). The further medium-term growth vectors are international franchise development and positioning by sustainability-led brand.</w:t>
      </w:r>
    </w:p>
    <w:p>
      <w:pPr>
        <w:spacing w:before="120" w:after="0" w:line="360"/>
        <w:ind w:right="0" w:left="0" w:firstLine="0"/>
        <w:jc w:val="center"/>
        <w:rPr>
          <w:rFonts w:ascii="Arial" w:hAnsi="Arial" w:cs="Arial" w:eastAsia="Arial"/>
          <w:color w:val="auto"/>
          <w:spacing w:val="0"/>
          <w:position w:val="0"/>
          <w:sz w:val="22"/>
          <w:shd w:fill="auto" w:val="clear"/>
        </w:rPr>
      </w:pPr>
      <w:r>
        <w:object w:dxaOrig="11275" w:dyaOrig="6819">
          <v:rect xmlns:o="urn:schemas-microsoft-com:office:office" xmlns:v="urn:schemas-microsoft-com:vml" id="rectole0000000002" style="width:563.750000pt;height:340.9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2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3: SWOT Analysis (Source: Lewis, 2025)</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Threats:</w:t>
      </w:r>
      <w:r>
        <w:rPr>
          <w:rFonts w:ascii="Arial" w:hAnsi="Arial" w:cs="Arial" w:eastAsia="Arial"/>
          <w:color w:val="auto"/>
          <w:spacing w:val="0"/>
          <w:position w:val="0"/>
          <w:sz w:val="22"/>
          <w:shd w:fill="auto" w:val="clear"/>
        </w:rPr>
        <w:t xml:space="preserve"> Threats are tangible and direct. The depreciation of the high street foot flow puts at risk the sustainability of major sections of the store estate. The cost of operation is increased by regulatory pressure on environmental and labour standards. The ongoing emergence of ultra-fast-fashion and digital grocery delivery platforms continue to put competitive pressure on both divisions at once.</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2.3 Triggers for Change</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factors that drive change at M&amp;S act in a number of levels concurrently. Digital disruption has essentially changed the expectations of consumers in the three areas of convenience, personalisation and channel availability, stated by Khaw et al. (2023). M&amp;S is strategically vulnerable to changes in online shopping, which is permanently speeding up due to the COVID-19 pandemic. The artificial intelligence is redefining the nature of demand forecasting, personalisation engines as well as supply chain efficiency in a manner that acts as on top of compounding benefits to first movers, as well as an onslaught of downsides to second movers. On the internal level, the lack of the ability in data science, digital product management, and agile working are organisational bottlenecks that have to be addressed before an organisation can successfully harness external opportunities.</w:t>
      </w:r>
    </w:p>
    <w:p>
      <w:pPr>
        <w:keepNext w:val="true"/>
        <w:keepLines w:val="true"/>
        <w:spacing w:before="240" w:after="240" w:line="259"/>
        <w:ind w:right="0" w:left="0" w:firstLine="0"/>
        <w:jc w:val="left"/>
        <w:rPr>
          <w:rFonts w:ascii="Arial" w:hAnsi="Arial" w:cs="Arial" w:eastAsia="Arial"/>
          <w:b/>
          <w:color w:val="002060"/>
          <w:spacing w:val="0"/>
          <w:position w:val="0"/>
          <w:sz w:val="30"/>
          <w:shd w:fill="auto" w:val="clear"/>
        </w:rPr>
      </w:pPr>
      <w:r>
        <w:rPr>
          <w:rFonts w:ascii="Arial" w:hAnsi="Arial" w:cs="Arial" w:eastAsia="Arial"/>
          <w:b/>
          <w:color w:val="002060"/>
          <w:spacing w:val="0"/>
          <w:position w:val="0"/>
          <w:sz w:val="30"/>
          <w:shd w:fill="auto" w:val="clear"/>
        </w:rPr>
        <w:t xml:space="preserve">3. Review and Evaluation of Change Management Models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Various literature for example literature of Nadler (2024) on change management provides several proven models of how organisational change can be organised. The four most common models that have been most used are discussed below in relation to the transformation requirements of M&amp;S.</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3.1 Lewin's Three-Stage Model</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According to Sroufe (2017), the three stage model of Kurt Lewin accultures change as a process that takes place in stages termed as Unfreeze, Change and Refreeze. Unfreeze stage creates a sense of disturbance and gets the employees ready psychologically to make a change. Change stage also puts into place the desirable new practices and Refreeze entrenches them as the acceptable mode.</w:t>
      </w:r>
    </w:p>
    <w:p>
      <w:pPr>
        <w:spacing w:before="120" w:after="0" w:line="360"/>
        <w:ind w:right="0" w:left="0" w:firstLine="0"/>
        <w:jc w:val="center"/>
        <w:rPr>
          <w:rFonts w:ascii="Arial" w:hAnsi="Arial" w:cs="Arial" w:eastAsia="Arial"/>
          <w:color w:val="auto"/>
          <w:spacing w:val="0"/>
          <w:position w:val="0"/>
          <w:sz w:val="22"/>
          <w:shd w:fill="auto" w:val="clear"/>
        </w:rPr>
      </w:pPr>
      <w:r>
        <w:object w:dxaOrig="12475" w:dyaOrig="5659">
          <v:rect xmlns:o="urn:schemas-microsoft-com:office:office" xmlns:v="urn:schemas-microsoft-com:vml" id="rectole0000000003" style="width:623.750000pt;height:282.9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2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4: Lewin’s Change Management Model (Source: Khaw et al., 2023)</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Simple and communicable is the main advantage of the model. It offers a convenient system upon which change can be explained to a big and varied workforce, which truly pays off in an organisation with the size M&amp;S has. Nevertheless, its chronological, linear form means that change is radical and has a stable final point - a premise that is fundamentally antagonistic toward the continuous adjustment required by digital retail (Maes and Van Hootegem, 2019). The concept of Refreeze is especially problematic: having a new state as a permanent attribute of an organisation is the very rigidity which brought M&amp;S into the strategic troubles. The model is also too weak on the management of multiple streams of change streams simultaneously in the areas of technology, culture and commercial capability.</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3.2 Kotter's 8-Step Process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According to Jabri and Jabri (2022), the 8-Step Process by John Kotter offers a much more detailed and operationally practical model. The eight steps, which are the creation of the urgency, forming guiding coalition, creating the vision, the widespread communication, empowering action, creating the short term wins, freezing the gains and entrenching the change to the culture, present a systematic roadmap; recognizing both the political and psychological dynamics related to the change of culture.</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model proposed by Kotter is appropriate to M&amp;S because of a variety of reasons. The urgency emphasis can be directly applied: the history of the gradual reaction of M&amp;S to competition pressure implies that the transparent recognition of the stakes of the digital disruption will have to be made to disrupt institutional inertia, stated by Deszca et al. (2024). This emphasis on the development of a guiding coalition is compatible with the truth of corporate governance which is the precondition that Board alignment is indispensable to enterprise-wide momentum. Short-term win attention is also useful to a workforce that might be suffering out of fatigue due to the past restructuring attempts. </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3.3 ADKAR Model</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ADKAR model of Prosci focuses the analytic level on an individual level, according to Anderson (2019). The five factors Awareness, Desire, Knowledge, Ability, and Reinforcement can be used to explain how every individual has to go through a series of psychological stages to make his/her personal change process permanent. The model acknowledges the final fact that, the success or failure of any organisational change is finally realised through the benefit of organisational individuals human behaviour and that various individuals will pass through the phases of this transformation at varying speeds and rates and will face various impediments (Scott and Walker, 2017).</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people-centered orientation of the ADKAR model is especially of use in the case of M&amp;S. Transformational projects in an organization can often unsuccessfully impose change due to a lack of confidence or ability or personal motivation among the employees to implement new working habits. In the context of a workforce where several of its employees have a long service record and are highly institutionally committed and have little to no digital experience, ADKAR offers a useful diagnosis: it allows the manager to pinpoint where individual change is not happening and to direct the computerized assistance to those areas. </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3.4 McKinsey 7S Framework</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McKinsey 7S Framework is a model to examine the effectiveness of an organisation based on seven elements which are interdependent that include Strategy, Structure, Systems, Shared Values, Style, Staff and Skills, according to Burke (2023). The key all-diagnostic understanding it has created is that to create sustainable change, all seven factors must align together. Altering strategy and leaving structures, systems, and skills in place results in miscriogeny that derails implementation irrespective of how good the strategic intent is.</w:t>
      </w:r>
    </w:p>
    <w:p>
      <w:pPr>
        <w:spacing w:before="120" w:after="0" w:line="360"/>
        <w:ind w:right="0" w:left="0" w:firstLine="0"/>
        <w:jc w:val="center"/>
        <w:rPr>
          <w:rFonts w:ascii="Arial" w:hAnsi="Arial" w:cs="Arial" w:eastAsia="Arial"/>
          <w:color w:val="auto"/>
          <w:spacing w:val="0"/>
          <w:position w:val="0"/>
          <w:sz w:val="22"/>
          <w:shd w:fill="auto" w:val="clear"/>
        </w:rPr>
      </w:pPr>
      <w:r>
        <w:object w:dxaOrig="13089" w:dyaOrig="7362">
          <v:rect xmlns:o="urn:schemas-microsoft-com:office:office" xmlns:v="urn:schemas-microsoft-com:vml" id="rectole0000000004" style="width:654.450000pt;height:368.1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12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5: McKinsey’s 7s Framework (Source: Nadler, 2024)</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case of M&amp;S, the structural form of the 7S framework is its main strength. It helps to avoid the most frequent trap, associating digital transformation with a technical or structural issue and therefore insisting on leaders considering the entire organisational ecosystem. Its drawback is that it is more of a diagnosis and analysis tool as opposed to an implementation guide hence that it does not give much prescriptive advice as to how to sequester and prioritize transformation activities.</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3.5 Recommended Model</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Since the transformation process in M&amp;S is multidimensional in nature, it is suggested that a hybrid model should be adopted. The 8-step Process created by Kotter brings an urgency, ordering and leadership structure to the organisation level needed by a Board initiated transformation of this magnitude and complexity (Jabri and Jabri, 2022, p. 35). ADKAR offers the individual-level change support model, which ensures that all employees are provided with a structured capability and motivational resources at each stage of the implementation, and are not left to survive the personal changes on their own. To track the alignment on all the dimensions of the organisation and on the need to identify the misalignments and prevent them as a programme failure McKinsey 7S is used as a quarterly activity. </w:t>
      </w:r>
    </w:p>
    <w:p>
      <w:pPr>
        <w:keepNext w:val="true"/>
        <w:keepLines w:val="true"/>
        <w:spacing w:before="240" w:after="240" w:line="259"/>
        <w:ind w:right="0" w:left="0" w:firstLine="0"/>
        <w:jc w:val="left"/>
        <w:rPr>
          <w:rFonts w:ascii="Arial" w:hAnsi="Arial" w:cs="Arial" w:eastAsia="Arial"/>
          <w:b/>
          <w:color w:val="002060"/>
          <w:spacing w:val="0"/>
          <w:position w:val="0"/>
          <w:sz w:val="30"/>
          <w:shd w:fill="auto" w:val="clear"/>
        </w:rPr>
      </w:pPr>
      <w:r>
        <w:rPr>
          <w:rFonts w:ascii="Arial" w:hAnsi="Arial" w:cs="Arial" w:eastAsia="Arial"/>
          <w:b/>
          <w:color w:val="002060"/>
          <w:spacing w:val="0"/>
          <w:position w:val="0"/>
          <w:sz w:val="30"/>
          <w:shd w:fill="auto" w:val="clear"/>
        </w:rPr>
        <w:t xml:space="preserve">4. Leadership and Organisational Culture in Change</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4.1 Leadership Styles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One of the strongest change determinants is the quality of leadership. According to Cameron and Green (2019), leaders define the meaning that the employees apply change, they role model the new behaviours they want to propagate, they manage etc. resistance in a constructive way and they ultimately make the difference between the human energy in the organisation being focused either on change or its prevention. There are three styles of leadership which can largely pertain to the change programme at M&amp;S.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Transformational leadership as formulated by Burns and as elaborated by Bass, refers to a form of leadership where leaders are able to get their followers to subscribe to a common vision that extends beyond their personal selfish interest (Pasmore and Woodman, 2017, p. 7). Transformational leaders project a powerful vision of the future, dispute traditional orthodoxy, and look in to individuals who are struggling with hard transitions. This approach is critical to the change of M&amp;S since the paradigmatic change needed is not a gradual one, but a complete re-evaluation of the concept of the business since the company is 141 years old and has ingrained cultural habits that need to be reimagined as a digitally smart, data-driven company.</w:t>
      </w:r>
    </w:p>
    <w:p>
      <w:pPr>
        <w:spacing w:before="120" w:after="0" w:line="360"/>
        <w:ind w:right="0" w:left="0" w:firstLine="0"/>
        <w:jc w:val="center"/>
        <w:rPr>
          <w:rFonts w:ascii="Arial" w:hAnsi="Arial" w:cs="Arial" w:eastAsia="Arial"/>
          <w:color w:val="auto"/>
          <w:spacing w:val="0"/>
          <w:position w:val="0"/>
          <w:sz w:val="22"/>
          <w:shd w:fill="auto" w:val="clear"/>
        </w:rPr>
      </w:pPr>
      <w:r>
        <w:object w:dxaOrig="13478" w:dyaOrig="6069">
          <v:rect xmlns:o="urn:schemas-microsoft-com:office:office" xmlns:v="urn:schemas-microsoft-com:vml" id="rectole0000000005" style="width:673.900000pt;height:303.4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120" w:line="360"/>
        <w:ind w:right="0" w:left="0" w:firstLine="0"/>
        <w:jc w:val="center"/>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Figure 6: Three Different Types of Leadership Style (Source: Maes and Hootegem, 2019)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Situational leadership is a theory of leadership that suggests that the readiness of every follower to be led can be determined by their competence and commitment level, and the level of their readiness ought to be adopted by the leader (Mathur, Kapoor and Swami, 2023). The levels of employee readiness when a major change programme is occurring will be enormous: it will include high ability technology managers who require a sense of direction to business priorities; it will involve long-established store colleagues who are high commitment at best and who need a good deal of skill enhancement before they can move to the digital working practices. The middle managers at M&amp;S are the ones at the key point of coordination between the strategic intent and operational discharge, and they should possess situational leadership skills (North, 2018, p. 189).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Transactional leadership where there are clear expectations of performance, monitoring with against set targets and remuneration systems that conform to the goals that they desire is an essential structural aspect in facilitating transformational change. The transactional mechanisms are in place to make sure that milestones and KPIs of the change programme are actively pursued, and accountability is always upheld. </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4.2 Organisational Culture</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three-level model by Edgar Schein differentiates between artefacts which are visible manifestations of culture i.e. physical surroundings and communication styles, espoused values i.e. proclaimed principles and commitments that are publicly announced but in fact are not the governing behaviour in the day to day life (Hong, 2024). The artefacts project quality, reliability, and heritage at M&amp;S. Plan A espoused values place focus on sustainability and innovation. Nevertheless, historically, the underlying assumptions have favored the use of caution over experimentation, hierarchy over empowerment and institutional continuity over adaptive agility.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More dynamics are shed light by the cultural dimensions of Hofstede. The cultural environment in UK has moderate-high uncertainty avoidance contributing to the fact that the workforce likes to see order in the processes, roles and be able to predict the results (Lewis, 2025, p. 420). This trait creates stability and quality discipline at the same time limiting the risk tolerance that digital innovation requires. The change programme should then establish psychologically safe spaces innovation pilots and limited experimentation and the open celebration of knowledge about failure should therefore be established to enable employees to experiment with new practices without having to feel the existential danger of their professional safety (Kaufman, 2017, p. 48).</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four cultural typologies by Handy, Power, Role, and Person are also relevant in, and only further contextualise the cultural profile of the M&amp;S with significant implications to the change plan. The organisation demonstrates the traits of Role culture: determined procedures, official hierarchies and adherence to procedures shape the prevailing way of operation. Although this ensures quality consistency and regulatory compliance, agility and team-based solution finding that the digital transformation requires are the opposite of it. </w:t>
      </w:r>
    </w:p>
    <w:p>
      <w:pPr>
        <w:keepNext w:val="true"/>
        <w:keepLines w:val="true"/>
        <w:spacing w:before="240" w:after="240" w:line="259"/>
        <w:ind w:right="0" w:left="0" w:firstLine="0"/>
        <w:jc w:val="left"/>
        <w:rPr>
          <w:rFonts w:ascii="Arial" w:hAnsi="Arial" w:cs="Arial" w:eastAsia="Arial"/>
          <w:b/>
          <w:color w:val="002060"/>
          <w:spacing w:val="0"/>
          <w:position w:val="0"/>
          <w:sz w:val="30"/>
          <w:shd w:fill="auto" w:val="clear"/>
        </w:rPr>
      </w:pPr>
      <w:r>
        <w:rPr>
          <w:rFonts w:ascii="Arial" w:hAnsi="Arial" w:cs="Arial" w:eastAsia="Arial"/>
          <w:b/>
          <w:color w:val="002060"/>
          <w:spacing w:val="0"/>
          <w:position w:val="0"/>
          <w:sz w:val="30"/>
          <w:shd w:fill="auto" w:val="clear"/>
        </w:rPr>
        <w:t xml:space="preserve">5. Proposed Strategic Change Management Plan</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5.1 Change Vision and Objectives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strategic change vision of M&amp;S will be the following: to make it the most digitally able, customer connected, and sustainably led retailer in the United Kingdom based on the legacy and trust generations of the British have placed into the brand. This vision is consciously pegged on the current identity of M&amp;S as it defines a clear future (Marks and Spencer Group plc, 2026). It informs all stakeholder groups (employees, customers, shareholders, and community partners) that the change process is not a denial of all that M&amp;S represents but rather a high-voltage application of its long-standing strengths in the form of modern capabilities.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Strategic objectives are specified in a programme, which has enough specificity to ensure that performance measurement was done rigorously (Li, Wand and Zhang, 2023). These include: raise the proportion of digital revenue in the Clothing and Home segment to 35% and 55% of the total in three years; implement AI-driven demand forecasting and personalisation systems in all core product assortments within two-and-a-half years; decrease the supply chain waste amount through digital optimisation to twenty percent by the end of year three; create digital leadership capabilities in the top 80% of management people within a year of programme implementation; and the validated employee change readiness score should be seventy percent or higher in the first year of programme delivery.</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5.2 Stakeholder Analysis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power-interest matrix phase of stakeholder analysis reveals that there are four different groups whose involvement has to be proactively dealt with. The Executive Committee and the Board of Directors means that they are in the high-power, high-interest quadrant (Stouten, Rousseau and De Cremer, 2018). They are not going to be relenting on their active, conspicuous, and continuing sponsorship: any feeling of ambivalence at Board level will be read at all levels beneath as indicative of the fact the transformation is not truly taken to heart. This team will have to attain total congruence on the change vision prior to any type of communication being initiated to the outside world.</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Between medium and high power stakeholders, store managers, regional directors, and department heads play a key role in whether the strategic intent is converted into operational reality based on whether they cooperate practically or not (Fernandez and Rainey, 2017, p. 16). They should be involved in the active roles of champions of change by being brought in early in the programme design rather than being postulated as passive receivees of centrally instigated dictates. Frontline retail workers, most of the sixty-four thousand co-workers of M&amp;S, are less powerful in terms of institutional power, but are also indispensable to the quality of customer experience across and beyond the transition period (Scott and Walker, 2017).</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5.3 Implementation Framework</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implementation paradigm is phase based on the principle of sequencing by Kotter. Phase One, which talks about the first six months, is what is known as urgency, guiding coalition and the initiation of the change narrative. Change readiness analysis will undergo extensive commissioning, a Digital Transformation Steering Group (led by the CEO) will be established, and a comprehensive communication campaign throughout the entire company will be launched (Khaw et al., 2023).</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Phase Two, which is between months seven and eighteen, brings the important technology change and business change. The use of AI demand forecasting applications in the Food division, digital personalisation features in Clothing, and Sparks loyalty platform are adopted as fully activated first-party data intelligence assets.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Phase Three, month nineteen through thirty six, is all about scaling, consolidation and embedding the culture. Phase Two is when capabilities built in pilot settings are expanded on the entire enterprise. </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5.4 Communication Plan</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communication plan is organized on the basis of the fact that successful change communication should be regular, sincere, two-way and available to all groups of employees irrespective of their roles, location, and digital literacy (Nadler, 2024, p. 185). Board to regional leadership to store and team communications will be enabled by monthly video messages to the CEO, weekly dedicated change intranet hub, bi-weekly manager briefing pack which provides the line manager with the power to lead authentic local dialogues. Listening programs are as significant as broadcasting: regular employee forums, monthly pulse surveys and digital feedback channels which are constantly open will ensure that the emerging issues are detected and addressed promptly and in a transparent manner (Sroufe, 2017).</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5.5 Financial and Resource Plan</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change programme will need a total capital investment during three years of about 380 million pounds, with capital investments included in the existing investment programme of the M&amp;S, proceeds collected during the sale of property as the store estate is rationalised, and efficiency savings that will be raised gradually in the form of AI-sustained improvements in supply chains (Maes and Van Hootegem, 2019). Technology infrastructure and AI platform deployment is the biggest single investment space at about 150 million pounds, store estate transformation and new format development is the next biggest at 100 million pounds, workforce capability development follows at 80 million pounds and finally programme management and communication infrastructure is 50 million pounds. Thirdly, a reserve of 30 million pounds is kept, which shows the actual uncertainty of such complex technology transformation of this magnitude.</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5.6 Risk Assessment and Mitigation</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are five major risks that are identified in the programme risk register. Employee resistance and ability gaps, especially in the case of longer-serving co-workers, are a high likelihood, medium to high risk to mitigate with the help of the ADKAR individual assistance model, Digital Skills Academy offering, and the network of trained change champions entrenched in each region. The failure of technology implementation, such as difficulty in integrating with older systems has a moderate probability of occurrence with a very high potential impact and the failure is mitigated by having a step-by-step implementation that has been tested on pilot gates before every scale-up decision is approved (Jabri and Jabri, 2022, p. 50). Through the middle-level management such as the cultural resistance, seen as the point at which the bulk of change programmes settle historically is dealt with by ensuring the development of leadership targeted at that level is made rather local-managers that are in fact the local-managers of the change process as opposed to the passive visitors of the strategic direction. </w:t>
      </w:r>
    </w:p>
    <w:p>
      <w:pPr>
        <w:keepNext w:val="true"/>
        <w:keepLines w:val="true"/>
        <w:spacing w:before="160" w:after="160" w:line="259"/>
        <w:ind w:right="0" w:left="0" w:firstLine="0"/>
        <w:jc w:val="left"/>
        <w:rPr>
          <w:rFonts w:ascii="Arial" w:hAnsi="Arial" w:cs="Arial" w:eastAsia="Arial"/>
          <w:b/>
          <w:color w:val="002060"/>
          <w:spacing w:val="0"/>
          <w:position w:val="0"/>
          <w:sz w:val="26"/>
          <w:shd w:fill="auto" w:val="clear"/>
        </w:rPr>
      </w:pPr>
      <w:r>
        <w:rPr>
          <w:rFonts w:ascii="Arial" w:hAnsi="Arial" w:cs="Arial" w:eastAsia="Arial"/>
          <w:b/>
          <w:color w:val="002060"/>
          <w:spacing w:val="0"/>
          <w:position w:val="0"/>
          <w:sz w:val="26"/>
          <w:shd w:fill="auto" w:val="clear"/>
        </w:rPr>
        <w:t xml:space="preserve">5.7 Evaluation and KPIs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balanced scorecard of performance measurement has a four-dimensional programme performance. Revisioned financial KPIs are digital revenue share, the trend of operating margin, and transformation investment against original business case, according to Deszca et al. (2024). Customers KPIs are Net Promoter Score in digital and physical channel, customer retention rates in targeted demographic categories, and digital channel satisfaction rating. The KPIs of employees are pulse scores of change readiness, rate of completion and proficiency of digital skills assessment, and employee Net Promoter Score. </w:t>
      </w:r>
    </w:p>
    <w:p>
      <w:pPr>
        <w:keepNext w:val="true"/>
        <w:keepLines w:val="true"/>
        <w:spacing w:before="240" w:after="240" w:line="259"/>
        <w:ind w:right="0" w:left="0" w:firstLine="0"/>
        <w:jc w:val="left"/>
        <w:rPr>
          <w:rFonts w:ascii="Arial" w:hAnsi="Arial" w:cs="Arial" w:eastAsia="Arial"/>
          <w:b/>
          <w:color w:val="002060"/>
          <w:spacing w:val="0"/>
          <w:position w:val="0"/>
          <w:sz w:val="30"/>
          <w:shd w:fill="auto" w:val="clear"/>
        </w:rPr>
      </w:pPr>
      <w:r>
        <w:rPr>
          <w:rFonts w:ascii="Arial" w:hAnsi="Arial" w:cs="Arial" w:eastAsia="Arial"/>
          <w:b/>
          <w:color w:val="002060"/>
          <w:spacing w:val="0"/>
          <w:position w:val="0"/>
          <w:sz w:val="30"/>
          <w:shd w:fill="auto" w:val="clear"/>
        </w:rPr>
        <w:t xml:space="preserve">6. Discussion and Critical Reflection</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proposed change plan has a number of strengths. Its amalgamative theoretical basis; in between the urgency and sequencing of Kotter, the diagnostic specificity of the individual that is the ADKAR, and the systemic thoroughness of the McKinsey 7S is more rigorous than any theory could have been to the multidimensional nature of M&amp;S transformation (Anderson, 2019, p. 512). The progressive implementation model mitigates the risk of execution through necessity to have validated pilot evidence to authorise large-scale deployment and avoid the wholesale commitment of capital to approaches that have not yet been tried at scale. The shortcomings of the plan would also require similarly fair recognition. The amount of money the project will need in terms of finances is three hundred and eighty million pounds, which has a high execution risk.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Ethical considerations are worth being stated expressly, stated by Burke (2023). Closure of stores no matter how commercially logical, has actual and materially social implications on the employees and their families and the communities where the stores are closed. The clause that deals with the staff transition and union involvement in this plan is just the bottom line of ethical behavior and not an all-round solution of the moral dilemmas in the matter. The Board is truly oil and water when it comes to the fiduciary duty towards shareholders on the one hand and its moral obligation towards long-serving employees and the communities that have been served by generations of M&amp;S on the other hand. </w:t>
      </w:r>
    </w:p>
    <w:p>
      <w:pPr>
        <w:keepNext w:val="true"/>
        <w:keepLines w:val="true"/>
        <w:spacing w:before="240" w:after="240" w:line="259"/>
        <w:ind w:right="0" w:left="0" w:firstLine="0"/>
        <w:jc w:val="left"/>
        <w:rPr>
          <w:rFonts w:ascii="Arial" w:hAnsi="Arial" w:cs="Arial" w:eastAsia="Arial"/>
          <w:b/>
          <w:color w:val="002060"/>
          <w:spacing w:val="0"/>
          <w:position w:val="0"/>
          <w:sz w:val="30"/>
          <w:shd w:fill="auto" w:val="clear"/>
        </w:rPr>
      </w:pPr>
      <w:r>
        <w:rPr>
          <w:rFonts w:ascii="Arial" w:hAnsi="Arial" w:cs="Arial" w:eastAsia="Arial"/>
          <w:b/>
          <w:color w:val="002060"/>
          <w:spacing w:val="0"/>
          <w:position w:val="0"/>
          <w:sz w:val="30"/>
          <w:shd w:fill="auto" w:val="clear"/>
        </w:rPr>
        <w:t xml:space="preserve">7. Conclusion</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conclusion, Marks and Spencer is at a crossroad of strategy that needs to be changed to help the firm remain competitive in the fast evolving retail market. The outside pressures of the digital disruption, the increasing competition of the online shops, and the change in the consumer demands require the organisation to take a systematic and carefully conceived strategy of change. The proposed plan suggests a balanced approach that incorporates both structural and human components of the change process with major change management models, namely organisational roadmap created by Kotter, people-focused approach of ADKAR, and diagnostic analysis of McKinsey 7S model. A robust leadership, communication, and constant competency development are needed to break the resistance to change at the cultural level and impart new digital competencies. This proposal will be vulnerable, economically and operationally, but its gradual adoption, stakeholder participation, and inclusion of performance measures would enhance the probability of success in the long run. It is predicted that the change will ultimately reduce M&amp;S to a digital-enabled, customer-centric, and sustainable retailer within the existing market.</w:t>
      </w: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spacing w:before="120" w:after="12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240" w:line="259"/>
        <w:ind w:right="0" w:left="0" w:firstLine="0"/>
        <w:jc w:val="left"/>
        <w:rPr>
          <w:rFonts w:ascii="Arial" w:hAnsi="Arial" w:cs="Arial" w:eastAsia="Arial"/>
          <w:b/>
          <w:color w:val="002060"/>
          <w:spacing w:val="0"/>
          <w:position w:val="0"/>
          <w:sz w:val="30"/>
          <w:shd w:fill="auto" w:val="clear"/>
        </w:rPr>
      </w:pPr>
      <w:r>
        <w:rPr>
          <w:rFonts w:ascii="Arial" w:hAnsi="Arial" w:cs="Arial" w:eastAsia="Arial"/>
          <w:b/>
          <w:color w:val="002060"/>
          <w:spacing w:val="0"/>
          <w:position w:val="0"/>
          <w:sz w:val="30"/>
          <w:shd w:fill="auto" w:val="clear"/>
        </w:rPr>
        <w:t xml:space="preserve">Reference List</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Anderson, D.L. (2019) Organization development: The process of leading organizational change. Sage Publications.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Burke, W.W. (2023) Organization change: Theory and practice. Sage publications.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Cameron, E. and Green, M. (2019) Making sense of change management: A complete guide to the models, tools and techniques of organizational change. Kogan Page Publishers.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Deszca, G., Ingols, C., Atanassova, E. and Cawsey, T.F. (2024) Organizational change: An action-oriented toolkit. Sage Publications.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Fernandez, S. and Rainey, H.G. (2017) Managing successful organizational change in the public sector. In Debating public administration (pp. 7-26). Routledge.</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Hong, T.K. (2024) Strategic Analysis and Enhancement of Corporate Social Responsibility Practices at Marks &amp; Spencer (M&amp;S). Available at: </w:t>
      </w:r>
      <w:hyperlink xmlns:r="http://schemas.openxmlformats.org/officeDocument/2006/relationships" r:id="docRId12">
        <w:r>
          <w:rPr>
            <w:rFonts w:ascii="Arial" w:hAnsi="Arial" w:cs="Arial" w:eastAsia="Arial"/>
            <w:color w:val="0000FF"/>
            <w:spacing w:val="0"/>
            <w:position w:val="0"/>
            <w:sz w:val="22"/>
            <w:u w:val="single"/>
            <w:shd w:fill="auto" w:val="clear"/>
          </w:rPr>
          <w:t xml:space="preserve">https://www.researchgate.net/profile/Kwan-Hong-Tan/publication/391629791_Strategic_Analysis_and_Enhancement_of_Corporate_Social_Responsibility_Practices_at_Marks_Spencer_MS/links/681f6b02bd3f1930dd704a77/Strategic-Analysis-and-Enhancement-of-Corporate-Social-Responsibility-Practices-at-Marks-Spencer-M-S.pdf</w:t>
        </w:r>
      </w:hyperlink>
      <w:r>
        <w:rPr>
          <w:rFonts w:ascii="Arial" w:hAnsi="Arial" w:cs="Arial" w:eastAsia="Arial"/>
          <w:color w:val="auto"/>
          <w:spacing w:val="0"/>
          <w:position w:val="0"/>
          <w:sz w:val="22"/>
          <w:shd w:fill="auto" w:val="clear"/>
        </w:rPr>
        <w:t xml:space="preserve">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Jabri, M. and Jabri, E. (2022) Managing organizational change. Bloomsbury Publishing.</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Kaufman, H. (2017) The limits of organizational change. Routledge.</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Khaw, K.W., Alnoor, A., Al-Abrrow, H., Tiberius, V., Ganesan, Y. and Atshan, N.A. (2023) Reactions towards organizational change: a systematic literature review. Current Psychology, 42(22), pp.19137-19160. Available at: </w:t>
      </w:r>
      <w:hyperlink xmlns:r="http://schemas.openxmlformats.org/officeDocument/2006/relationships" r:id="docRId13">
        <w:r>
          <w:rPr>
            <w:rFonts w:ascii="Arial" w:hAnsi="Arial" w:cs="Arial" w:eastAsia="Arial"/>
            <w:color w:val="0000FF"/>
            <w:spacing w:val="0"/>
            <w:position w:val="0"/>
            <w:sz w:val="22"/>
            <w:u w:val="single"/>
            <w:shd w:fill="auto" w:val="clear"/>
          </w:rPr>
          <w:t xml:space="preserve">https://doi.org/10.1007/s12144-022-03070-6</w:t>
        </w:r>
      </w:hyperlink>
      <w:r>
        <w:rPr>
          <w:rFonts w:ascii="Arial" w:hAnsi="Arial" w:cs="Arial" w:eastAsia="Arial"/>
          <w:color w:val="auto"/>
          <w:spacing w:val="0"/>
          <w:position w:val="0"/>
          <w:sz w:val="22"/>
          <w:shd w:fill="auto" w:val="clear"/>
        </w:rPr>
        <w:t xml:space="preserve">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Lewis, L. (2025) Organizational change. In Origins, Traditions, and Trends of Organizational Communication (pp. 415-436). Routledge.</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Li, L., Wang, Y. and Zhang, Y.Y. (2023) A critical examination of M&amp;S's current strategic and marketing position, as well as potential sustainable competitive marketing strategies. International Journal of Science and Business, 18(1), pp.108-117. Available at: </w:t>
      </w:r>
      <w:hyperlink xmlns:r="http://schemas.openxmlformats.org/officeDocument/2006/relationships" r:id="docRId14">
        <w:r>
          <w:rPr>
            <w:rFonts w:ascii="Arial" w:hAnsi="Arial" w:cs="Arial" w:eastAsia="Arial"/>
            <w:color w:val="0000FF"/>
            <w:spacing w:val="0"/>
            <w:position w:val="0"/>
            <w:sz w:val="22"/>
            <w:u w:val="single"/>
            <w:shd w:fill="auto" w:val="clear"/>
          </w:rPr>
          <w:t xml:space="preserve">https://doi.org/10.5281/zenodo.7572224</w:t>
        </w:r>
      </w:hyperlink>
      <w:r>
        <w:rPr>
          <w:rFonts w:ascii="Arial" w:hAnsi="Arial" w:cs="Arial" w:eastAsia="Arial"/>
          <w:color w:val="auto"/>
          <w:spacing w:val="0"/>
          <w:position w:val="0"/>
          <w:sz w:val="22"/>
          <w:shd w:fill="auto" w:val="clear"/>
        </w:rPr>
        <w:t xml:space="preserve">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Maes, G. and Van Hootegem, G. (2019) A systems model of organizational change. Journal of Organizational Change Management, 32(7), pp.725-738. Available at: </w:t>
      </w:r>
      <w:hyperlink xmlns:r="http://schemas.openxmlformats.org/officeDocument/2006/relationships" r:id="docRId15">
        <w:r>
          <w:rPr>
            <w:rFonts w:ascii="Arial" w:hAnsi="Arial" w:cs="Arial" w:eastAsia="Arial"/>
            <w:color w:val="0000FF"/>
            <w:spacing w:val="0"/>
            <w:position w:val="0"/>
            <w:sz w:val="22"/>
            <w:u w:val="single"/>
            <w:shd w:fill="auto" w:val="clear"/>
          </w:rPr>
          <w:t xml:space="preserve">https://doi.org/10.1108/JOCM-07-2017-0268</w:t>
        </w:r>
      </w:hyperlink>
      <w:r>
        <w:rPr>
          <w:rFonts w:ascii="Arial" w:hAnsi="Arial" w:cs="Arial" w:eastAsia="Arial"/>
          <w:color w:val="auto"/>
          <w:spacing w:val="0"/>
          <w:position w:val="0"/>
          <w:sz w:val="22"/>
          <w:shd w:fill="auto" w:val="clear"/>
        </w:rPr>
        <w:t xml:space="preserve">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Marks and Spencer Group plc (2026) Home: About us. Available at: </w:t>
      </w:r>
      <w:hyperlink xmlns:r="http://schemas.openxmlformats.org/officeDocument/2006/relationships" r:id="docRId16">
        <w:r>
          <w:rPr>
            <w:rFonts w:ascii="Arial" w:hAnsi="Arial" w:cs="Arial" w:eastAsia="Arial"/>
            <w:color w:val="0000FF"/>
            <w:spacing w:val="0"/>
            <w:position w:val="0"/>
            <w:sz w:val="22"/>
            <w:u w:val="single"/>
            <w:shd w:fill="auto" w:val="clear"/>
          </w:rPr>
          <w:t xml:space="preserve">https://corporate.marksandspencer.com/about-us</w:t>
        </w:r>
      </w:hyperlink>
      <w:r>
        <w:rPr>
          <w:rFonts w:ascii="Arial" w:hAnsi="Arial" w:cs="Arial" w:eastAsia="Arial"/>
          <w:color w:val="auto"/>
          <w:spacing w:val="0"/>
          <w:position w:val="0"/>
          <w:sz w:val="22"/>
          <w:shd w:fill="auto" w:val="clear"/>
        </w:rPr>
        <w:t xml:space="preserve"> (Accessed: 10 March 2026).</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Mathur, M., Kapoor, T. and Swami, S. (2023) Readiness for organizational change: the effects of individual and organizational factors. Journal of Advances in Management Research, 20(4), pp.730-757. Available at: </w:t>
      </w:r>
      <w:hyperlink xmlns:r="http://schemas.openxmlformats.org/officeDocument/2006/relationships" r:id="docRId17">
        <w:r>
          <w:rPr>
            <w:rFonts w:ascii="Arial" w:hAnsi="Arial" w:cs="Arial" w:eastAsia="Arial"/>
            <w:color w:val="0000FF"/>
            <w:spacing w:val="0"/>
            <w:position w:val="0"/>
            <w:sz w:val="22"/>
            <w:u w:val="single"/>
            <w:shd w:fill="auto" w:val="clear"/>
          </w:rPr>
          <w:t xml:space="preserve">https://doi.org/10.1108/JAMR-02-2023-0032</w:t>
        </w:r>
      </w:hyperlink>
      <w:r>
        <w:rPr>
          <w:rFonts w:ascii="Arial" w:hAnsi="Arial" w:cs="Arial" w:eastAsia="Arial"/>
          <w:color w:val="auto"/>
          <w:spacing w:val="0"/>
          <w:position w:val="0"/>
          <w:sz w:val="22"/>
          <w:shd w:fill="auto" w:val="clear"/>
        </w:rPr>
        <w:t xml:space="preserve">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Nadler, D.A. (2024) The effective management of organizational change. In Revitalizing Manufacturing (pp. 185-200). CRC Press.</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North, D.C. (2018) Institutional change: a framework of analysis. In Social rules (pp. 189-201). Routledge.</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Pasmore, W.A. and Woodman, R.W. (2017) The future of research and practice in organizational change and development. In Research in organizational change and development (pp. 1-32). Emerald Publishing Limited.</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Scott, P. and Walker, J.T. (2017) Barriers to ‘industrialisation’for interwar British retailing? The case of Marks &amp; Spencer Ltd. Business History, 59(2), pp.179-201. Available at: </w:t>
      </w:r>
      <w:hyperlink xmlns:r="http://schemas.openxmlformats.org/officeDocument/2006/relationships" r:id="docRId18">
        <w:r>
          <w:rPr>
            <w:rFonts w:ascii="Arial" w:hAnsi="Arial" w:cs="Arial" w:eastAsia="Arial"/>
            <w:color w:val="0000FF"/>
            <w:spacing w:val="0"/>
            <w:position w:val="0"/>
            <w:sz w:val="22"/>
            <w:u w:val="single"/>
            <w:shd w:fill="auto" w:val="clear"/>
          </w:rPr>
          <w:t xml:space="preserve">https://doi.org/10.1080/00076791.2016.1156088</w:t>
        </w:r>
      </w:hyperlink>
      <w:r>
        <w:rPr>
          <w:rFonts w:ascii="Arial" w:hAnsi="Arial" w:cs="Arial" w:eastAsia="Arial"/>
          <w:color w:val="auto"/>
          <w:spacing w:val="0"/>
          <w:position w:val="0"/>
          <w:sz w:val="22"/>
          <w:shd w:fill="auto" w:val="clear"/>
        </w:rPr>
        <w:t xml:space="preserve">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Sroufe, R. (2017) Integration and organizational change towards sustainability. Journal of Cleaner Production, 162, pp.315-329. Available at: </w:t>
      </w:r>
      <w:hyperlink xmlns:r="http://schemas.openxmlformats.org/officeDocument/2006/relationships" r:id="docRId19">
        <w:r>
          <w:rPr>
            <w:rFonts w:ascii="Arial" w:hAnsi="Arial" w:cs="Arial" w:eastAsia="Arial"/>
            <w:color w:val="0000FF"/>
            <w:spacing w:val="0"/>
            <w:position w:val="0"/>
            <w:sz w:val="22"/>
            <w:u w:val="single"/>
            <w:shd w:fill="auto" w:val="clear"/>
          </w:rPr>
          <w:t xml:space="preserve">https://doi.org/10.1016/j.jclepro.2017.05.180</w:t>
        </w:r>
      </w:hyperlink>
      <w:r>
        <w:rPr>
          <w:rFonts w:ascii="Arial" w:hAnsi="Arial" w:cs="Arial" w:eastAsia="Arial"/>
          <w:color w:val="auto"/>
          <w:spacing w:val="0"/>
          <w:position w:val="0"/>
          <w:sz w:val="22"/>
          <w:shd w:fill="auto" w:val="clear"/>
        </w:rPr>
        <w:t xml:space="preserve"> </w:t>
      </w:r>
    </w:p>
    <w:p>
      <w:pPr>
        <w:spacing w:before="12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Stouten, J., Rousseau, D.M. and De Cremer, D. (2018) Successful organizational change: Integrating the management practice and scholarly literatures. Academy of Management Annals, 12(2), pp.752-788. Available at: </w:t>
      </w:r>
      <w:hyperlink xmlns:r="http://schemas.openxmlformats.org/officeDocument/2006/relationships" r:id="docRId20">
        <w:r>
          <w:rPr>
            <w:rFonts w:ascii="Arial" w:hAnsi="Arial" w:cs="Arial" w:eastAsia="Arial"/>
            <w:color w:val="0000FF"/>
            <w:spacing w:val="0"/>
            <w:position w:val="0"/>
            <w:sz w:val="22"/>
            <w:u w:val="single"/>
            <w:shd w:fill="auto" w:val="clear"/>
          </w:rPr>
          <w:t xml:space="preserve">https://doi.org/10.5465/annals.2016.0095</w:t>
        </w:r>
      </w:hyperlink>
      <w:r>
        <w:rPr>
          <w:rFonts w:ascii="Arial" w:hAnsi="Arial" w:cs="Arial" w:eastAsia="Arial"/>
          <w:color w:val="auto"/>
          <w:spacing w:val="0"/>
          <w:position w:val="0"/>
          <w:sz w:val="22"/>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108/JAMR-02-2023-0032" Id="docRId17" Type="http://schemas.openxmlformats.org/officeDocument/2006/relationships/hyperlink" /><Relationship Target="media/image3.wmf" Id="docRId7" Type="http://schemas.openxmlformats.org/officeDocument/2006/relationships/image" /><Relationship TargetMode="External" Target="https://doi.org/10.5281/zenodo.7572224" Id="docRId14" Type="http://schemas.openxmlformats.org/officeDocument/2006/relationships/hyperlink"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ode="External" Target="https://doi.org/10.1108/JOCM-07-2017-0268" Id="docRId15" Type="http://schemas.openxmlformats.org/officeDocument/2006/relationships/hyperlink" /><Relationship TargetMode="External" Target="https://doi.org/10.1016/j.jclepro.2017.05.180" Id="docRId19" Type="http://schemas.openxmlformats.org/officeDocument/2006/relationships/hyperlink" /><Relationship Target="styles.xml" Id="docRId22" Type="http://schemas.openxmlformats.org/officeDocument/2006/relationships/styles"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Mode="External" Target="https://www.researchgate.net/profile/Kwan-Hong-Tan/publication/391629791_Strategic_Analysis_and_Enhancement_of_Corporate_Social_Responsibility_Practices_at_Marks_Spencer_MS/links/681f6b02bd3f1930dd704a77/Strategic-Analysis-and-Enhancement-of-Corporate-Social-Responsibility-Practices-at-Marks-Spencer-M-S.pdf" Id="docRId12" Type="http://schemas.openxmlformats.org/officeDocument/2006/relationships/hyperlink" /><Relationship TargetMode="External" Target="https://corporate.marksandspencer.com/about-us" Id="docRId16" Type="http://schemas.openxmlformats.org/officeDocument/2006/relationships/hyperlink" /><Relationship Target="numbering.xml" Id="docRId21"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 TargetMode="External" Target="https://doi.org/10.1007/s12144-022-03070-6" Id="docRId13" Type="http://schemas.openxmlformats.org/officeDocument/2006/relationships/hyperlink" /><Relationship TargetMode="External" Target="https://doi.org/10.5465/annals.2016.0095" Id="docRId20" Type="http://schemas.openxmlformats.org/officeDocument/2006/relationships/hyperlink" /><Relationship Target="media/image1.wmf" Id="docRId3" Type="http://schemas.openxmlformats.org/officeDocument/2006/relationships/image" /><Relationship Target="embeddings/oleObject5.bin" Id="docRId10" Type="http://schemas.openxmlformats.org/officeDocument/2006/relationships/oleObject" /><Relationship TargetMode="External" Target="https://doi.org/10.1080/00076791.2016.1156088" Id="docRId18" Type="http://schemas.openxmlformats.org/officeDocument/2006/relationships/hyperlink" /><Relationship Target="embeddings/oleObject1.bin" Id="docRId2" Type="http://schemas.openxmlformats.org/officeDocument/2006/relationships/oleObject" /></Relationships>
</file>