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4ADEE2" w14:textId="0D44B28A" w:rsidR="008E48F9" w:rsidRDefault="008E48F9" w:rsidP="008E48F9">
      <w:pPr>
        <w:pBdr>
          <w:bottom w:val="single" w:sz="4" w:space="0" w:color="auto"/>
        </w:pBdr>
        <w:jc w:val="center"/>
        <w:rPr>
          <w:rFonts w:ascii="Arial" w:eastAsia="Times New Roman" w:hAnsi="Arial" w:cs="Arial"/>
          <w:bCs/>
          <w:sz w:val="24"/>
          <w:szCs w:val="24"/>
        </w:rPr>
      </w:pPr>
      <w:r>
        <w:rPr>
          <w:noProof/>
        </w:rPr>
        <w:fldChar w:fldCharType="begin"/>
      </w:r>
      <w:r>
        <w:rPr>
          <w:noProof/>
        </w:rPr>
        <w:instrText xml:space="preserve"> INCLUDEPICTURE  "/Users/shajinqi/Library/Containers/com.kingsoft.wpsoffice.mac/Data/tmp/wps-shajinqi/ksohtml/wps1.png" \* MERGEFORMATINET </w:instrText>
      </w:r>
      <w:r>
        <w:rPr>
          <w:noProof/>
        </w:rPr>
        <w:fldChar w:fldCharType="separate"/>
      </w:r>
      <w:r>
        <w:rPr>
          <w:noProof/>
        </w:rPr>
        <w:drawing>
          <wp:inline distT="0" distB="0" distL="0" distR="0" wp14:anchorId="27FFCC3C" wp14:editId="085DB064">
            <wp:extent cx="2514600" cy="1143000"/>
            <wp:effectExtent l="0" t="0" r="0" b="0"/>
            <wp:docPr id="1310207909" name="图片 1"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descr="文本&#10;&#10;AI 生成的内容可能不正确。"/>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514600" cy="1143000"/>
                    </a:xfrm>
                    <a:prstGeom prst="rect">
                      <a:avLst/>
                    </a:prstGeom>
                    <a:noFill/>
                    <a:ln>
                      <a:noFill/>
                    </a:ln>
                  </pic:spPr>
                </pic:pic>
              </a:graphicData>
            </a:graphic>
          </wp:inline>
        </w:drawing>
      </w:r>
      <w:r>
        <w:rPr>
          <w:noProof/>
        </w:rPr>
        <w:fldChar w:fldCharType="end"/>
      </w:r>
    </w:p>
    <w:p w14:paraId="06545875" w14:textId="4D02DF13" w:rsidR="008E48F9" w:rsidRPr="008E1CB8" w:rsidRDefault="008E48F9" w:rsidP="008E1CB8">
      <w:pPr>
        <w:jc w:val="center"/>
        <w:rPr>
          <w:rFonts w:ascii="Arial" w:hAnsi="Arial" w:cs="Arial" w:hint="eastAsia"/>
          <w:sz w:val="24"/>
          <w:szCs w:val="24"/>
        </w:rPr>
      </w:pPr>
      <w:r>
        <w:rPr>
          <w:rFonts w:ascii="Arial" w:hAnsi="Arial" w:cs="Arial"/>
          <w:sz w:val="24"/>
          <w:szCs w:val="24"/>
        </w:rPr>
        <w:t>Module Code: BMBM6021   Module: International Business Communication</w:t>
      </w:r>
    </w:p>
    <w:p w14:paraId="6CD23AF2" w14:textId="77777777" w:rsidR="008E48F9" w:rsidRDefault="008E48F9" w:rsidP="008E1CB8">
      <w:pPr>
        <w:spacing w:line="360" w:lineRule="auto"/>
        <w:jc w:val="center"/>
        <w:rPr>
          <w:rFonts w:ascii="Arial" w:hAnsi="Arial" w:cs="Arial"/>
          <w:bCs/>
          <w:sz w:val="24"/>
          <w:szCs w:val="24"/>
        </w:rPr>
      </w:pPr>
    </w:p>
    <w:p w14:paraId="582C49D4" w14:textId="77777777" w:rsidR="008E48F9" w:rsidRDefault="008E48F9" w:rsidP="008E1CB8">
      <w:pPr>
        <w:spacing w:line="360" w:lineRule="auto"/>
        <w:jc w:val="center"/>
        <w:rPr>
          <w:rFonts w:ascii="Arial" w:hAnsi="Arial" w:cs="Arial"/>
          <w:bCs/>
          <w:sz w:val="24"/>
          <w:szCs w:val="24"/>
        </w:rPr>
      </w:pPr>
    </w:p>
    <w:p w14:paraId="361923DB" w14:textId="77777777" w:rsidR="008E48F9" w:rsidRDefault="008E48F9" w:rsidP="008E1CB8">
      <w:pPr>
        <w:spacing w:line="360" w:lineRule="auto"/>
        <w:jc w:val="center"/>
        <w:rPr>
          <w:rFonts w:ascii="Arial" w:hAnsi="Arial" w:cs="Arial"/>
          <w:bCs/>
          <w:sz w:val="24"/>
          <w:szCs w:val="24"/>
        </w:rPr>
      </w:pPr>
    </w:p>
    <w:p w14:paraId="7D815A3A" w14:textId="77777777" w:rsidR="008E48F9" w:rsidRDefault="008E48F9" w:rsidP="008E1CB8">
      <w:pPr>
        <w:spacing w:line="360" w:lineRule="auto"/>
        <w:jc w:val="center"/>
        <w:rPr>
          <w:rFonts w:ascii="Arial" w:hAnsi="Arial" w:cs="Arial"/>
          <w:bCs/>
          <w:sz w:val="24"/>
          <w:szCs w:val="24"/>
        </w:rPr>
      </w:pPr>
    </w:p>
    <w:p w14:paraId="666F62D2" w14:textId="77777777" w:rsidR="008E48F9" w:rsidRDefault="008E48F9" w:rsidP="008E1CB8">
      <w:pPr>
        <w:spacing w:line="360" w:lineRule="auto"/>
        <w:jc w:val="center"/>
        <w:rPr>
          <w:rFonts w:ascii="Arial" w:hAnsi="Arial" w:cs="Arial"/>
          <w:bCs/>
          <w:sz w:val="24"/>
          <w:szCs w:val="24"/>
        </w:rPr>
      </w:pPr>
    </w:p>
    <w:p w14:paraId="5A2F06F3" w14:textId="77777777" w:rsidR="008E48F9" w:rsidRDefault="008E48F9" w:rsidP="008E1CB8">
      <w:pPr>
        <w:spacing w:line="360" w:lineRule="auto"/>
        <w:jc w:val="center"/>
        <w:rPr>
          <w:rFonts w:ascii="Arial" w:hAnsi="Arial" w:cs="Arial" w:hint="eastAsia"/>
          <w:bCs/>
          <w:sz w:val="24"/>
          <w:szCs w:val="24"/>
        </w:rPr>
      </w:pPr>
    </w:p>
    <w:p w14:paraId="592A915C" w14:textId="77777777" w:rsidR="008E48F9" w:rsidRDefault="008E48F9" w:rsidP="008E1CB8">
      <w:pPr>
        <w:spacing w:line="360" w:lineRule="auto"/>
        <w:jc w:val="center"/>
        <w:rPr>
          <w:rFonts w:ascii="Arial" w:hAnsi="Arial" w:cs="Arial"/>
          <w:bCs/>
          <w:sz w:val="24"/>
          <w:szCs w:val="24"/>
        </w:rPr>
      </w:pPr>
    </w:p>
    <w:p w14:paraId="511764A4" w14:textId="77777777" w:rsidR="008E48F9" w:rsidRDefault="008E48F9" w:rsidP="008E1CB8">
      <w:pPr>
        <w:spacing w:line="360" w:lineRule="auto"/>
        <w:jc w:val="center"/>
        <w:rPr>
          <w:rFonts w:ascii="Arial" w:hAnsi="Arial" w:cs="Arial"/>
          <w:bCs/>
          <w:sz w:val="24"/>
          <w:szCs w:val="24"/>
        </w:rPr>
      </w:pPr>
    </w:p>
    <w:p w14:paraId="652E58AB" w14:textId="1BCA5AAE" w:rsidR="008E48F9" w:rsidRDefault="00332727" w:rsidP="008E1CB8">
      <w:pPr>
        <w:spacing w:line="360" w:lineRule="auto"/>
        <w:jc w:val="center"/>
        <w:rPr>
          <w:rFonts w:ascii="Arial" w:hAnsi="Arial" w:cs="Arial"/>
          <w:bCs/>
          <w:sz w:val="24"/>
          <w:szCs w:val="24"/>
        </w:rPr>
      </w:pPr>
      <w:r w:rsidRPr="00332727">
        <w:rPr>
          <w:rFonts w:ascii="Arial" w:hAnsi="Arial" w:cs="Arial"/>
          <w:b/>
          <w:sz w:val="32"/>
          <w:szCs w:val="32"/>
        </w:rPr>
        <w:t>Conflict Resolution in Business Communication between Britain and France Based on the Reflective Model</w:t>
      </w:r>
    </w:p>
    <w:p w14:paraId="3E0C94E1" w14:textId="77777777" w:rsidR="008E48F9" w:rsidRDefault="008E48F9" w:rsidP="008E1CB8">
      <w:pPr>
        <w:spacing w:line="360" w:lineRule="auto"/>
        <w:jc w:val="center"/>
        <w:rPr>
          <w:rFonts w:ascii="Arial" w:hAnsi="Arial" w:cs="Arial"/>
          <w:bCs/>
          <w:sz w:val="24"/>
          <w:szCs w:val="24"/>
        </w:rPr>
      </w:pPr>
    </w:p>
    <w:p w14:paraId="03B83FC7" w14:textId="77777777" w:rsidR="008E48F9" w:rsidRDefault="008E48F9" w:rsidP="008E1CB8">
      <w:pPr>
        <w:spacing w:line="360" w:lineRule="auto"/>
        <w:jc w:val="center"/>
        <w:rPr>
          <w:rFonts w:ascii="Arial" w:hAnsi="Arial" w:cs="Arial"/>
          <w:bCs/>
          <w:sz w:val="24"/>
          <w:szCs w:val="24"/>
        </w:rPr>
      </w:pPr>
    </w:p>
    <w:p w14:paraId="4E736612" w14:textId="77777777" w:rsidR="008E48F9" w:rsidRDefault="008E48F9" w:rsidP="008E1CB8">
      <w:pPr>
        <w:spacing w:line="360" w:lineRule="auto"/>
        <w:jc w:val="center"/>
        <w:rPr>
          <w:rFonts w:ascii="Arial" w:hAnsi="Arial" w:cs="Arial"/>
          <w:bCs/>
          <w:sz w:val="24"/>
          <w:szCs w:val="24"/>
        </w:rPr>
      </w:pPr>
    </w:p>
    <w:p w14:paraId="3C1FA3E5" w14:textId="77777777" w:rsidR="008E48F9" w:rsidRDefault="008E48F9" w:rsidP="008E1CB8">
      <w:pPr>
        <w:spacing w:line="360" w:lineRule="auto"/>
        <w:jc w:val="center"/>
        <w:rPr>
          <w:rFonts w:ascii="Arial" w:hAnsi="Arial" w:cs="Arial"/>
          <w:bCs/>
          <w:sz w:val="24"/>
          <w:szCs w:val="24"/>
        </w:rPr>
      </w:pPr>
    </w:p>
    <w:p w14:paraId="24DF5C7D" w14:textId="77777777" w:rsidR="008E48F9" w:rsidRDefault="008E48F9" w:rsidP="008E1CB8">
      <w:pPr>
        <w:spacing w:line="360" w:lineRule="auto"/>
        <w:jc w:val="center"/>
        <w:rPr>
          <w:rFonts w:ascii="Arial" w:hAnsi="Arial" w:cs="Arial"/>
          <w:bCs/>
          <w:sz w:val="24"/>
          <w:szCs w:val="24"/>
        </w:rPr>
      </w:pPr>
    </w:p>
    <w:p w14:paraId="27EBE826" w14:textId="77777777" w:rsidR="008E48F9" w:rsidRDefault="008E48F9" w:rsidP="008E1CB8">
      <w:pPr>
        <w:spacing w:line="360" w:lineRule="auto"/>
        <w:jc w:val="center"/>
        <w:rPr>
          <w:rFonts w:ascii="Arial" w:hAnsi="Arial" w:cs="Arial"/>
          <w:bCs/>
          <w:sz w:val="24"/>
          <w:szCs w:val="24"/>
        </w:rPr>
      </w:pPr>
    </w:p>
    <w:p w14:paraId="2035D140" w14:textId="77777777" w:rsidR="008E48F9" w:rsidRDefault="008E48F9" w:rsidP="008E1CB8">
      <w:pPr>
        <w:spacing w:line="360" w:lineRule="auto"/>
        <w:jc w:val="center"/>
        <w:rPr>
          <w:rFonts w:ascii="Arial" w:hAnsi="Arial" w:cs="Arial"/>
          <w:bCs/>
          <w:sz w:val="24"/>
          <w:szCs w:val="24"/>
        </w:rPr>
      </w:pPr>
    </w:p>
    <w:p w14:paraId="4BA936C0" w14:textId="77777777" w:rsidR="008E48F9" w:rsidRDefault="008E48F9" w:rsidP="008E1CB8">
      <w:pPr>
        <w:spacing w:line="360" w:lineRule="auto"/>
        <w:jc w:val="center"/>
        <w:rPr>
          <w:rFonts w:ascii="Arial" w:hAnsi="Arial" w:cs="Arial"/>
          <w:bCs/>
          <w:sz w:val="24"/>
          <w:szCs w:val="24"/>
        </w:rPr>
      </w:pPr>
    </w:p>
    <w:p w14:paraId="35A64DED" w14:textId="77777777" w:rsidR="008E48F9" w:rsidRDefault="008E48F9" w:rsidP="008E1CB8">
      <w:pPr>
        <w:spacing w:line="360" w:lineRule="auto"/>
        <w:jc w:val="center"/>
        <w:rPr>
          <w:rFonts w:ascii="Arial" w:hAnsi="Arial" w:cs="Arial"/>
          <w:bCs/>
          <w:sz w:val="24"/>
          <w:szCs w:val="24"/>
        </w:rPr>
      </w:pPr>
      <w:r>
        <w:rPr>
          <w:rFonts w:ascii="Arial" w:hAnsi="Arial" w:cs="Arial"/>
          <w:bCs/>
          <w:sz w:val="24"/>
          <w:szCs w:val="24"/>
        </w:rPr>
        <w:t>Student Name</w:t>
      </w:r>
      <w:r>
        <w:rPr>
          <w:rFonts w:ascii="Arial" w:hAnsi="Arial" w:cs="Arial" w:hint="eastAsia"/>
          <w:bCs/>
          <w:sz w:val="24"/>
          <w:szCs w:val="24"/>
        </w:rPr>
        <w:t>：</w:t>
      </w:r>
      <w:r>
        <w:rPr>
          <w:rFonts w:ascii="Arial" w:hAnsi="Arial" w:cs="Arial"/>
          <w:bCs/>
          <w:sz w:val="24"/>
          <w:szCs w:val="24"/>
        </w:rPr>
        <w:t>Jinqi Sha</w:t>
      </w:r>
    </w:p>
    <w:p w14:paraId="48083F56" w14:textId="77777777" w:rsidR="008E48F9" w:rsidRDefault="008E48F9" w:rsidP="008E1CB8">
      <w:pPr>
        <w:spacing w:line="360" w:lineRule="auto"/>
        <w:jc w:val="center"/>
        <w:rPr>
          <w:rFonts w:ascii="Arial" w:hAnsi="Arial" w:cs="Arial"/>
          <w:bCs/>
          <w:sz w:val="24"/>
          <w:szCs w:val="24"/>
        </w:rPr>
      </w:pPr>
      <w:r>
        <w:rPr>
          <w:rFonts w:ascii="Arial" w:hAnsi="Arial" w:cs="Arial"/>
          <w:bCs/>
          <w:sz w:val="24"/>
          <w:szCs w:val="24"/>
        </w:rPr>
        <w:t>Student ID Number</w:t>
      </w:r>
      <w:r>
        <w:rPr>
          <w:rFonts w:ascii="Arial" w:hAnsi="Arial" w:cs="Arial" w:hint="eastAsia"/>
          <w:bCs/>
          <w:sz w:val="24"/>
          <w:szCs w:val="24"/>
        </w:rPr>
        <w:t>：</w:t>
      </w:r>
      <w:r>
        <w:rPr>
          <w:rFonts w:ascii="Arial" w:hAnsi="Arial" w:cs="Arial"/>
          <w:bCs/>
          <w:sz w:val="24"/>
          <w:szCs w:val="24"/>
        </w:rPr>
        <w:t>2502887</w:t>
      </w:r>
    </w:p>
    <w:p w14:paraId="7F728F98" w14:textId="77777777" w:rsidR="008E48F9" w:rsidRDefault="008E48F9" w:rsidP="008E1CB8">
      <w:pPr>
        <w:spacing w:line="360" w:lineRule="auto"/>
        <w:jc w:val="center"/>
        <w:rPr>
          <w:rFonts w:ascii="Arial" w:hAnsi="Arial" w:cs="Arial"/>
          <w:bCs/>
          <w:sz w:val="24"/>
          <w:szCs w:val="24"/>
        </w:rPr>
      </w:pPr>
      <w:proofErr w:type="spellStart"/>
      <w:r>
        <w:rPr>
          <w:rFonts w:ascii="Arial" w:hAnsi="Arial" w:cs="Arial"/>
          <w:bCs/>
          <w:sz w:val="24"/>
          <w:szCs w:val="24"/>
        </w:rPr>
        <w:t>Programme</w:t>
      </w:r>
      <w:proofErr w:type="spellEnd"/>
      <w:r>
        <w:rPr>
          <w:rFonts w:ascii="Arial" w:hAnsi="Arial" w:cs="Arial" w:hint="eastAsia"/>
          <w:bCs/>
          <w:sz w:val="24"/>
          <w:szCs w:val="24"/>
        </w:rPr>
        <w:t>：</w:t>
      </w:r>
      <w:r>
        <w:rPr>
          <w:rFonts w:ascii="Arial" w:hAnsi="Arial" w:cs="Arial"/>
          <w:bCs/>
          <w:sz w:val="24"/>
          <w:szCs w:val="24"/>
        </w:rPr>
        <w:t>International Business Management</w:t>
      </w:r>
    </w:p>
    <w:p w14:paraId="68FBB3C0" w14:textId="77777777" w:rsidR="008E48F9" w:rsidRDefault="008E48F9" w:rsidP="008E1CB8">
      <w:pPr>
        <w:spacing w:line="360" w:lineRule="auto"/>
        <w:jc w:val="center"/>
        <w:rPr>
          <w:rFonts w:ascii="Arial" w:hAnsi="Arial" w:cs="Arial"/>
          <w:bCs/>
          <w:sz w:val="24"/>
          <w:szCs w:val="24"/>
        </w:rPr>
      </w:pPr>
      <w:r>
        <w:rPr>
          <w:rFonts w:ascii="Arial" w:hAnsi="Arial" w:cs="Arial"/>
          <w:bCs/>
          <w:sz w:val="24"/>
          <w:szCs w:val="24"/>
        </w:rPr>
        <w:t>Lecturer Name</w:t>
      </w:r>
      <w:r>
        <w:rPr>
          <w:rFonts w:ascii="Arial" w:hAnsi="Arial" w:cs="Arial" w:hint="eastAsia"/>
          <w:bCs/>
          <w:sz w:val="24"/>
          <w:szCs w:val="24"/>
        </w:rPr>
        <w:t>：</w:t>
      </w:r>
      <w:r>
        <w:rPr>
          <w:rFonts w:ascii="Arial" w:hAnsi="Arial" w:cs="Arial"/>
          <w:bCs/>
          <w:sz w:val="24"/>
          <w:szCs w:val="24"/>
        </w:rPr>
        <w:t>Jaliya De Silva</w:t>
      </w:r>
    </w:p>
    <w:p w14:paraId="1B2BBE6B" w14:textId="142CD0B8" w:rsidR="008E48F9" w:rsidRDefault="008E48F9" w:rsidP="008E1CB8">
      <w:pPr>
        <w:spacing w:line="360" w:lineRule="auto"/>
        <w:jc w:val="center"/>
        <w:rPr>
          <w:rFonts w:ascii="Arial" w:hAnsi="Arial" w:cs="Arial"/>
          <w:bCs/>
          <w:sz w:val="24"/>
          <w:szCs w:val="24"/>
        </w:rPr>
      </w:pPr>
      <w:r>
        <w:rPr>
          <w:rFonts w:ascii="Arial" w:hAnsi="Arial" w:cs="Arial"/>
          <w:bCs/>
          <w:sz w:val="24"/>
          <w:szCs w:val="24"/>
        </w:rPr>
        <w:t>Submission Deadline</w:t>
      </w:r>
      <w:r>
        <w:rPr>
          <w:rFonts w:ascii="Arial" w:hAnsi="Arial" w:cs="Arial" w:hint="eastAsia"/>
          <w:bCs/>
          <w:sz w:val="24"/>
          <w:szCs w:val="24"/>
        </w:rPr>
        <w:t>：</w:t>
      </w:r>
      <w:r>
        <w:rPr>
          <w:rFonts w:ascii="Arial" w:hAnsi="Arial" w:cs="Arial"/>
          <w:bCs/>
          <w:sz w:val="24"/>
          <w:szCs w:val="24"/>
        </w:rPr>
        <w:t>1</w:t>
      </w:r>
      <w:r>
        <w:rPr>
          <w:rFonts w:ascii="Arial" w:hAnsi="Arial" w:cs="Arial" w:hint="eastAsia"/>
          <w:bCs/>
          <w:sz w:val="24"/>
          <w:szCs w:val="24"/>
        </w:rPr>
        <w:t>2</w:t>
      </w:r>
      <w:r>
        <w:rPr>
          <w:rFonts w:ascii="Arial" w:hAnsi="Arial" w:cs="Arial"/>
          <w:bCs/>
          <w:sz w:val="24"/>
          <w:szCs w:val="24"/>
        </w:rPr>
        <w:t>/1</w:t>
      </w:r>
      <w:r>
        <w:rPr>
          <w:rFonts w:ascii="Arial" w:hAnsi="Arial" w:cs="Arial" w:hint="eastAsia"/>
          <w:bCs/>
          <w:sz w:val="24"/>
          <w:szCs w:val="24"/>
        </w:rPr>
        <w:t>2</w:t>
      </w:r>
      <w:r>
        <w:rPr>
          <w:rFonts w:ascii="Arial" w:hAnsi="Arial" w:cs="Arial"/>
          <w:bCs/>
          <w:sz w:val="24"/>
          <w:szCs w:val="24"/>
        </w:rPr>
        <w:t>/2025</w:t>
      </w:r>
    </w:p>
    <w:p w14:paraId="7834D766" w14:textId="77777777" w:rsidR="008E48F9" w:rsidRDefault="008E48F9" w:rsidP="008E1CB8">
      <w:pPr>
        <w:spacing w:line="360" w:lineRule="auto"/>
        <w:rPr>
          <w:rFonts w:ascii="Arial" w:hAnsi="Arial" w:cs="Arial"/>
          <w:b/>
          <w:bCs/>
          <w:sz w:val="28"/>
          <w:szCs w:val="28"/>
        </w:rPr>
      </w:pPr>
      <w:r>
        <w:rPr>
          <w:rFonts w:ascii="Arial" w:hAnsi="Arial" w:cs="Arial"/>
          <w:b/>
          <w:bCs/>
          <w:sz w:val="28"/>
          <w:szCs w:val="28"/>
        </w:rPr>
        <w:lastRenderedPageBreak/>
        <w:t>AI Acknowledgement</w:t>
      </w:r>
    </w:p>
    <w:p w14:paraId="1E385DAA" w14:textId="77777777" w:rsidR="008E48F9" w:rsidRPr="00FE13BD" w:rsidRDefault="008E48F9" w:rsidP="008E1CB8">
      <w:pPr>
        <w:spacing w:line="360" w:lineRule="auto"/>
        <w:rPr>
          <w:rFonts w:ascii="Arial" w:hAnsi="Arial" w:cs="Arial"/>
          <w:sz w:val="24"/>
          <w:szCs w:val="24"/>
        </w:rPr>
      </w:pPr>
      <w:r w:rsidRPr="00FE13BD">
        <w:rPr>
          <w:rFonts w:ascii="Arial" w:hAnsi="Arial" w:cs="Arial"/>
          <w:sz w:val="24"/>
          <w:szCs w:val="24"/>
        </w:rPr>
        <w:t>I confirm that I have not presented any AI generated materials as my own work.</w:t>
      </w:r>
    </w:p>
    <w:p w14:paraId="736E151A" w14:textId="77777777" w:rsidR="008E48F9" w:rsidRPr="00FE13BD" w:rsidRDefault="008E48F9" w:rsidP="008E1CB8">
      <w:pPr>
        <w:spacing w:line="360" w:lineRule="auto"/>
        <w:rPr>
          <w:rFonts w:ascii="Arial" w:hAnsi="Arial" w:cs="Arial"/>
          <w:sz w:val="24"/>
          <w:szCs w:val="24"/>
        </w:rPr>
      </w:pPr>
      <w:r w:rsidRPr="00FE13BD">
        <w:rPr>
          <w:rFonts w:ascii="Arial" w:hAnsi="Arial" w:cs="Arial"/>
          <w:sz w:val="24"/>
          <w:szCs w:val="24"/>
        </w:rPr>
        <w:t xml:space="preserve">I confirm that I have copies of my </w:t>
      </w:r>
      <w:proofErr w:type="spellStart"/>
      <w:proofErr w:type="gramStart"/>
      <w:r w:rsidRPr="00FE13BD">
        <w:rPr>
          <w:rFonts w:ascii="Arial" w:hAnsi="Arial" w:cs="Arial"/>
          <w:sz w:val="24"/>
          <w:szCs w:val="24"/>
        </w:rPr>
        <w:t>drafts,notes</w:t>
      </w:r>
      <w:proofErr w:type="gramEnd"/>
      <w:r w:rsidRPr="00FE13BD">
        <w:rPr>
          <w:rFonts w:ascii="Arial" w:hAnsi="Arial" w:cs="Arial"/>
          <w:sz w:val="24"/>
          <w:szCs w:val="24"/>
        </w:rPr>
        <w:t>,and</w:t>
      </w:r>
      <w:proofErr w:type="spellEnd"/>
      <w:r w:rsidRPr="00FE13BD">
        <w:rPr>
          <w:rFonts w:ascii="Arial" w:hAnsi="Arial" w:cs="Arial"/>
          <w:sz w:val="24"/>
          <w:szCs w:val="24"/>
        </w:rPr>
        <w:t xml:space="preserve"> other resources I used, which I may be asked to provide in evidence.</w:t>
      </w:r>
    </w:p>
    <w:p w14:paraId="612C782F" w14:textId="77777777" w:rsidR="008E48F9" w:rsidRPr="00FE13BD" w:rsidRDefault="008E48F9" w:rsidP="008E1CB8">
      <w:pPr>
        <w:spacing w:line="360" w:lineRule="auto"/>
        <w:rPr>
          <w:rFonts w:ascii="Arial" w:hAnsi="Arial" w:cs="Arial"/>
          <w:sz w:val="24"/>
          <w:szCs w:val="24"/>
        </w:rPr>
      </w:pPr>
    </w:p>
    <w:p w14:paraId="020B98F1" w14:textId="77777777" w:rsidR="008E48F9" w:rsidRPr="00FE13BD" w:rsidRDefault="008E48F9" w:rsidP="008E1CB8">
      <w:pPr>
        <w:spacing w:line="360" w:lineRule="auto"/>
        <w:rPr>
          <w:rFonts w:ascii="Arial" w:hAnsi="Arial" w:cs="Arial"/>
          <w:sz w:val="24"/>
          <w:szCs w:val="24"/>
        </w:rPr>
      </w:pPr>
    </w:p>
    <w:p w14:paraId="11F6FE51" w14:textId="77777777" w:rsidR="008E48F9" w:rsidRPr="00FE13BD" w:rsidRDefault="008E48F9" w:rsidP="008E1CB8">
      <w:pPr>
        <w:spacing w:line="360" w:lineRule="auto"/>
        <w:rPr>
          <w:rFonts w:ascii="Arial" w:hAnsi="Arial" w:cs="Arial"/>
          <w:sz w:val="24"/>
          <w:szCs w:val="24"/>
        </w:rPr>
      </w:pPr>
    </w:p>
    <w:p w14:paraId="4B8715B6" w14:textId="77777777" w:rsidR="008E48F9" w:rsidRPr="00FE13BD" w:rsidRDefault="008E48F9" w:rsidP="008E1CB8">
      <w:pPr>
        <w:spacing w:line="360" w:lineRule="auto"/>
        <w:rPr>
          <w:rFonts w:ascii="Arial" w:hAnsi="Arial" w:cs="Arial"/>
          <w:sz w:val="24"/>
          <w:szCs w:val="24"/>
        </w:rPr>
      </w:pPr>
    </w:p>
    <w:p w14:paraId="1858BF03" w14:textId="77777777" w:rsidR="008E48F9" w:rsidRPr="00FE13BD" w:rsidRDefault="008E48F9" w:rsidP="008E1CB8">
      <w:pPr>
        <w:spacing w:line="360" w:lineRule="auto"/>
        <w:rPr>
          <w:rFonts w:ascii="Arial" w:hAnsi="Arial" w:cs="Arial"/>
          <w:sz w:val="24"/>
          <w:szCs w:val="24"/>
        </w:rPr>
      </w:pPr>
    </w:p>
    <w:p w14:paraId="1FA48C0A" w14:textId="77777777" w:rsidR="008E48F9" w:rsidRPr="00FE13BD" w:rsidRDefault="008E48F9" w:rsidP="008E1CB8">
      <w:pPr>
        <w:spacing w:line="360" w:lineRule="auto"/>
        <w:rPr>
          <w:rFonts w:ascii="Arial" w:hAnsi="Arial" w:cs="Arial"/>
          <w:sz w:val="24"/>
          <w:szCs w:val="24"/>
        </w:rPr>
      </w:pPr>
    </w:p>
    <w:p w14:paraId="069D2D15" w14:textId="77777777" w:rsidR="008E48F9" w:rsidRPr="00FE13BD" w:rsidRDefault="008E48F9" w:rsidP="008E1CB8">
      <w:pPr>
        <w:spacing w:line="360" w:lineRule="auto"/>
        <w:rPr>
          <w:rFonts w:ascii="Arial" w:hAnsi="Arial" w:cs="Arial"/>
          <w:sz w:val="24"/>
          <w:szCs w:val="24"/>
        </w:rPr>
      </w:pPr>
    </w:p>
    <w:p w14:paraId="56D7431D" w14:textId="77777777" w:rsidR="008E48F9" w:rsidRPr="00FE13BD" w:rsidRDefault="008E48F9" w:rsidP="008E1CB8">
      <w:pPr>
        <w:spacing w:line="360" w:lineRule="auto"/>
        <w:rPr>
          <w:rFonts w:ascii="Arial" w:hAnsi="Arial" w:cs="Arial"/>
          <w:sz w:val="24"/>
          <w:szCs w:val="24"/>
        </w:rPr>
      </w:pPr>
    </w:p>
    <w:p w14:paraId="1B368A20" w14:textId="77777777" w:rsidR="008E48F9" w:rsidRPr="00FE13BD" w:rsidRDefault="008E48F9" w:rsidP="008E1CB8">
      <w:pPr>
        <w:spacing w:line="360" w:lineRule="auto"/>
        <w:rPr>
          <w:rFonts w:ascii="Arial" w:hAnsi="Arial" w:cs="Arial"/>
          <w:sz w:val="24"/>
          <w:szCs w:val="24"/>
        </w:rPr>
      </w:pPr>
    </w:p>
    <w:p w14:paraId="165DB842" w14:textId="77777777" w:rsidR="008E48F9" w:rsidRPr="00FE13BD" w:rsidRDefault="008E48F9" w:rsidP="008E1CB8">
      <w:pPr>
        <w:spacing w:line="360" w:lineRule="auto"/>
        <w:rPr>
          <w:rFonts w:ascii="Arial" w:hAnsi="Arial" w:cs="Arial"/>
          <w:sz w:val="24"/>
          <w:szCs w:val="24"/>
        </w:rPr>
      </w:pPr>
    </w:p>
    <w:p w14:paraId="24726C28" w14:textId="77777777" w:rsidR="008E48F9" w:rsidRPr="00FE13BD" w:rsidRDefault="008E48F9" w:rsidP="008E1CB8">
      <w:pPr>
        <w:spacing w:line="360" w:lineRule="auto"/>
        <w:rPr>
          <w:rFonts w:ascii="Arial" w:hAnsi="Arial" w:cs="Arial"/>
          <w:sz w:val="24"/>
          <w:szCs w:val="24"/>
        </w:rPr>
      </w:pPr>
    </w:p>
    <w:p w14:paraId="54AC0C80" w14:textId="77777777" w:rsidR="008E48F9" w:rsidRPr="00FE13BD" w:rsidRDefault="008E48F9" w:rsidP="008E1CB8">
      <w:pPr>
        <w:spacing w:line="360" w:lineRule="auto"/>
        <w:rPr>
          <w:rFonts w:ascii="Arial" w:hAnsi="Arial" w:cs="Arial"/>
          <w:sz w:val="24"/>
          <w:szCs w:val="24"/>
        </w:rPr>
      </w:pPr>
    </w:p>
    <w:p w14:paraId="67687FC3" w14:textId="77777777" w:rsidR="008E48F9" w:rsidRPr="00FE13BD" w:rsidRDefault="008E48F9" w:rsidP="008E1CB8">
      <w:pPr>
        <w:spacing w:line="360" w:lineRule="auto"/>
        <w:rPr>
          <w:rFonts w:ascii="Arial" w:hAnsi="Arial" w:cs="Arial"/>
          <w:sz w:val="24"/>
          <w:szCs w:val="24"/>
        </w:rPr>
      </w:pPr>
    </w:p>
    <w:p w14:paraId="2EFA3FF2" w14:textId="77777777" w:rsidR="008E48F9" w:rsidRPr="00FE13BD" w:rsidRDefault="008E48F9" w:rsidP="008E1CB8">
      <w:pPr>
        <w:spacing w:line="360" w:lineRule="auto"/>
        <w:rPr>
          <w:rFonts w:ascii="Arial" w:hAnsi="Arial" w:cs="Arial"/>
          <w:sz w:val="24"/>
          <w:szCs w:val="24"/>
        </w:rPr>
      </w:pPr>
    </w:p>
    <w:p w14:paraId="5173F42A" w14:textId="77777777" w:rsidR="008E48F9" w:rsidRPr="00FE13BD" w:rsidRDefault="008E48F9" w:rsidP="008E1CB8">
      <w:pPr>
        <w:spacing w:line="360" w:lineRule="auto"/>
        <w:rPr>
          <w:rFonts w:ascii="Arial" w:hAnsi="Arial" w:cs="Arial"/>
          <w:sz w:val="24"/>
          <w:szCs w:val="24"/>
        </w:rPr>
      </w:pPr>
    </w:p>
    <w:p w14:paraId="686AD382" w14:textId="77777777" w:rsidR="008E48F9" w:rsidRPr="00FE13BD" w:rsidRDefault="008E48F9" w:rsidP="008E1CB8">
      <w:pPr>
        <w:spacing w:line="360" w:lineRule="auto"/>
        <w:rPr>
          <w:rFonts w:ascii="Arial" w:hAnsi="Arial" w:cs="Arial"/>
          <w:sz w:val="24"/>
          <w:szCs w:val="24"/>
        </w:rPr>
      </w:pPr>
    </w:p>
    <w:p w14:paraId="654123C7" w14:textId="77777777" w:rsidR="008E48F9" w:rsidRPr="00FE13BD" w:rsidRDefault="008E48F9" w:rsidP="008E1CB8">
      <w:pPr>
        <w:spacing w:line="360" w:lineRule="auto"/>
        <w:rPr>
          <w:rFonts w:ascii="Arial" w:hAnsi="Arial" w:cs="Arial"/>
          <w:sz w:val="24"/>
          <w:szCs w:val="24"/>
        </w:rPr>
      </w:pPr>
    </w:p>
    <w:p w14:paraId="0F06654F" w14:textId="77777777" w:rsidR="008E48F9" w:rsidRPr="00FE13BD" w:rsidRDefault="008E48F9" w:rsidP="008E1CB8">
      <w:pPr>
        <w:spacing w:line="360" w:lineRule="auto"/>
        <w:rPr>
          <w:rFonts w:ascii="Arial" w:hAnsi="Arial" w:cs="Arial"/>
          <w:sz w:val="24"/>
          <w:szCs w:val="24"/>
        </w:rPr>
      </w:pPr>
    </w:p>
    <w:p w14:paraId="03693D47" w14:textId="77777777" w:rsidR="008E48F9" w:rsidRPr="00FE13BD" w:rsidRDefault="008E48F9" w:rsidP="008E1CB8">
      <w:pPr>
        <w:spacing w:line="360" w:lineRule="auto"/>
        <w:rPr>
          <w:rFonts w:ascii="Arial" w:hAnsi="Arial" w:cs="Arial"/>
          <w:sz w:val="24"/>
          <w:szCs w:val="24"/>
        </w:rPr>
      </w:pPr>
    </w:p>
    <w:p w14:paraId="77607B65" w14:textId="77777777" w:rsidR="008E48F9" w:rsidRPr="00FE13BD" w:rsidRDefault="008E48F9" w:rsidP="008E1CB8">
      <w:pPr>
        <w:spacing w:line="360" w:lineRule="auto"/>
        <w:rPr>
          <w:rFonts w:ascii="Arial" w:hAnsi="Arial" w:cs="Arial"/>
          <w:sz w:val="24"/>
          <w:szCs w:val="24"/>
        </w:rPr>
      </w:pPr>
    </w:p>
    <w:p w14:paraId="4B6AD125" w14:textId="77777777" w:rsidR="008E48F9" w:rsidRPr="00FE13BD" w:rsidRDefault="008E48F9" w:rsidP="008E1CB8">
      <w:pPr>
        <w:spacing w:line="360" w:lineRule="auto"/>
        <w:rPr>
          <w:rFonts w:ascii="Arial" w:hAnsi="Arial" w:cs="Arial"/>
          <w:sz w:val="24"/>
          <w:szCs w:val="24"/>
        </w:rPr>
      </w:pPr>
    </w:p>
    <w:p w14:paraId="5BE6513B" w14:textId="77777777" w:rsidR="008E48F9" w:rsidRPr="00FE13BD" w:rsidRDefault="008E48F9" w:rsidP="008E1CB8">
      <w:pPr>
        <w:spacing w:line="360" w:lineRule="auto"/>
        <w:rPr>
          <w:rFonts w:ascii="Arial" w:hAnsi="Arial" w:cs="Arial"/>
          <w:sz w:val="24"/>
          <w:szCs w:val="24"/>
        </w:rPr>
      </w:pPr>
    </w:p>
    <w:p w14:paraId="2DC727A4" w14:textId="77777777" w:rsidR="008E48F9" w:rsidRPr="00FE13BD" w:rsidRDefault="008E48F9" w:rsidP="008E1CB8">
      <w:pPr>
        <w:spacing w:line="360" w:lineRule="auto"/>
        <w:rPr>
          <w:rFonts w:ascii="Arial" w:hAnsi="Arial" w:cs="Arial"/>
          <w:sz w:val="24"/>
          <w:szCs w:val="24"/>
        </w:rPr>
      </w:pPr>
    </w:p>
    <w:p w14:paraId="4C4884EF" w14:textId="77777777" w:rsidR="008E48F9" w:rsidRPr="00FE13BD" w:rsidRDefault="008E48F9" w:rsidP="008E1CB8">
      <w:pPr>
        <w:spacing w:line="360" w:lineRule="auto"/>
        <w:rPr>
          <w:rFonts w:ascii="Arial" w:hAnsi="Arial" w:cs="Arial"/>
          <w:sz w:val="24"/>
          <w:szCs w:val="24"/>
        </w:rPr>
      </w:pPr>
    </w:p>
    <w:p w14:paraId="17CEA983" w14:textId="77777777" w:rsidR="0093780E" w:rsidRPr="00FE13BD" w:rsidRDefault="0093780E" w:rsidP="008E1CB8">
      <w:pPr>
        <w:spacing w:line="360" w:lineRule="auto"/>
        <w:rPr>
          <w:sz w:val="24"/>
          <w:szCs w:val="24"/>
        </w:rPr>
      </w:pPr>
    </w:p>
    <w:p w14:paraId="69FBDE08" w14:textId="086901B1" w:rsidR="00CB3BCC" w:rsidRPr="00AF28EB" w:rsidRDefault="00BD5B3F" w:rsidP="008E1CB8">
      <w:pPr>
        <w:spacing w:line="360" w:lineRule="auto"/>
        <w:rPr>
          <w:b/>
          <w:bCs/>
          <w:sz w:val="28"/>
          <w:szCs w:val="28"/>
        </w:rPr>
      </w:pPr>
      <w:r w:rsidRPr="00AF28EB">
        <w:rPr>
          <w:rFonts w:hint="eastAsia"/>
          <w:b/>
          <w:bCs/>
          <w:sz w:val="28"/>
          <w:szCs w:val="28"/>
        </w:rPr>
        <w:lastRenderedPageBreak/>
        <w:t>Abstract</w:t>
      </w:r>
    </w:p>
    <w:p w14:paraId="3A0348B7" w14:textId="77777777" w:rsidR="00E74821" w:rsidRPr="00E74821" w:rsidRDefault="00E74821" w:rsidP="00E74821">
      <w:pPr>
        <w:spacing w:line="360" w:lineRule="auto"/>
        <w:rPr>
          <w:sz w:val="24"/>
          <w:szCs w:val="24"/>
        </w:rPr>
      </w:pPr>
      <w:r w:rsidRPr="00E74821">
        <w:rPr>
          <w:sz w:val="24"/>
          <w:szCs w:val="24"/>
        </w:rPr>
        <w:t>This article explores the long-standing barriers to cross-cultural communication between British and French enterprises. Based on Boud's Reflective Triangle Theory, it analyzes the fundamental causes of communication conflicts between the two countries' enterprises and proposes adaptive strategies to optimize cooperative relationships. The study employs Hofstede's cultural dimensions, Hall's high-low context theory, and Trompenaars' model to analyze the differences in communication norms, values, and business practices between British and French enterprises.</w:t>
      </w:r>
    </w:p>
    <w:p w14:paraId="2B096ED8" w14:textId="77777777" w:rsidR="00E74821" w:rsidRPr="00E74821" w:rsidRDefault="00E74821" w:rsidP="00E74821">
      <w:pPr>
        <w:spacing w:line="360" w:lineRule="auto"/>
        <w:rPr>
          <w:sz w:val="24"/>
          <w:szCs w:val="24"/>
        </w:rPr>
      </w:pPr>
      <w:r w:rsidRPr="00E74821">
        <w:rPr>
          <w:sz w:val="24"/>
          <w:szCs w:val="24"/>
        </w:rPr>
        <w:t>This analysis reveals that conflicts mainly occur in three situations: contract negotiations, team collaboration, and marketing strategies. For instance, the British tend to communicate in a task-oriented manner, while the French prefer high-context communication styles for building relationships.</w:t>
      </w:r>
    </w:p>
    <w:p w14:paraId="29D4349E" w14:textId="23EE308F" w:rsidR="00BD5B3F" w:rsidRPr="00FE13BD" w:rsidRDefault="00E74821" w:rsidP="00E74821">
      <w:pPr>
        <w:spacing w:line="360" w:lineRule="auto"/>
        <w:rPr>
          <w:sz w:val="24"/>
          <w:szCs w:val="24"/>
        </w:rPr>
      </w:pPr>
      <w:r w:rsidRPr="00E74821">
        <w:rPr>
          <w:sz w:val="24"/>
          <w:szCs w:val="24"/>
        </w:rPr>
        <w:t>To bridge these gaps, this article proposes targeted coping strategies, including designing hybrid collaboration methods that combine British efficiency and French rigor, as well as adjusting marketing strategies to align with French cultural priorities. At the same time, it emphasizes the importance of a continuous feedback mechanism to ensure the sustainable development of British brands in France.</w:t>
      </w:r>
    </w:p>
    <w:p w14:paraId="2F9FA944" w14:textId="77777777" w:rsidR="00BD5B3F" w:rsidRPr="00FE13BD" w:rsidRDefault="00BD5B3F" w:rsidP="008E1CB8">
      <w:pPr>
        <w:spacing w:line="360" w:lineRule="auto"/>
        <w:rPr>
          <w:sz w:val="24"/>
          <w:szCs w:val="24"/>
        </w:rPr>
      </w:pPr>
    </w:p>
    <w:p w14:paraId="38E37BC1" w14:textId="77777777" w:rsidR="00BD5B3F" w:rsidRPr="00FE13BD" w:rsidRDefault="00BD5B3F" w:rsidP="008E1CB8">
      <w:pPr>
        <w:spacing w:line="360" w:lineRule="auto"/>
        <w:rPr>
          <w:sz w:val="24"/>
          <w:szCs w:val="24"/>
        </w:rPr>
      </w:pPr>
    </w:p>
    <w:p w14:paraId="0ECFBD43" w14:textId="77777777" w:rsidR="00BD5B3F" w:rsidRPr="00FE13BD" w:rsidRDefault="00BD5B3F" w:rsidP="008E1CB8">
      <w:pPr>
        <w:spacing w:line="360" w:lineRule="auto"/>
        <w:rPr>
          <w:sz w:val="24"/>
          <w:szCs w:val="24"/>
        </w:rPr>
      </w:pPr>
    </w:p>
    <w:p w14:paraId="57D3128F" w14:textId="77777777" w:rsidR="00BD5B3F" w:rsidRPr="00FE13BD" w:rsidRDefault="00BD5B3F" w:rsidP="008E1CB8">
      <w:pPr>
        <w:spacing w:line="360" w:lineRule="auto"/>
        <w:rPr>
          <w:sz w:val="24"/>
          <w:szCs w:val="24"/>
        </w:rPr>
      </w:pPr>
    </w:p>
    <w:p w14:paraId="455CB659" w14:textId="77777777" w:rsidR="00BD5B3F" w:rsidRPr="00FE13BD" w:rsidRDefault="00BD5B3F" w:rsidP="008E1CB8">
      <w:pPr>
        <w:spacing w:line="360" w:lineRule="auto"/>
        <w:rPr>
          <w:sz w:val="24"/>
          <w:szCs w:val="24"/>
        </w:rPr>
      </w:pPr>
    </w:p>
    <w:p w14:paraId="06955A0B" w14:textId="77777777" w:rsidR="00BD5B3F" w:rsidRPr="00FE13BD" w:rsidRDefault="00BD5B3F" w:rsidP="008E1CB8">
      <w:pPr>
        <w:spacing w:line="360" w:lineRule="auto"/>
        <w:rPr>
          <w:sz w:val="24"/>
          <w:szCs w:val="24"/>
        </w:rPr>
      </w:pPr>
    </w:p>
    <w:p w14:paraId="24B13919" w14:textId="77777777" w:rsidR="00BD5B3F" w:rsidRPr="00FE13BD" w:rsidRDefault="00BD5B3F" w:rsidP="008E1CB8">
      <w:pPr>
        <w:spacing w:line="360" w:lineRule="auto"/>
        <w:rPr>
          <w:sz w:val="24"/>
          <w:szCs w:val="24"/>
        </w:rPr>
      </w:pPr>
    </w:p>
    <w:p w14:paraId="105352D4" w14:textId="77777777" w:rsidR="00BD5B3F" w:rsidRPr="00FE13BD" w:rsidRDefault="00BD5B3F" w:rsidP="008E1CB8">
      <w:pPr>
        <w:spacing w:line="360" w:lineRule="auto"/>
        <w:rPr>
          <w:sz w:val="24"/>
          <w:szCs w:val="24"/>
        </w:rPr>
      </w:pPr>
    </w:p>
    <w:p w14:paraId="18545EB4" w14:textId="77777777" w:rsidR="00BD5B3F" w:rsidRPr="00FE13BD" w:rsidRDefault="00BD5B3F" w:rsidP="008E1CB8">
      <w:pPr>
        <w:spacing w:line="360" w:lineRule="auto"/>
        <w:rPr>
          <w:sz w:val="24"/>
          <w:szCs w:val="24"/>
        </w:rPr>
      </w:pPr>
    </w:p>
    <w:p w14:paraId="6607AF2D" w14:textId="77777777" w:rsidR="00BD5B3F" w:rsidRPr="00FE13BD" w:rsidRDefault="00BD5B3F" w:rsidP="008E1CB8">
      <w:pPr>
        <w:spacing w:line="360" w:lineRule="auto"/>
        <w:rPr>
          <w:sz w:val="24"/>
          <w:szCs w:val="24"/>
        </w:rPr>
      </w:pPr>
    </w:p>
    <w:p w14:paraId="33F4D6FD" w14:textId="77777777" w:rsidR="00BD5B3F" w:rsidRPr="00FE13BD" w:rsidRDefault="00BD5B3F" w:rsidP="008E1CB8">
      <w:pPr>
        <w:spacing w:line="360" w:lineRule="auto"/>
        <w:rPr>
          <w:sz w:val="24"/>
          <w:szCs w:val="24"/>
        </w:rPr>
      </w:pPr>
    </w:p>
    <w:p w14:paraId="153E9672" w14:textId="77777777" w:rsidR="00BD5B3F" w:rsidRPr="00FE13BD" w:rsidRDefault="00BD5B3F" w:rsidP="008E1CB8">
      <w:pPr>
        <w:spacing w:line="360" w:lineRule="auto"/>
        <w:rPr>
          <w:rFonts w:hint="eastAsia"/>
          <w:sz w:val="24"/>
          <w:szCs w:val="24"/>
        </w:rPr>
      </w:pPr>
    </w:p>
    <w:p w14:paraId="2C7E76EB" w14:textId="78F6A843" w:rsidR="00BD5B3F" w:rsidRPr="00AF28EB" w:rsidRDefault="00A458D7" w:rsidP="00AF28EB">
      <w:pPr>
        <w:spacing w:line="360" w:lineRule="auto"/>
        <w:jc w:val="center"/>
        <w:rPr>
          <w:b/>
          <w:bCs/>
          <w:sz w:val="28"/>
          <w:szCs w:val="28"/>
        </w:rPr>
      </w:pPr>
      <w:r w:rsidRPr="00AF28EB">
        <w:rPr>
          <w:rFonts w:hint="eastAsia"/>
          <w:b/>
          <w:bCs/>
          <w:sz w:val="28"/>
          <w:szCs w:val="28"/>
        </w:rPr>
        <w:lastRenderedPageBreak/>
        <w:t>Content</w:t>
      </w:r>
    </w:p>
    <w:p w14:paraId="6E79C018" w14:textId="77777777" w:rsidR="00B7574F" w:rsidRPr="00FE13BD" w:rsidRDefault="00B7574F" w:rsidP="008E1CB8">
      <w:pPr>
        <w:spacing w:line="360" w:lineRule="auto"/>
        <w:rPr>
          <w:sz w:val="24"/>
          <w:szCs w:val="24"/>
        </w:rPr>
      </w:pPr>
    </w:p>
    <w:p w14:paraId="47C8BFC7" w14:textId="0DE57D61" w:rsidR="00B7574F" w:rsidRPr="00FE13BD" w:rsidRDefault="00EA46E3" w:rsidP="009445DF">
      <w:pPr>
        <w:tabs>
          <w:tab w:val="right" w:leader="middleDot" w:pos="8400"/>
        </w:tabs>
        <w:spacing w:line="360" w:lineRule="auto"/>
        <w:rPr>
          <w:rFonts w:hint="eastAsia"/>
          <w:sz w:val="24"/>
          <w:szCs w:val="24"/>
        </w:rPr>
      </w:pPr>
      <w:r w:rsidRPr="00FE13BD">
        <w:rPr>
          <w:rFonts w:hint="eastAsia"/>
          <w:sz w:val="24"/>
          <w:szCs w:val="24"/>
        </w:rPr>
        <w:t xml:space="preserve">1.0 </w:t>
      </w:r>
      <w:r w:rsidR="00B7574F" w:rsidRPr="00FE13BD">
        <w:rPr>
          <w:rFonts w:hint="eastAsia"/>
          <w:sz w:val="24"/>
          <w:szCs w:val="24"/>
        </w:rPr>
        <w:t>Introduction</w:t>
      </w:r>
      <w:r w:rsidR="009445DF">
        <w:rPr>
          <w:sz w:val="24"/>
          <w:szCs w:val="24"/>
        </w:rPr>
        <w:tab/>
      </w:r>
      <w:r w:rsidR="009445DF">
        <w:rPr>
          <w:rFonts w:hint="eastAsia"/>
          <w:sz w:val="24"/>
          <w:szCs w:val="24"/>
        </w:rPr>
        <w:t>5</w:t>
      </w:r>
    </w:p>
    <w:p w14:paraId="5C4BE553" w14:textId="3807AC75" w:rsidR="00EA46E3" w:rsidRPr="00FE13BD" w:rsidRDefault="00EA46E3" w:rsidP="009445DF">
      <w:pPr>
        <w:tabs>
          <w:tab w:val="right" w:leader="middleDot" w:pos="8400"/>
        </w:tabs>
        <w:spacing w:line="360" w:lineRule="auto"/>
        <w:rPr>
          <w:rFonts w:hint="eastAsia"/>
          <w:sz w:val="24"/>
          <w:szCs w:val="24"/>
        </w:rPr>
      </w:pPr>
      <w:r w:rsidRPr="00FE13BD">
        <w:rPr>
          <w:rFonts w:hint="eastAsia"/>
          <w:sz w:val="24"/>
          <w:szCs w:val="24"/>
        </w:rPr>
        <w:t xml:space="preserve">2.0 </w:t>
      </w:r>
      <w:r w:rsidR="00B31FF0" w:rsidRPr="00B31FF0">
        <w:rPr>
          <w:sz w:val="24"/>
          <w:szCs w:val="24"/>
        </w:rPr>
        <w:t>Analysis of International Business Communication Scenarios</w:t>
      </w:r>
      <w:r w:rsidR="009445DF">
        <w:rPr>
          <w:sz w:val="24"/>
          <w:szCs w:val="24"/>
        </w:rPr>
        <w:tab/>
      </w:r>
      <w:r w:rsidR="009445DF">
        <w:rPr>
          <w:rFonts w:hint="eastAsia"/>
          <w:sz w:val="24"/>
          <w:szCs w:val="24"/>
        </w:rPr>
        <w:t>6</w:t>
      </w:r>
    </w:p>
    <w:p w14:paraId="489747A3" w14:textId="196FE384" w:rsidR="00C91E67" w:rsidRDefault="00DC70B8" w:rsidP="009445DF">
      <w:pPr>
        <w:tabs>
          <w:tab w:val="right" w:leader="middleDot" w:pos="8400"/>
        </w:tabs>
        <w:spacing w:line="360" w:lineRule="auto"/>
        <w:rPr>
          <w:rFonts w:hint="eastAsia"/>
          <w:sz w:val="24"/>
          <w:szCs w:val="24"/>
        </w:rPr>
      </w:pPr>
      <w:r>
        <w:rPr>
          <w:rFonts w:hint="eastAsia"/>
          <w:sz w:val="24"/>
          <w:szCs w:val="24"/>
        </w:rPr>
        <w:t xml:space="preserve">3.0 </w:t>
      </w:r>
      <w:r w:rsidR="008316AB">
        <w:rPr>
          <w:rFonts w:hint="eastAsia"/>
          <w:sz w:val="24"/>
          <w:szCs w:val="24"/>
        </w:rPr>
        <w:t>C</w:t>
      </w:r>
      <w:r w:rsidR="008316AB" w:rsidRPr="008316AB">
        <w:rPr>
          <w:sz w:val="24"/>
          <w:szCs w:val="24"/>
        </w:rPr>
        <w:t>oping strategy</w:t>
      </w:r>
      <w:r w:rsidR="009445DF">
        <w:rPr>
          <w:sz w:val="24"/>
          <w:szCs w:val="24"/>
        </w:rPr>
        <w:tab/>
      </w:r>
      <w:r w:rsidR="009445DF">
        <w:rPr>
          <w:rFonts w:hint="eastAsia"/>
          <w:sz w:val="24"/>
          <w:szCs w:val="24"/>
        </w:rPr>
        <w:t>7</w:t>
      </w:r>
    </w:p>
    <w:p w14:paraId="66A991EB" w14:textId="7477FEB7" w:rsidR="00EA46E3" w:rsidRPr="00FE13BD" w:rsidRDefault="00DC70B8" w:rsidP="009445DF">
      <w:pPr>
        <w:tabs>
          <w:tab w:val="right" w:leader="middleDot" w:pos="8400"/>
        </w:tabs>
        <w:spacing w:line="360" w:lineRule="auto"/>
        <w:rPr>
          <w:rFonts w:hint="eastAsia"/>
          <w:sz w:val="24"/>
          <w:szCs w:val="24"/>
        </w:rPr>
      </w:pPr>
      <w:r>
        <w:rPr>
          <w:rFonts w:hint="eastAsia"/>
          <w:sz w:val="24"/>
          <w:szCs w:val="24"/>
        </w:rPr>
        <w:t>4</w:t>
      </w:r>
      <w:r w:rsidR="00EA46E3" w:rsidRPr="00FE13BD">
        <w:rPr>
          <w:rFonts w:hint="eastAsia"/>
          <w:sz w:val="24"/>
          <w:szCs w:val="24"/>
        </w:rPr>
        <w:t xml:space="preserve">.0 </w:t>
      </w:r>
      <w:r w:rsidR="00EA46E3" w:rsidRPr="00FE13BD">
        <w:rPr>
          <w:sz w:val="24"/>
          <w:szCs w:val="24"/>
        </w:rPr>
        <w:t>Conclusion</w:t>
      </w:r>
      <w:r w:rsidR="009445DF">
        <w:rPr>
          <w:sz w:val="24"/>
          <w:szCs w:val="24"/>
        </w:rPr>
        <w:tab/>
      </w:r>
      <w:r w:rsidR="009445DF">
        <w:rPr>
          <w:rFonts w:hint="eastAsia"/>
          <w:sz w:val="24"/>
          <w:szCs w:val="24"/>
        </w:rPr>
        <w:t>9</w:t>
      </w:r>
    </w:p>
    <w:p w14:paraId="7074AA96" w14:textId="3A73A26D" w:rsidR="00BD5B3F" w:rsidRPr="00FE13BD" w:rsidRDefault="00EA46E3" w:rsidP="009445DF">
      <w:pPr>
        <w:tabs>
          <w:tab w:val="right" w:leader="middleDot" w:pos="8400"/>
        </w:tabs>
        <w:spacing w:line="360" w:lineRule="auto"/>
        <w:rPr>
          <w:rFonts w:hint="eastAsia"/>
          <w:sz w:val="24"/>
          <w:szCs w:val="24"/>
        </w:rPr>
      </w:pPr>
      <w:r w:rsidRPr="00FE13BD">
        <w:rPr>
          <w:sz w:val="24"/>
          <w:szCs w:val="24"/>
        </w:rPr>
        <w:t>References</w:t>
      </w:r>
      <w:r w:rsidR="009445DF">
        <w:rPr>
          <w:sz w:val="24"/>
          <w:szCs w:val="24"/>
        </w:rPr>
        <w:tab/>
      </w:r>
      <w:r w:rsidR="009445DF">
        <w:rPr>
          <w:rFonts w:hint="eastAsia"/>
          <w:sz w:val="24"/>
          <w:szCs w:val="24"/>
        </w:rPr>
        <w:t>11</w:t>
      </w:r>
    </w:p>
    <w:p w14:paraId="7B11EF23" w14:textId="77777777" w:rsidR="00BD5B3F" w:rsidRPr="00FE13BD" w:rsidRDefault="00BD5B3F" w:rsidP="008E1CB8">
      <w:pPr>
        <w:spacing w:line="360" w:lineRule="auto"/>
        <w:rPr>
          <w:sz w:val="24"/>
          <w:szCs w:val="24"/>
        </w:rPr>
      </w:pPr>
    </w:p>
    <w:p w14:paraId="53B1EB61" w14:textId="77777777" w:rsidR="00BD5B3F" w:rsidRPr="00FE13BD" w:rsidRDefault="00BD5B3F" w:rsidP="008E1CB8">
      <w:pPr>
        <w:spacing w:line="360" w:lineRule="auto"/>
        <w:rPr>
          <w:sz w:val="24"/>
          <w:szCs w:val="24"/>
        </w:rPr>
      </w:pPr>
    </w:p>
    <w:p w14:paraId="6F015B9A" w14:textId="77777777" w:rsidR="00BD5B3F" w:rsidRPr="00FE13BD" w:rsidRDefault="00BD5B3F" w:rsidP="008E1CB8">
      <w:pPr>
        <w:spacing w:line="360" w:lineRule="auto"/>
        <w:rPr>
          <w:sz w:val="24"/>
          <w:szCs w:val="24"/>
        </w:rPr>
      </w:pPr>
    </w:p>
    <w:p w14:paraId="5D825047" w14:textId="77777777" w:rsidR="00BD5B3F" w:rsidRPr="00FE13BD" w:rsidRDefault="00BD5B3F" w:rsidP="008E1CB8">
      <w:pPr>
        <w:spacing w:line="360" w:lineRule="auto"/>
        <w:rPr>
          <w:sz w:val="24"/>
          <w:szCs w:val="24"/>
        </w:rPr>
      </w:pPr>
    </w:p>
    <w:p w14:paraId="40DB632B" w14:textId="77777777" w:rsidR="00BD5B3F" w:rsidRPr="00FE13BD" w:rsidRDefault="00BD5B3F" w:rsidP="008E1CB8">
      <w:pPr>
        <w:spacing w:line="360" w:lineRule="auto"/>
        <w:rPr>
          <w:sz w:val="24"/>
          <w:szCs w:val="24"/>
        </w:rPr>
      </w:pPr>
    </w:p>
    <w:p w14:paraId="0FFC3625" w14:textId="77777777" w:rsidR="00BD5B3F" w:rsidRPr="00FE13BD" w:rsidRDefault="00BD5B3F" w:rsidP="006134AD">
      <w:pPr>
        <w:spacing w:line="360" w:lineRule="auto"/>
        <w:rPr>
          <w:sz w:val="24"/>
          <w:szCs w:val="24"/>
        </w:rPr>
      </w:pPr>
    </w:p>
    <w:p w14:paraId="32D75ECD" w14:textId="77777777" w:rsidR="00BD5B3F" w:rsidRPr="00FE13BD" w:rsidRDefault="00BD5B3F" w:rsidP="006134AD">
      <w:pPr>
        <w:spacing w:line="360" w:lineRule="auto"/>
        <w:rPr>
          <w:sz w:val="24"/>
          <w:szCs w:val="24"/>
        </w:rPr>
      </w:pPr>
    </w:p>
    <w:p w14:paraId="7C490710" w14:textId="77777777" w:rsidR="00BD5B3F" w:rsidRPr="00FE13BD" w:rsidRDefault="00BD5B3F" w:rsidP="006134AD">
      <w:pPr>
        <w:spacing w:line="360" w:lineRule="auto"/>
        <w:rPr>
          <w:sz w:val="24"/>
          <w:szCs w:val="24"/>
        </w:rPr>
      </w:pPr>
    </w:p>
    <w:p w14:paraId="7065028B" w14:textId="77777777" w:rsidR="00BD5B3F" w:rsidRPr="00FE13BD" w:rsidRDefault="00BD5B3F" w:rsidP="006134AD">
      <w:pPr>
        <w:spacing w:line="360" w:lineRule="auto"/>
        <w:rPr>
          <w:sz w:val="24"/>
          <w:szCs w:val="24"/>
        </w:rPr>
      </w:pPr>
    </w:p>
    <w:p w14:paraId="4A566A59" w14:textId="77777777" w:rsidR="00BD5B3F" w:rsidRPr="00FE13BD" w:rsidRDefault="00BD5B3F" w:rsidP="006134AD">
      <w:pPr>
        <w:spacing w:line="360" w:lineRule="auto"/>
        <w:rPr>
          <w:sz w:val="24"/>
          <w:szCs w:val="24"/>
        </w:rPr>
      </w:pPr>
    </w:p>
    <w:p w14:paraId="16C0D46F" w14:textId="77777777" w:rsidR="00BD5B3F" w:rsidRPr="00FE13BD" w:rsidRDefault="00BD5B3F" w:rsidP="008E1CB8">
      <w:pPr>
        <w:spacing w:line="360" w:lineRule="auto"/>
        <w:rPr>
          <w:sz w:val="24"/>
          <w:szCs w:val="24"/>
        </w:rPr>
      </w:pPr>
    </w:p>
    <w:p w14:paraId="38FF353E" w14:textId="77777777" w:rsidR="00BD5B3F" w:rsidRPr="00FE13BD" w:rsidRDefault="00BD5B3F" w:rsidP="008E1CB8">
      <w:pPr>
        <w:spacing w:line="360" w:lineRule="auto"/>
        <w:rPr>
          <w:sz w:val="24"/>
          <w:szCs w:val="24"/>
        </w:rPr>
      </w:pPr>
    </w:p>
    <w:p w14:paraId="720DA64C" w14:textId="77777777" w:rsidR="00BD5B3F" w:rsidRPr="00FE13BD" w:rsidRDefault="00BD5B3F" w:rsidP="008E1CB8">
      <w:pPr>
        <w:spacing w:line="360" w:lineRule="auto"/>
        <w:rPr>
          <w:sz w:val="24"/>
          <w:szCs w:val="24"/>
        </w:rPr>
      </w:pPr>
    </w:p>
    <w:p w14:paraId="5B66989B" w14:textId="77777777" w:rsidR="006134AD" w:rsidRPr="00FE13BD" w:rsidRDefault="006134AD" w:rsidP="008E1CB8">
      <w:pPr>
        <w:spacing w:line="360" w:lineRule="auto"/>
        <w:rPr>
          <w:sz w:val="24"/>
          <w:szCs w:val="24"/>
        </w:rPr>
      </w:pPr>
    </w:p>
    <w:p w14:paraId="3C9797B8" w14:textId="77777777" w:rsidR="006134AD" w:rsidRPr="00FE13BD" w:rsidRDefault="006134AD" w:rsidP="008E1CB8">
      <w:pPr>
        <w:spacing w:line="360" w:lineRule="auto"/>
        <w:rPr>
          <w:sz w:val="24"/>
          <w:szCs w:val="24"/>
        </w:rPr>
      </w:pPr>
    </w:p>
    <w:p w14:paraId="1CBE3483" w14:textId="77777777" w:rsidR="006134AD" w:rsidRPr="00FE13BD" w:rsidRDefault="006134AD" w:rsidP="008E1CB8">
      <w:pPr>
        <w:spacing w:line="360" w:lineRule="auto"/>
        <w:rPr>
          <w:sz w:val="24"/>
          <w:szCs w:val="24"/>
        </w:rPr>
      </w:pPr>
    </w:p>
    <w:p w14:paraId="0CDF0A93" w14:textId="77777777" w:rsidR="006134AD" w:rsidRPr="00FE13BD" w:rsidRDefault="006134AD" w:rsidP="008E1CB8">
      <w:pPr>
        <w:spacing w:line="360" w:lineRule="auto"/>
        <w:rPr>
          <w:sz w:val="24"/>
          <w:szCs w:val="24"/>
        </w:rPr>
      </w:pPr>
    </w:p>
    <w:p w14:paraId="5A8FADE8" w14:textId="77777777" w:rsidR="006134AD" w:rsidRPr="00FE13BD" w:rsidRDefault="006134AD" w:rsidP="008E1CB8">
      <w:pPr>
        <w:spacing w:line="360" w:lineRule="auto"/>
        <w:rPr>
          <w:sz w:val="24"/>
          <w:szCs w:val="24"/>
        </w:rPr>
      </w:pPr>
    </w:p>
    <w:p w14:paraId="51B4FFC1" w14:textId="77777777" w:rsidR="006134AD" w:rsidRPr="00FE13BD" w:rsidRDefault="006134AD" w:rsidP="008E1CB8">
      <w:pPr>
        <w:spacing w:line="360" w:lineRule="auto"/>
        <w:rPr>
          <w:sz w:val="24"/>
          <w:szCs w:val="24"/>
        </w:rPr>
      </w:pPr>
    </w:p>
    <w:p w14:paraId="36C155E1" w14:textId="77777777" w:rsidR="006134AD" w:rsidRPr="00FE13BD" w:rsidRDefault="006134AD" w:rsidP="008E1CB8">
      <w:pPr>
        <w:spacing w:line="360" w:lineRule="auto"/>
        <w:rPr>
          <w:sz w:val="24"/>
          <w:szCs w:val="24"/>
        </w:rPr>
      </w:pPr>
    </w:p>
    <w:p w14:paraId="1B1CCF46" w14:textId="77777777" w:rsidR="006134AD" w:rsidRPr="00FE13BD" w:rsidRDefault="006134AD" w:rsidP="008E1CB8">
      <w:pPr>
        <w:spacing w:line="360" w:lineRule="auto"/>
        <w:rPr>
          <w:rFonts w:hint="eastAsia"/>
          <w:sz w:val="24"/>
          <w:szCs w:val="24"/>
        </w:rPr>
      </w:pPr>
    </w:p>
    <w:p w14:paraId="16DB081D" w14:textId="77777777" w:rsidR="00CE14B9" w:rsidRDefault="00CE14B9" w:rsidP="006134AD">
      <w:pPr>
        <w:spacing w:line="360" w:lineRule="auto"/>
        <w:rPr>
          <w:b/>
          <w:bCs/>
          <w:sz w:val="28"/>
          <w:szCs w:val="28"/>
        </w:rPr>
      </w:pPr>
    </w:p>
    <w:p w14:paraId="0A62E1E3" w14:textId="47580595" w:rsidR="006134AD" w:rsidRPr="00AF28EB" w:rsidRDefault="006134AD" w:rsidP="006134AD">
      <w:pPr>
        <w:spacing w:line="360" w:lineRule="auto"/>
        <w:rPr>
          <w:rFonts w:hint="eastAsia"/>
          <w:b/>
          <w:bCs/>
          <w:sz w:val="28"/>
          <w:szCs w:val="28"/>
        </w:rPr>
      </w:pPr>
      <w:r w:rsidRPr="00AF28EB">
        <w:rPr>
          <w:rFonts w:hint="eastAsia"/>
          <w:b/>
          <w:bCs/>
          <w:sz w:val="28"/>
          <w:szCs w:val="28"/>
        </w:rPr>
        <w:t>1.0 Introduction</w:t>
      </w:r>
    </w:p>
    <w:p w14:paraId="11860C17" w14:textId="018D8E3B" w:rsidR="00216640" w:rsidRPr="00216640" w:rsidRDefault="00216640" w:rsidP="00216640">
      <w:pPr>
        <w:spacing w:line="360" w:lineRule="auto"/>
        <w:rPr>
          <w:sz w:val="24"/>
          <w:szCs w:val="24"/>
        </w:rPr>
      </w:pPr>
      <w:r w:rsidRPr="00216640">
        <w:rPr>
          <w:sz w:val="24"/>
          <w:szCs w:val="24"/>
        </w:rPr>
        <w:lastRenderedPageBreak/>
        <w:t>In the context of European economic integration, the United Kingdom and France, as two major economies, maintain frequent cross-border business exchanges</w:t>
      </w:r>
      <w:r w:rsidR="00622846">
        <w:rPr>
          <w:sz w:val="24"/>
          <w:szCs w:val="24"/>
        </w:rPr>
        <w:fldChar w:fldCharType="begin"/>
      </w:r>
      <w:r w:rsidR="009801D9">
        <w:rPr>
          <w:sz w:val="24"/>
          <w:szCs w:val="24"/>
        </w:rPr>
        <w:instrText xml:space="preserve"> ADDIN ZOTERO_ITEM CSL_CITATION {"citationID":"tKAA3jsa","properties":{"formattedCitation":"(Baldwin and Wyplosz, 2022)","plainCitation":"(Baldwin and Wyplosz, 2022)","noteIndex":0},"citationItems":[{"id":240,"uris":["http://zotero.org/users/18628635/items/Q5Y2KXTV"],"itemData":{"id":240,"type":"book","abstract":"The seventh edition of The Economics of European Integration provides students with an accessible presentation of the facts, theories and controversies that are driving rapid change at the heart of Europe. This new edition covers crucial updates on the impact of Brexit and Covid-19 and offers an expert analysis of the contemporary status of integration within the European Union.Key Features and Updates•Wide range of learning features including boxed examples and illustrations, end of chapter summaries, self-assessment questions and essay questions.•Fully updated to include new discussions and examples such as the new budget which has significant implications on European bonds, immigration, and climate change.•Two new chapters highlighting the impact of both Brexit and Covid-19 on the EU.•An Online Learning Centre with Lecture Outlines, PowerPoint Presentations, and an Image Library.Richard Baldwin is Professor of International Economics at the Graduate Institute, Geneva, having been a visiting professor at Oxford and MIT. He is Editor-in-Chief and founder of VoxEU.org since 2007 and he advises governments around the world on globalisation and integration issues having served in the Bush (Sr) White House in 1990-91. Charles Wyplosz is Professor Emeritus of International Economics at the Graduate Institute in Geneva where he also served as Director of the International Centre for Money and Banking Studies. He is a Fellow of CEPR and of the European Economic Association, as well as a Founding Managing Editor of the Economic Policy journal.","ISBN":"978-1-5268-4944-1","language":"en","note":"Google-Books-ID: ELuFEAAAQBAJ","number-of-pages":"594","publisher":"McGraw Hill","source":"Google Books","title":"EBOOK The Economics of European Integration 7e","author":[{"family":"Baldwin","given":"Richard"},{"family":"Wyplosz","given":"Charles"}],"issued":{"date-parts":[["2022",8,30]]}}}],"schema":"https://github.com/citation-style-language/schema/raw/master/csl-citation.json"} </w:instrText>
      </w:r>
      <w:r w:rsidR="00622846">
        <w:rPr>
          <w:sz w:val="24"/>
          <w:szCs w:val="24"/>
        </w:rPr>
        <w:fldChar w:fldCharType="separate"/>
      </w:r>
      <w:r w:rsidR="009801D9">
        <w:rPr>
          <w:noProof/>
          <w:sz w:val="24"/>
          <w:szCs w:val="24"/>
        </w:rPr>
        <w:t>(Baldwin and Wyplosz, 2022)</w:t>
      </w:r>
      <w:r w:rsidR="00622846">
        <w:rPr>
          <w:sz w:val="24"/>
          <w:szCs w:val="24"/>
        </w:rPr>
        <w:fldChar w:fldCharType="end"/>
      </w:r>
      <w:r w:rsidRPr="00216640">
        <w:rPr>
          <w:sz w:val="24"/>
          <w:szCs w:val="24"/>
        </w:rPr>
        <w:t>. Although the two countries are geographically close, cultural differences still lead to communication barriers. Through the study of international business communication, I believe that British enterprises have difficulty operating smoothly in the French business environment due to the inconsistency of communication norms and value perceptions with those of France</w:t>
      </w:r>
      <w:r w:rsidR="006D367D">
        <w:rPr>
          <w:sz w:val="24"/>
          <w:szCs w:val="24"/>
        </w:rPr>
        <w:fldChar w:fldCharType="begin"/>
      </w:r>
      <w:r w:rsidR="007747B4">
        <w:rPr>
          <w:sz w:val="24"/>
          <w:szCs w:val="24"/>
        </w:rPr>
        <w:instrText xml:space="preserve"> ADDIN ZOTERO_ITEM CSL_CITATION {"citationID":"CkZ3bODR","properties":{"formattedCitation":"(Agustina, Thamrin and Oktoma, 2024)","plainCitation":"(Agustina, Thamrin and Oktoma, 2024)","noteIndex":0},"citationItems":[{"id":242,"uris":["http://zotero.org/users/18628635/items/IVIE2AFZ"],"itemData":{"id":242,"type":"article-journal","abstract":"This research explores the role of English as a lingua franca in international business, focusing on its impact on business operations, economic communication, and cross-cultural interactions. The research objectives include understanding the relationship between English proficiency and business success, identifying common cross-cultural communication challenges, and exploring strategies to improve communication in global markets. Using a qualitative methodology, data was gathered through Semi-structured interviews conducted with 10 key informants, including 2 managers, 2 executives, and 6 employees from 2 multinational corporations and 2 small businesses that operate in global markets. Key findings indicate that higher English proficiency enhances business outcomes, while cross-cultural communication barriers often complicate international transactions. The study concludes that businesses should invest in language training to boost competitiveness and mitigate communication challenges in global operations.","container-title":"International Journal Administration, Business &amp; Organization","DOI":"10.61242/ijabo.24.423","ISSN":"2721-5652","issue":"4","language":"en","license":"Copyright (c) 2024 Vina Agustina; Nani Ronsani  Thamrin; Erwin Oktoma","page":"82-90","source":"ijabo.a3i.or.id","title":"The Role of English Language Proficiency in the Global Economy and Business Communication","volume":"5","author":[{"family":"Agustina","given":"Vina"},{"family":"Thamrin","given":"Nani Ronsani"},{"family":"Oktoma","given":"Erwin"}],"issued":{"date-parts":[["2024",9,19]]}}}],"schema":"https://github.com/citation-style-language/schema/raw/master/csl-citation.json"} </w:instrText>
      </w:r>
      <w:r w:rsidR="006D367D">
        <w:rPr>
          <w:sz w:val="24"/>
          <w:szCs w:val="24"/>
        </w:rPr>
        <w:fldChar w:fldCharType="separate"/>
      </w:r>
      <w:r w:rsidR="007747B4">
        <w:rPr>
          <w:noProof/>
          <w:sz w:val="24"/>
          <w:szCs w:val="24"/>
        </w:rPr>
        <w:t>(Agustina, Thamrin and Oktoma, 2024)</w:t>
      </w:r>
      <w:r w:rsidR="006D367D">
        <w:rPr>
          <w:sz w:val="24"/>
          <w:szCs w:val="24"/>
        </w:rPr>
        <w:fldChar w:fldCharType="end"/>
      </w:r>
      <w:r w:rsidRPr="00216640">
        <w:rPr>
          <w:sz w:val="24"/>
          <w:szCs w:val="24"/>
        </w:rPr>
        <w:t>. This article, guided by Boud's Reflective Triangle Theory, analyzes the reasons for communication conflicts between British and French enterprises and critically assesses the solutions</w:t>
      </w:r>
      <w:r w:rsidR="00F57C0D">
        <w:rPr>
          <w:sz w:val="24"/>
          <w:szCs w:val="24"/>
        </w:rPr>
        <w:fldChar w:fldCharType="begin"/>
      </w:r>
      <w:r w:rsidR="000C4F87">
        <w:rPr>
          <w:sz w:val="24"/>
          <w:szCs w:val="24"/>
        </w:rPr>
        <w:instrText xml:space="preserve"> ADDIN ZOTERO_ITEM CSL_CITATION {"citationID":"bbma8JJE","properties":{"formattedCitation":"(E and Poorhakak, 2023)","plainCitation":"(E and Poorhakak, 2023)","noteIndex":0},"citationItems":[{"id":244,"uris":["http://zotero.org/users/18628635/items/JW4GSYB4"],"itemData":{"id":244,"type":"article-journal","abstract":"Introduction: In this study, the research team decided to take a step towards improving the quality of midwifery education by designing, implementing, and evaluating the midwifery internship course using the group rethinking method based on Boud et al.'s model.\nMethods:  This study was a single-group semi-experimental type. Reflection was first proposed in small groups and then in a larger group and the necessary feedback was provided.  The study tool included a standard survey questionnaire and a rethinking checklist. The results of the test were analyzed by performing descriptive and analytical statistical tests, and t-tests.\nResults: The average score of the survey before reflection was 122.95 ± 10.48 and after rethinking was 131.60 ± 19.78. The findings showed that there is a statistically significant difference between the opinions of students before the beginning of the study and after the end of the study (P = 0.012). Based on the results of the checklist completed by the students, the discussed topics included: 1- labor control (28%), 2- childbirth process and postpartum care of the mother (56%), and 3- newborn care (16%).\nConclusion: The results of this study show that reflection has been able to be useful for students and help educators in providing correct and adequate education. During the reflection process, the instructors will have an opportunity to complete the presented material or correct it in case of students' misconceptions. As a result, reflection is a suitable auxiliary tool to improve the quality of midwifery education.","container-title":"Journal of Medical Education and Development","DOI":"10.18502/jmed.v18i2.13668","ISSN":"2251-8266","language":"en","license":"Copyright (c) 2023 Journal of Medical Education and Development","note":"TLDR: Reflection is a suitable auxiliary tool to improve the quality of midwifery education and help educators in providing correct and adequate education.","source":"publish.kne-publishing.com","title":"Group Reflection Based on the Boud et al.'s Model","URL":"https://publish.kne-publishing.com/index.php/JMED/article/view/13668","author":[{"family":"E","given":"Fakouri"},{"family":"Poorhakak","given":""}],"accessed":{"date-parts":[["2025",12,11]]},"issued":{"date-parts":[["2023",9,24]]}}}],"schema":"https://github.com/citation-style-language/schema/raw/master/csl-citation.json"} </w:instrText>
      </w:r>
      <w:r w:rsidR="00F57C0D">
        <w:rPr>
          <w:sz w:val="24"/>
          <w:szCs w:val="24"/>
        </w:rPr>
        <w:fldChar w:fldCharType="separate"/>
      </w:r>
      <w:r w:rsidR="000C4F87">
        <w:rPr>
          <w:noProof/>
          <w:sz w:val="24"/>
          <w:szCs w:val="24"/>
        </w:rPr>
        <w:t>(E and Poorhakak, 2023)</w:t>
      </w:r>
      <w:r w:rsidR="00F57C0D">
        <w:rPr>
          <w:sz w:val="24"/>
          <w:szCs w:val="24"/>
        </w:rPr>
        <w:fldChar w:fldCharType="end"/>
      </w:r>
      <w:r w:rsidRPr="00216640">
        <w:rPr>
          <w:sz w:val="24"/>
          <w:szCs w:val="24"/>
        </w:rPr>
        <w:t>.</w:t>
      </w:r>
    </w:p>
    <w:p w14:paraId="5E8A8EF1" w14:textId="07FB44C8" w:rsidR="00216640" w:rsidRPr="00216640" w:rsidRDefault="00216640" w:rsidP="00216640">
      <w:pPr>
        <w:spacing w:line="360" w:lineRule="auto"/>
        <w:rPr>
          <w:sz w:val="24"/>
          <w:szCs w:val="24"/>
        </w:rPr>
      </w:pPr>
      <w:r w:rsidRPr="00216640">
        <w:rPr>
          <w:sz w:val="24"/>
          <w:szCs w:val="24"/>
        </w:rPr>
        <w:t>From a business perspective, France has a mixed market structure, with both state-owned and private enterprises coexisting, and it implements strict labor laws, data protection regulations, and cultural protection policies. These factors, combined with France's unique cultural values, form a business environment that requires detailed communication strategies</w:t>
      </w:r>
      <w:r w:rsidR="006A2768">
        <w:rPr>
          <w:sz w:val="24"/>
          <w:szCs w:val="24"/>
        </w:rPr>
        <w:fldChar w:fldCharType="begin"/>
      </w:r>
      <w:r w:rsidR="007552E7">
        <w:rPr>
          <w:sz w:val="24"/>
          <w:szCs w:val="24"/>
        </w:rPr>
        <w:instrText xml:space="preserve"> ADDIN ZOTERO_ITEM CSL_CITATION {"citationID":"1ajAwT8z","properties":{"formattedCitation":"(Valarezo {\\i{}et al.}, 2021)","plainCitation":"(Valarezo et al., 2021)","noteIndex":0},"citationItems":[{"id":246,"uris":["http://zotero.org/users/18628635/items/A5FAHXWU"],"itemData":{"id":246,"type":"article-journal","abstract":"To identify the trends in new flexibility markets, a set of market and aggregator platforms were selected and compared. The analyzed initiatives are relevant to consider alternative designs for European electricity markets. This review proposes a common methodology for analyzing these market models by comparing their description, market structure, market timing, and implementation. Furthermore, a range of policy implications and future research directions towards implementing these markets are presented. The results provide compelling evidence that the new market models represent a promising business with technical and economic justification, as they incentivize the uptake of flexibility from distributed resources by providing services to Distribution System Operators (DSOs) in coordination with Transmission System Operators (TSOs). Moreover, the interactions between these new market platforms and existing markets are of particular interest, and the contributions from aggregator platforms are also relevant to enhance the political vision of empowering the customers through their active participation in markets.","container-title":"Energies","DOI":"10.3390/en14123521","ISSN":"1996-1073","issue":"12","language":"en","license":"http://creativecommons.org/licenses/by/3.0/","note":"publisher: Multidisciplinary Digital Publishing Institute\nTLDR: This review proposes a common methodology for analyzing these market models by comparing their description, market structure, market timing, and implementation, and provides compelling evidence that the new market models represent a promising business with technical and economic justification.","page":"3521","source":"www.mdpi.com","title":"Analysis of New Flexibility Market Models in Europe","volume":"14","author":[{"family":"Valarezo","given":"Orlando"},{"family":"Gómez","given":"Tomás"},{"family":"Chaves-Avila","given":"José Pablo"},{"family":"Lind","given":"Leandro"},{"family":"Correa","given":"Mauricio"},{"family":"Ulrich Ziegler","given":"David"},{"family":"Escobar","given":"Rodrigo"}],"issued":{"date-parts":[["2021",1]]}}}],"schema":"https://github.com/citation-style-language/schema/raw/master/csl-citation.json"} </w:instrText>
      </w:r>
      <w:r w:rsidR="006A2768">
        <w:rPr>
          <w:sz w:val="24"/>
          <w:szCs w:val="24"/>
        </w:rPr>
        <w:fldChar w:fldCharType="separate"/>
      </w:r>
      <w:r w:rsidR="007552E7" w:rsidRPr="007552E7">
        <w:rPr>
          <w:rFonts w:eastAsiaTheme="minorEastAsia" w:cs="Calibri"/>
          <w:kern w:val="0"/>
          <w:sz w:val="24"/>
          <w:szCs w:val="24"/>
          <w14:ligatures w14:val="standardContextual"/>
        </w:rPr>
        <w:t xml:space="preserve">(Valarezo </w:t>
      </w:r>
      <w:r w:rsidR="007552E7" w:rsidRPr="007552E7">
        <w:rPr>
          <w:rFonts w:eastAsiaTheme="minorEastAsia" w:cs="Calibri"/>
          <w:i/>
          <w:iCs/>
          <w:kern w:val="0"/>
          <w:sz w:val="24"/>
          <w:szCs w:val="24"/>
          <w14:ligatures w14:val="standardContextual"/>
        </w:rPr>
        <w:t>et al.</w:t>
      </w:r>
      <w:r w:rsidR="007552E7" w:rsidRPr="007552E7">
        <w:rPr>
          <w:rFonts w:eastAsiaTheme="minorEastAsia" w:cs="Calibri"/>
          <w:kern w:val="0"/>
          <w:sz w:val="24"/>
          <w:szCs w:val="24"/>
          <w14:ligatures w14:val="standardContextual"/>
        </w:rPr>
        <w:t>, 2021)</w:t>
      </w:r>
      <w:r w:rsidR="006A2768">
        <w:rPr>
          <w:sz w:val="24"/>
          <w:szCs w:val="24"/>
        </w:rPr>
        <w:fldChar w:fldCharType="end"/>
      </w:r>
      <w:r w:rsidRPr="00216640">
        <w:rPr>
          <w:sz w:val="24"/>
          <w:szCs w:val="24"/>
        </w:rPr>
        <w:t>.</w:t>
      </w:r>
    </w:p>
    <w:p w14:paraId="049AA36C" w14:textId="54536658" w:rsidR="00216640" w:rsidRPr="00216640" w:rsidRDefault="00216640" w:rsidP="00216640">
      <w:pPr>
        <w:spacing w:line="360" w:lineRule="auto"/>
        <w:rPr>
          <w:sz w:val="24"/>
          <w:szCs w:val="24"/>
        </w:rPr>
      </w:pPr>
      <w:r w:rsidRPr="00216640">
        <w:rPr>
          <w:sz w:val="24"/>
          <w:szCs w:val="24"/>
        </w:rPr>
        <w:t>There are significant differences in cross-cultural communication theories between the United Kingdom and France. According to Hofstede's framework, France scores higher than the United Kingdom on the power distance indicator, indicating that in the business environment, France is more respectful of hierarchical structures</w:t>
      </w:r>
      <w:r w:rsidR="00F410BE">
        <w:rPr>
          <w:sz w:val="24"/>
          <w:szCs w:val="24"/>
        </w:rPr>
        <w:fldChar w:fldCharType="begin"/>
      </w:r>
      <w:r w:rsidR="00C06A48">
        <w:rPr>
          <w:sz w:val="24"/>
          <w:szCs w:val="24"/>
        </w:rPr>
        <w:instrText xml:space="preserve"> ADDIN ZOTERO_ITEM CSL_CITATION {"citationID":"cvbv4INh","properties":{"formattedCitation":"(Heydari {\\i{}et al.}, 2021)","plainCitation":"(Heydari et al., 2021)","noteIndex":0},"citationItems":[{"id":248,"uris":["http://zotero.org/users/18628635/items/HH6T9EMM"],"itemData":{"id":248,"type":"article-journal","abstract":"In spite of the important role of culture in consumer behavior, there has been no study of the effects of indulgence vs. restraint, the sixth dimension of Hofstede's cultural framework, at the individual level. This is mainly because there has been no scale to measure indulgence vs. restraint at the individual level. Given that ascribing national-level cultural scores to individuals may cause an ecological fallacy, the four studies of this research conceptualize and develop a valid and reliable measure for individual-level indulgence. In study 1 (n= 290), using PCA, the items were purified to the final six items. The result of an EFA in study 2 (n=230) suggested a unidimensional six-item structure for the scale. This structure was confirmed by a CFA in study 3 (n=257). Study 3 established the reliability, convergent, discriminant, and criterion validities of the scale. In study 4 (n=219), through developing and testing the nomological network, the nomological validity of the scale was supported by showing that the impacts of individual-level indulgence on hedonic attitudes and repurchase intentions are mediated by positive post-purchase emotions and hedonic attitudes, respectively.","container-title":"Journal of Retailing and Consumer Services","DOI":"10.1016/j.jretconser.2021.102640","ISSN":"0969-6989","journalAbbreviation":"Journal of Retailing and Consumer Services","page":"102640","source":"ScienceDirect","title":"Hofstede's individual-level indulgence dimension: Scale development and validation","title-short":"Hofstede's individual-level indulgence dimension","volume":"62","author":[{"family":"Heydari","given":"Ali"},{"family":"Laroche","given":"Michel"},{"family":"Paulin","given":"Michèle"},{"family":"Richard","given":"Marie-Odile"}],"issued":{"date-parts":[["2021",9,1]]}}}],"schema":"https://github.com/citation-style-language/schema/raw/master/csl-citation.json"} </w:instrText>
      </w:r>
      <w:r w:rsidR="00F410BE">
        <w:rPr>
          <w:sz w:val="24"/>
          <w:szCs w:val="24"/>
        </w:rPr>
        <w:fldChar w:fldCharType="separate"/>
      </w:r>
      <w:r w:rsidR="00C06A48" w:rsidRPr="00C06A48">
        <w:rPr>
          <w:rFonts w:eastAsiaTheme="minorEastAsia" w:cs="Calibri"/>
          <w:kern w:val="0"/>
          <w:sz w:val="24"/>
          <w:szCs w:val="24"/>
          <w14:ligatures w14:val="standardContextual"/>
        </w:rPr>
        <w:t xml:space="preserve">(Heydari </w:t>
      </w:r>
      <w:r w:rsidR="00C06A48" w:rsidRPr="00C06A48">
        <w:rPr>
          <w:rFonts w:eastAsiaTheme="minorEastAsia" w:cs="Calibri"/>
          <w:i/>
          <w:iCs/>
          <w:kern w:val="0"/>
          <w:sz w:val="24"/>
          <w:szCs w:val="24"/>
          <w14:ligatures w14:val="standardContextual"/>
        </w:rPr>
        <w:t>et al.</w:t>
      </w:r>
      <w:r w:rsidR="00C06A48" w:rsidRPr="00C06A48">
        <w:rPr>
          <w:rFonts w:eastAsiaTheme="minorEastAsia" w:cs="Calibri"/>
          <w:kern w:val="0"/>
          <w:sz w:val="24"/>
          <w:szCs w:val="24"/>
          <w14:ligatures w14:val="standardContextual"/>
        </w:rPr>
        <w:t>, 2021)</w:t>
      </w:r>
      <w:r w:rsidR="00F410BE">
        <w:rPr>
          <w:sz w:val="24"/>
          <w:szCs w:val="24"/>
        </w:rPr>
        <w:fldChar w:fldCharType="end"/>
      </w:r>
      <w:r w:rsidRPr="00216640">
        <w:rPr>
          <w:sz w:val="24"/>
          <w:szCs w:val="24"/>
        </w:rPr>
        <w:t>. Both countries have high scores in individualism, but France emphasizes maintaining strong loyalty to the national identity while valuing personal achievements</w:t>
      </w:r>
      <w:r w:rsidR="00C743DB">
        <w:rPr>
          <w:sz w:val="24"/>
          <w:szCs w:val="24"/>
        </w:rPr>
        <w:fldChar w:fldCharType="begin"/>
      </w:r>
      <w:r w:rsidR="00645473">
        <w:rPr>
          <w:sz w:val="24"/>
          <w:szCs w:val="24"/>
        </w:rPr>
        <w:instrText xml:space="preserve"> ADDIN ZOTERO_ITEM CSL_CITATION {"citationID":"A0zZIrvK","properties":{"formattedCitation":"(Lukes, 2024)","plainCitation":"(Lukes, 2024)","noteIndex":0},"citationItems":[{"id":250,"uris":["http://zotero.org/users/18628635/items/BF9SD9UD"],"itemData":{"id":250,"type":"book","abstract":"Individualism embraces a wide diversity of meanings and is widely used by those who criticise and by those who praise Western societies and their culture, by historians and literary scholars in search of the emergence of &amp;#39;the individual&amp;#39;, by anthropologists claiming that there are different, culturally shaped conceptions of the individual or &amp;#39;person&amp;#39;, by philosophers debating what form social science explanations should take and by political theorists defending liberal principles.In this classic text, Steven Lukes discusses what &amp;#39;individualism&amp;#39; has meant in various national traditions and across different provinces of thought, analysing it into its component unit-ideas and doctrines. He further argues that it now plays a malign ideological role, for it has come to evoke a socially-constructed body of ideas whose illusory unity is deployed to suggest that redistributive policies are neither feasible nor desirable and to deny that there are institutional alternatives to the market.","ISBN":"978-1-910259-80-1","language":"en","note":"Google-Books-ID: RTsoEQAAQBAJ","number-of-pages":"148","publisher":"ECPR Press","source":"Google Books","title":"Individualism","author":[{"family":"Lukes","given":"Steven"}],"issued":{"date-parts":[["2024",10,31]]}}}],"schema":"https://github.com/citation-style-language/schema/raw/master/csl-citation.json"} </w:instrText>
      </w:r>
      <w:r w:rsidR="00C743DB">
        <w:rPr>
          <w:sz w:val="24"/>
          <w:szCs w:val="24"/>
        </w:rPr>
        <w:fldChar w:fldCharType="separate"/>
      </w:r>
      <w:r w:rsidR="00645473">
        <w:rPr>
          <w:noProof/>
          <w:sz w:val="24"/>
          <w:szCs w:val="24"/>
        </w:rPr>
        <w:t>(Lukes, 2024)</w:t>
      </w:r>
      <w:r w:rsidR="00C743DB">
        <w:rPr>
          <w:sz w:val="24"/>
          <w:szCs w:val="24"/>
        </w:rPr>
        <w:fldChar w:fldCharType="end"/>
      </w:r>
      <w:r w:rsidRPr="00216640">
        <w:rPr>
          <w:sz w:val="24"/>
          <w:szCs w:val="24"/>
        </w:rPr>
        <w:t>. The United Kingdom, on the other hand, tends towards a pragmatism-based individualism. From Hall's High-Low Context Theory, although both cultures are classified as low-context cultures, France exhibits moderate high-context characteristics, such as emphasizing subtleties. This is different from the more direct and task-oriented low-context style of the United Kingdom</w:t>
      </w:r>
      <w:r w:rsidR="00604423">
        <w:rPr>
          <w:sz w:val="24"/>
          <w:szCs w:val="24"/>
        </w:rPr>
        <w:fldChar w:fldCharType="begin"/>
      </w:r>
      <w:r w:rsidR="00F8082C">
        <w:rPr>
          <w:sz w:val="24"/>
          <w:szCs w:val="24"/>
        </w:rPr>
        <w:instrText xml:space="preserve"> ADDIN ZOTERO_ITEM CSL_CITATION {"citationID":"qDwZQwg4","properties":{"formattedCitation":"(Broeder, 2021)","plainCitation":"(Broeder, 2021)","noteIndex":0},"citationItems":[{"id":252,"uris":["http://zotero.org/users/18628635/items/H2RPNRR6"],"itemData":{"id":252,"type":"article-journal","abstract":"In a variety of cross-cultural studies, comparisons are attached to Hall's (1976) notion of contexting. A commonly accepted distinction is made between high-context and low-context cultures. The purpose of this study was to determine whether this characterisation affects some facets of culture-specific communication styles, that is, preferences in the use of context and information for constructing meaning in communication. Specifically, data were collected from 774 subjects so that a comparison could be made. Representing three ethnically identified cultural groups-Dutch, Greek, and Japanese-the subjects completed an online survey where they reflected on the way in which they think they communicate. The results reveal some clear differences between the cultural groups in their reported communication style. The Dutch used relatively more non-verbal communication; the Greeks used more hand gestures, and the Japanese were more indirect in their communication. A cultural divergence emerged, in that, the Greeks living in the Netherlands reported higher levels of non-verbal communication, were more indirect, and used more metaphors than did the Greeks living in Greece.","container-title":"Journal of Education, Innovation and Communication","DOI":"10.3316/informit.T2024112300002991733147340","issue":"1","note":"publisher: Open Access Publishing Association (OAPA)","page":"13-24","source":"search.informit.org (Atypon)","title":"Informed communication in high context and low context cultures","volume":"3","author":[{"family":"Broeder","given":"Peter"}],"issued":{"date-parts":[["2021",6]]}}}],"schema":"https://github.com/citation-style-language/schema/raw/master/csl-citation.json"} </w:instrText>
      </w:r>
      <w:r w:rsidR="00604423">
        <w:rPr>
          <w:sz w:val="24"/>
          <w:szCs w:val="24"/>
        </w:rPr>
        <w:fldChar w:fldCharType="separate"/>
      </w:r>
      <w:r w:rsidR="00F8082C">
        <w:rPr>
          <w:noProof/>
          <w:sz w:val="24"/>
          <w:szCs w:val="24"/>
        </w:rPr>
        <w:t>(Broeder, 2021)</w:t>
      </w:r>
      <w:r w:rsidR="00604423">
        <w:rPr>
          <w:sz w:val="24"/>
          <w:szCs w:val="24"/>
        </w:rPr>
        <w:fldChar w:fldCharType="end"/>
      </w:r>
      <w:r w:rsidRPr="00216640">
        <w:rPr>
          <w:sz w:val="24"/>
          <w:szCs w:val="24"/>
        </w:rPr>
        <w:t>. These theoretical frameworks provide different perspectives for me to understand the communication conflicts between the United Kingdom and France.</w:t>
      </w:r>
    </w:p>
    <w:p w14:paraId="6309DD90" w14:textId="3B7C20FB" w:rsidR="006134AD" w:rsidRPr="00FE13BD" w:rsidRDefault="00216640" w:rsidP="00216640">
      <w:pPr>
        <w:spacing w:line="360" w:lineRule="auto"/>
        <w:rPr>
          <w:rFonts w:hint="eastAsia"/>
          <w:sz w:val="24"/>
          <w:szCs w:val="24"/>
        </w:rPr>
      </w:pPr>
      <w:r w:rsidRPr="00216640">
        <w:rPr>
          <w:sz w:val="24"/>
          <w:szCs w:val="24"/>
        </w:rPr>
        <w:t xml:space="preserve">This article follows Boud's Reflective Triangle Theory, focusing on elaborating on communication conflicts, analyzing the reasons, and evaluating solutions, aiming to </w:t>
      </w:r>
      <w:r w:rsidRPr="00216640">
        <w:rPr>
          <w:sz w:val="24"/>
          <w:szCs w:val="24"/>
        </w:rPr>
        <w:lastRenderedPageBreak/>
        <w:t>illustrate how cultural awareness and adaptive communication can transform conflicts into cross-cultural partnerships, and proposing suggestions to bridge the cultural differences between British and French enterprises.</w:t>
      </w:r>
    </w:p>
    <w:p w14:paraId="169A4C42" w14:textId="77777777" w:rsidR="00CE14B9" w:rsidRDefault="00CE14B9" w:rsidP="006134AD">
      <w:pPr>
        <w:spacing w:line="360" w:lineRule="auto"/>
        <w:rPr>
          <w:b/>
          <w:bCs/>
          <w:sz w:val="28"/>
          <w:szCs w:val="28"/>
        </w:rPr>
      </w:pPr>
    </w:p>
    <w:p w14:paraId="0E808AC0" w14:textId="6BD2F1FC" w:rsidR="006134AD" w:rsidRPr="00064E4A" w:rsidRDefault="006134AD" w:rsidP="006134AD">
      <w:pPr>
        <w:spacing w:line="360" w:lineRule="auto"/>
        <w:rPr>
          <w:rFonts w:hint="eastAsia"/>
          <w:b/>
          <w:bCs/>
          <w:sz w:val="28"/>
          <w:szCs w:val="28"/>
        </w:rPr>
      </w:pPr>
      <w:r w:rsidRPr="00064E4A">
        <w:rPr>
          <w:rFonts w:hint="eastAsia"/>
          <w:b/>
          <w:bCs/>
          <w:sz w:val="28"/>
          <w:szCs w:val="28"/>
        </w:rPr>
        <w:t xml:space="preserve">2.0 </w:t>
      </w:r>
      <w:r w:rsidR="00064E4A" w:rsidRPr="00064E4A">
        <w:rPr>
          <w:b/>
          <w:bCs/>
          <w:sz w:val="28"/>
          <w:szCs w:val="28"/>
        </w:rPr>
        <w:t>Analysis of International Business Communication Scenarios</w:t>
      </w:r>
    </w:p>
    <w:p w14:paraId="38CBCDE4" w14:textId="1EB39475" w:rsidR="006134AD" w:rsidRDefault="00C05E15" w:rsidP="006134AD">
      <w:pPr>
        <w:spacing w:line="360" w:lineRule="auto"/>
        <w:rPr>
          <w:sz w:val="24"/>
          <w:szCs w:val="24"/>
        </w:rPr>
      </w:pPr>
      <w:r w:rsidRPr="00C05E15">
        <w:rPr>
          <w:sz w:val="24"/>
          <w:szCs w:val="24"/>
        </w:rPr>
        <w:t>From the perspective of the contract discussion scenario, the British team, due to their preference for a task-oriented, low-context communication style, often hope to finalize the terms within a short period of time. However, the French team tends to discuss the company's long-term vision. The British view these discussions as causing unnecessary delays, while the French side believes that the British side lacks strategic vision. From a theoretical standpoint, this difference stems from cultural value conflicts</w:t>
      </w:r>
      <w:r w:rsidR="00FC1318">
        <w:rPr>
          <w:sz w:val="24"/>
          <w:szCs w:val="24"/>
        </w:rPr>
        <w:fldChar w:fldCharType="begin"/>
      </w:r>
      <w:r w:rsidR="00030B8F">
        <w:rPr>
          <w:sz w:val="24"/>
          <w:szCs w:val="24"/>
        </w:rPr>
        <w:instrText xml:space="preserve"> ADDIN ZOTERO_ITEM CSL_CITATION {"citationID":"LtGzGyEY","properties":{"formattedCitation":"(Trueba, Jacobs and Kirton, 2022)","plainCitation":"(Trueba, Jacobs and Kirton, 2022)","noteIndex":0},"citationItems":[{"id":253,"uris":["http://zotero.org/users/18628635/items/GBW4KKXQ"],"itemData":{"id":253,"type":"book","abstract":"Cultural Conflict and Adaptation (1990) examines the alienation and cultural conflicts faced at school by the children of a small group of Hmong who have settled in La Playa, California. The educational process for these children is an example of cultural conflict and adjustment patterns which may be found in many other populations in the world.","event-place":"London","ISBN":"978-1-003-33136-0","note":"DOI: 10.4324/9781003331360","number-of-pages":"188","publisher":"Routledge","publisher-place":"London","title":"Cultural Conflict and Adaptation: The Case of Hmong Children in American Society","title-short":"Cultural Conflict and Adaptation","author":[{"family":"Trueba","given":"Henry T."},{"family":"Jacobs","given":"Lila"},{"family":"Kirton","given":"Elizabeth"}],"issued":{"date-parts":[["2022",11,16]]}}}],"schema":"https://github.com/citation-style-language/schema/raw/master/csl-citation.json"} </w:instrText>
      </w:r>
      <w:r w:rsidR="00FC1318">
        <w:rPr>
          <w:sz w:val="24"/>
          <w:szCs w:val="24"/>
        </w:rPr>
        <w:fldChar w:fldCharType="separate"/>
      </w:r>
      <w:r w:rsidR="00030B8F">
        <w:rPr>
          <w:noProof/>
          <w:sz w:val="24"/>
          <w:szCs w:val="24"/>
        </w:rPr>
        <w:t>(Trueba, Jacobs and Kirton, 2022)</w:t>
      </w:r>
      <w:r w:rsidR="00FC1318">
        <w:rPr>
          <w:sz w:val="24"/>
          <w:szCs w:val="24"/>
        </w:rPr>
        <w:fldChar w:fldCharType="end"/>
      </w:r>
      <w:r w:rsidRPr="00C05E15">
        <w:rPr>
          <w:sz w:val="24"/>
          <w:szCs w:val="24"/>
        </w:rPr>
        <w:t>. According to Hofstede's dimensions theory, France has a higher power distance, which means that French negotiation representatives often need to coordinate the discussion with their organizational hierarchy and need to consult their superiors before agreeing to the terms. The British team is accustomed to a flat decision-making structure</w:t>
      </w:r>
      <w:r w:rsidR="005D2D57">
        <w:rPr>
          <w:sz w:val="24"/>
          <w:szCs w:val="24"/>
        </w:rPr>
        <w:fldChar w:fldCharType="begin"/>
      </w:r>
      <w:r w:rsidR="005D2D57">
        <w:rPr>
          <w:sz w:val="24"/>
          <w:szCs w:val="24"/>
        </w:rPr>
        <w:instrText xml:space="preserve"> ADDIN ZOTERO_ITEM CSL_CITATION {"citationID":"zw53ZLgT","properties":{"formattedCitation":"(\\uc0\\u8216{}Hofstede\\uc0\\u8217{}s Cultural Dimensions Theory\\uc0\\u8217{}, 2022)","plainCitation":"(‘Hofstede’s Cultural Dimensions Theory’, 2022)","noteIndex":0},"citationItems":[{"id":254,"uris":["http://zotero.org/users/18628635/items/6HJPT4CT"],"itemData":{"id":254,"type":"post-weblog","abstract":"Hofstede's cultural values or dimensions provide a framework through which sociologists can describe the effects of culture on the values of its members and how these values relate to the behavior of people who live within a culture.","language":"en-US","note":"section: Social Psychology","title":"Hofstede’s Cultural Dimensions Theory","URL":"https://www.simplypsychology.org/hofstedes-cultural-dimensions-theory.html","accessed":{"date-parts":[["2025",12,11]]},"issued":{"date-parts":[["2022",11,3]]}}}],"schema":"https://github.com/citation-style-language/schema/raw/master/csl-citation.json"} </w:instrText>
      </w:r>
      <w:r w:rsidR="005D2D57">
        <w:rPr>
          <w:sz w:val="24"/>
          <w:szCs w:val="24"/>
        </w:rPr>
        <w:fldChar w:fldCharType="separate"/>
      </w:r>
      <w:r w:rsidR="005D2D57" w:rsidRPr="005D2D57">
        <w:rPr>
          <w:rFonts w:eastAsiaTheme="minorEastAsia" w:cs="Calibri"/>
          <w:kern w:val="0"/>
          <w:sz w:val="24"/>
          <w:szCs w:val="24"/>
          <w14:ligatures w14:val="standardContextual"/>
        </w:rPr>
        <w:t>(‘Hofstede’s Cultural Dimensions Theory’, 2022)</w:t>
      </w:r>
      <w:r w:rsidR="005D2D57">
        <w:rPr>
          <w:sz w:val="24"/>
          <w:szCs w:val="24"/>
        </w:rPr>
        <w:fldChar w:fldCharType="end"/>
      </w:r>
      <w:r w:rsidRPr="00C05E15">
        <w:rPr>
          <w:sz w:val="24"/>
          <w:szCs w:val="24"/>
        </w:rPr>
        <w:t>. From the perspective of Tr</w:t>
      </w:r>
      <w:r w:rsidR="00E70934">
        <w:rPr>
          <w:rFonts w:hint="eastAsia"/>
          <w:sz w:val="24"/>
          <w:szCs w:val="24"/>
        </w:rPr>
        <w:t>om</w:t>
      </w:r>
      <w:r w:rsidRPr="00C05E15">
        <w:rPr>
          <w:sz w:val="24"/>
          <w:szCs w:val="24"/>
        </w:rPr>
        <w:t>pen</w:t>
      </w:r>
      <w:r w:rsidR="002F46D4">
        <w:rPr>
          <w:sz w:val="24"/>
          <w:szCs w:val="24"/>
        </w:rPr>
        <w:t>a</w:t>
      </w:r>
      <w:r w:rsidRPr="00C05E15">
        <w:rPr>
          <w:sz w:val="24"/>
          <w:szCs w:val="24"/>
        </w:rPr>
        <w:t>a</w:t>
      </w:r>
      <w:r w:rsidR="002F46D4">
        <w:rPr>
          <w:sz w:val="24"/>
          <w:szCs w:val="24"/>
        </w:rPr>
        <w:t>r</w:t>
      </w:r>
      <w:r w:rsidRPr="00C05E15">
        <w:rPr>
          <w:sz w:val="24"/>
          <w:szCs w:val="24"/>
        </w:rPr>
        <w:t>s' universalism and particularism dimensions, the British tend to be universalistic, prioritizing standardized contracts and rules, while the French are slightly inclined towards particularism, emphasizing situational relationships and flexibility when applying rules</w:t>
      </w:r>
      <w:r w:rsidR="008143CA">
        <w:rPr>
          <w:sz w:val="24"/>
          <w:szCs w:val="24"/>
        </w:rPr>
        <w:fldChar w:fldCharType="begin"/>
      </w:r>
      <w:r w:rsidR="008143CA">
        <w:rPr>
          <w:sz w:val="24"/>
          <w:szCs w:val="24"/>
        </w:rPr>
        <w:instrText xml:space="preserve"> ADDIN ZOTERO_ITEM CSL_CITATION {"citationID":"PxirZkS0","properties":{"formattedCitation":"(de Blasio, Scalise and Sestito, 2021)","plainCitation":"(de Blasio, Scalise and Sestito, 2021)","noteIndex":0},"citationItems":[{"id":256,"uris":["http://zotero.org/users/18628635/items/EVHITAZI"],"itemData":{"id":256,"type":"article-journal","abstract":"Social scientists, in particular sociologists, claim that the distinction between universalistic and particularistic values is relevant to explaining the social behaviour of individuals (and societies). This paper provides preliminary empirical evidence that supports the claim. It first defines a number of proxies for the degree of particularism embedded into long-celebrated dimensions of social behaviour (trust, political awareness, and associational activities). Then, it shows that the particularistic measures are positively correlated to each other and negatively correlated to some established generalist measures for all dimensions of social behaviour considered, both across and within countries and regions. Moreover, the paper relates that the various proxies for particularism share the same set of covariates (such as low education and income), which are neatly distinguishable from the determinants of the generalist measures.","container-title":"Review of Social Economy","DOI":"10.1080/00346764.2019.1663908","ISSN":"0034-6764","issue":"2","note":"publisher: Routledge\n_eprint: https://doi.org/10.1080/00346764.2019.1663908","page":"286-309","source":"Taylor and Francis+NEJM","title":"Universalism vs. particularism: a round trip from sociology to economics","title-short":"Universalism vs. particularism","volume":"79","author":[{"family":"Blasio","given":"Guido","non-dropping-particle":"de"},{"family":"Scalise","given":"Diego"},{"family":"Sestito","given":"Paolo"}],"issued":{"date-parts":[["2021",4,3]]}}}],"schema":"https://github.com/citation-style-language/schema/raw/master/csl-citation.json"} </w:instrText>
      </w:r>
      <w:r w:rsidR="008143CA">
        <w:rPr>
          <w:sz w:val="24"/>
          <w:szCs w:val="24"/>
        </w:rPr>
        <w:fldChar w:fldCharType="separate"/>
      </w:r>
      <w:r w:rsidR="008143CA">
        <w:rPr>
          <w:noProof/>
          <w:sz w:val="24"/>
          <w:szCs w:val="24"/>
        </w:rPr>
        <w:t>(de Blasio, Scalise and Sestito, 2021)</w:t>
      </w:r>
      <w:r w:rsidR="008143CA">
        <w:rPr>
          <w:sz w:val="24"/>
          <w:szCs w:val="24"/>
        </w:rPr>
        <w:fldChar w:fldCharType="end"/>
      </w:r>
      <w:r w:rsidRPr="00C05E15">
        <w:rPr>
          <w:sz w:val="24"/>
          <w:szCs w:val="24"/>
        </w:rPr>
        <w:t>. Although Hall's theory suggests that both France and the UK belong to low-context cultures, certain moderate high-context features of France still emerge, such as their emphasis on non-verbal cues. They may think that the British's strict attention to contracts is a sign of lack of trust, while the British do not realize that the French need to establish emotional connections before formally reaching an agreement</w:t>
      </w:r>
      <w:r w:rsidR="00264105">
        <w:rPr>
          <w:sz w:val="24"/>
          <w:szCs w:val="24"/>
        </w:rPr>
        <w:fldChar w:fldCharType="begin"/>
      </w:r>
      <w:r w:rsidR="00264105">
        <w:rPr>
          <w:sz w:val="24"/>
          <w:szCs w:val="24"/>
        </w:rPr>
        <w:instrText xml:space="preserve"> ADDIN ZOTERO_ITEM CSL_CITATION {"citationID":"AzbG3OKy","properties":{"formattedCitation":"(Xie {\\i{}et al.}, 2022)","plainCitation":"(Xie et al., 2022)","noteIndex":0},"citationItems":[{"id":258,"uris":["http://zotero.org/users/18628635/items/SLH8KD88"],"itemData":{"id":258,"type":"article-journal","abstract":"British scholar Stuart Hall is the father of contemporary cultural studies, as well as one of the media and cultural theorists and critics. His famous theory of “encoding and decoding” (1973) plays a significant role in film and television studies. This research reviewed related literature about this theory and combined it into the study of film communication to analyze. According to the summary, this research found that Hall’s “encoding and decoding” theory can be utilized in the studies of film communication, including the studies of the type of adapted films. It helps to comprehend that film as a sort of meaningful discourse, its richness became one of the reasons that form the complexity of both the communication process and audience reception. Importantly, in terms of such application, the theory can help to understand the specific dissemination process and various interpretations of different audiences’ decoding positions in this process. The purpose of this research is to make people better comprehend the film communication process that involves related objects, offering an angle for scholars and practitioners to explore the reception of film audiences based on Hall’s theory.","container-title":"Multicultural Education","DOI":"10.5281/zenodo.5894796","journalAbbreviation":"Multicultural Education","page":"190-198","source":"ResearchGate","title":"An Overview of Stuart Hall's Encoding and Decoding Theory with Film Communication","volume":"1","author":[{"family":"Xie","given":"Yuting"},{"family":"Yasin","given":"Megat Al Imran"},{"family":"Alsagoff","given":"Syed Agil"},{"family":"Ang","given":"Lay Hoon"}],"issued":{"date-parts":[["2022",1,24]]}}}],"schema":"https://github.com/citation-style-language/schema/raw/master/csl-citation.json"} </w:instrText>
      </w:r>
      <w:r w:rsidR="00264105">
        <w:rPr>
          <w:sz w:val="24"/>
          <w:szCs w:val="24"/>
        </w:rPr>
        <w:fldChar w:fldCharType="separate"/>
      </w:r>
      <w:r w:rsidR="00264105" w:rsidRPr="00264105">
        <w:rPr>
          <w:rFonts w:eastAsiaTheme="minorEastAsia" w:cs="Calibri"/>
          <w:kern w:val="0"/>
          <w:sz w:val="24"/>
          <w:szCs w:val="24"/>
          <w14:ligatures w14:val="standardContextual"/>
        </w:rPr>
        <w:t xml:space="preserve">(Xie </w:t>
      </w:r>
      <w:r w:rsidR="00264105" w:rsidRPr="00264105">
        <w:rPr>
          <w:rFonts w:eastAsiaTheme="minorEastAsia" w:cs="Calibri"/>
          <w:i/>
          <w:iCs/>
          <w:kern w:val="0"/>
          <w:sz w:val="24"/>
          <w:szCs w:val="24"/>
          <w14:ligatures w14:val="standardContextual"/>
        </w:rPr>
        <w:t>et al.</w:t>
      </w:r>
      <w:r w:rsidR="00264105" w:rsidRPr="00264105">
        <w:rPr>
          <w:rFonts w:eastAsiaTheme="minorEastAsia" w:cs="Calibri"/>
          <w:kern w:val="0"/>
          <w:sz w:val="24"/>
          <w:szCs w:val="24"/>
          <w14:ligatures w14:val="standardContextual"/>
        </w:rPr>
        <w:t>, 2022)</w:t>
      </w:r>
      <w:r w:rsidR="00264105">
        <w:rPr>
          <w:sz w:val="24"/>
          <w:szCs w:val="24"/>
        </w:rPr>
        <w:fldChar w:fldCharType="end"/>
      </w:r>
      <w:r w:rsidRPr="00C05E15">
        <w:rPr>
          <w:sz w:val="24"/>
          <w:szCs w:val="24"/>
        </w:rPr>
        <w:t>.</w:t>
      </w:r>
    </w:p>
    <w:p w14:paraId="64ED66A6" w14:textId="2B1DBDA9" w:rsidR="00051238" w:rsidRDefault="00C36CA3" w:rsidP="006134AD">
      <w:pPr>
        <w:spacing w:line="360" w:lineRule="auto"/>
        <w:rPr>
          <w:rFonts w:hint="eastAsia"/>
          <w:sz w:val="24"/>
          <w:szCs w:val="24"/>
        </w:rPr>
      </w:pPr>
      <w:r w:rsidRPr="00C36CA3">
        <w:rPr>
          <w:sz w:val="24"/>
          <w:szCs w:val="24"/>
        </w:rPr>
        <w:t xml:space="preserve">From the perspective of team collaboration scenarios, the British team tends to clearly define action items and </w:t>
      </w:r>
      <w:proofErr w:type="gramStart"/>
      <w:r w:rsidRPr="00C36CA3">
        <w:rPr>
          <w:sz w:val="24"/>
          <w:szCs w:val="24"/>
        </w:rPr>
        <w:t>deadlines, and</w:t>
      </w:r>
      <w:proofErr w:type="gramEnd"/>
      <w:r w:rsidRPr="00C36CA3">
        <w:rPr>
          <w:sz w:val="24"/>
          <w:szCs w:val="24"/>
        </w:rPr>
        <w:t xml:space="preserve"> usually shares progress via email. In contrast, the French team prefers face-to-face meetings, conducts detailed discussions on ideas, </w:t>
      </w:r>
      <w:r w:rsidRPr="00C36CA3">
        <w:rPr>
          <w:sz w:val="24"/>
          <w:szCs w:val="24"/>
        </w:rPr>
        <w:lastRenderedPageBreak/>
        <w:t>and often extends the scheduled time to discuss creative concepts. This conflict is related to Hofstede's uncertainty avoidance dimension. The French tend to conduct exhaustive discussions to minimize risks, while the British focus on adaptability to flexible decisions</w:t>
      </w:r>
      <w:r w:rsidR="00540CDE">
        <w:rPr>
          <w:sz w:val="24"/>
          <w:szCs w:val="24"/>
        </w:rPr>
        <w:fldChar w:fldCharType="begin"/>
      </w:r>
      <w:r w:rsidR="00540CDE">
        <w:rPr>
          <w:sz w:val="24"/>
          <w:szCs w:val="24"/>
        </w:rPr>
        <w:instrText xml:space="preserve"> ADDIN ZOTERO_ITEM CSL_CITATION {"citationID":"8QLtMKQi","properties":{"formattedCitation":"(Yi, 2025)","plainCitation":"(Yi, 2025)","noteIndex":0},"citationItems":[{"id":260,"uris":["http://zotero.org/users/18628635/items/UMSVRVPX"],"itemData":{"id":260,"type":"article-journal","container-title":"Journal of Intercultural Communication","DOI":"10.36923/jicc.v21i1.5","ISSN":"1404-1634","issue":"1","journalAbbreviation":"J. inc. comm","language":"en","page":"46 - 61","source":"COinS","title":"Revisiting Hofstede’s Uncertainty-Avoidance Dimension: A Cross-Cultural Comparison of Organizational Employees in Four Countries","title-short":"Revisiting Hofstede’s Uncertainty-Avoidance Dimension","volume":"21","author":[{"family":"Yi","given":"Jung-Soo"}],"issued":{"date-parts":[["2025",7,11]]}}}],"schema":"https://github.com/citation-style-language/schema/raw/master/csl-citation.json"} </w:instrText>
      </w:r>
      <w:r w:rsidR="00540CDE">
        <w:rPr>
          <w:sz w:val="24"/>
          <w:szCs w:val="24"/>
        </w:rPr>
        <w:fldChar w:fldCharType="separate"/>
      </w:r>
      <w:r w:rsidR="00540CDE">
        <w:rPr>
          <w:noProof/>
          <w:sz w:val="24"/>
          <w:szCs w:val="24"/>
        </w:rPr>
        <w:t>(Yi, 2025)</w:t>
      </w:r>
      <w:r w:rsidR="00540CDE">
        <w:rPr>
          <w:sz w:val="24"/>
          <w:szCs w:val="24"/>
        </w:rPr>
        <w:fldChar w:fldCharType="end"/>
      </w:r>
      <w:r w:rsidRPr="00C36CA3">
        <w:rPr>
          <w:sz w:val="24"/>
          <w:szCs w:val="24"/>
        </w:rPr>
        <w:t xml:space="preserve">. The analytical and synthetic thinking dimensions of </w:t>
      </w:r>
      <w:r w:rsidR="002F46D4" w:rsidRPr="00C05E15">
        <w:rPr>
          <w:sz w:val="24"/>
          <w:szCs w:val="24"/>
        </w:rPr>
        <w:t>Tr</w:t>
      </w:r>
      <w:r w:rsidR="002F46D4">
        <w:rPr>
          <w:rFonts w:hint="eastAsia"/>
          <w:sz w:val="24"/>
          <w:szCs w:val="24"/>
        </w:rPr>
        <w:t>om</w:t>
      </w:r>
      <w:r w:rsidR="002F46D4" w:rsidRPr="00C05E15">
        <w:rPr>
          <w:sz w:val="24"/>
          <w:szCs w:val="24"/>
        </w:rPr>
        <w:t>pen</w:t>
      </w:r>
      <w:r w:rsidR="002F46D4">
        <w:rPr>
          <w:sz w:val="24"/>
          <w:szCs w:val="24"/>
        </w:rPr>
        <w:t>a</w:t>
      </w:r>
      <w:r w:rsidR="002F46D4" w:rsidRPr="00C05E15">
        <w:rPr>
          <w:sz w:val="24"/>
          <w:szCs w:val="24"/>
        </w:rPr>
        <w:t>a</w:t>
      </w:r>
      <w:r w:rsidR="002F46D4">
        <w:rPr>
          <w:sz w:val="24"/>
          <w:szCs w:val="24"/>
        </w:rPr>
        <w:t>r</w:t>
      </w:r>
      <w:r w:rsidR="002F46D4" w:rsidRPr="00C05E15">
        <w:rPr>
          <w:sz w:val="24"/>
          <w:szCs w:val="24"/>
        </w:rPr>
        <w:t>s</w:t>
      </w:r>
      <w:r w:rsidRPr="00C36CA3">
        <w:rPr>
          <w:sz w:val="24"/>
          <w:szCs w:val="24"/>
        </w:rPr>
        <w:t xml:space="preserve"> also apply to analyzing the two. The analytical approach of the British focuses on breaking tasks into manageable steps, while the synthetic thinking of the French emphasizes the whole</w:t>
      </w:r>
      <w:r w:rsidR="00944657">
        <w:rPr>
          <w:sz w:val="24"/>
          <w:szCs w:val="24"/>
        </w:rPr>
        <w:fldChar w:fldCharType="begin"/>
      </w:r>
      <w:r w:rsidR="00A11FE0">
        <w:rPr>
          <w:sz w:val="24"/>
          <w:szCs w:val="24"/>
        </w:rPr>
        <w:instrText xml:space="preserve"> ADDIN ZOTERO_ITEM CSL_CITATION {"citationID":"Nx2veKg9","properties":{"formattedCitation":"(Waleed Rasheed, Salim Dawood and Mohammad Ayash, 2022)","plainCitation":"(Waleed Rasheed, Salim Dawood and Mohammad Ayash, 2022)","noteIndex":0},"citationItems":[{"id":262,"uris":["http://zotero.org/users/18628635/items/GZ9G4C38"],"itemData":{"id":262,"type":"article-journal","abstract":"This research aims to identify: 1-Favorite learning Styles according to (Felder&amp;Soloman) Model in this research sample 2- Expose statistically significant differences of Favorite learning style according to (Felder&amp;Soloman) Model due to gender variable (males and females and students if chemistry departments in colleges of (education, Science) 3-Synthetic Thinking in this research sample 4-Expose statistically significant differences in this research sample in synthetic thinking according to gender variable (males and females and students if chemistry departments in colleges of (education ,Science ) 5-Expose statistically significant differences in this research sample in collaboration relation according among learning Styles to in synthetic thinking and in (Felder&amp;Soloman) model according to gender variable (males and females and students of chemistry departments in colleges of (education, Science) 6-Expose the difference in relation among learning styles in synthetic thinking and in (Felder&amp;Soloman) model according to (gender and college) variables. This research sample numbered 275 MA students in the colleges of education and department of chemistry in all colleges of sciences were intentionally chosen numbered 86 males from colleges of education and sciences and 189 females from colleges of education and sciences .The researcher has made a measure for styles of learning according to (Felder&amp;Soloman) model consisted of 36 items distributed on five dipole styles and test of synthetic thinking consists of 12 essay questions distributed in 6 skills .The psychometric characteristics were affirmed by face validity ,validity by internal consistency. The SPSS program was used The research results show: 1-The research sample subjects used (serial, optical, sensual, meditation, active, intuitional, spelling, and finally total style).as the styles (optical, sensual, serial) comes at first degree and the other (intuitional, spelling and title) were not indication and came in hypothetical. 2-Not all the styles are influenced by gender and college variables and interaction between college variables for chemistry departments. 3-Weak synthetic thinking in MA students in colleges of education and colleges of science for chemistry departments. 4-Synthetical thinking is influenced by gender variables in favor of males because their average 5,1628 is bigger than females average 3.1746. Also synthetic thinking is not influenced by college variables and the interaction between gender and college. 5-There is positive extreme indication relation between styles of learning according to Felder&amp;Soloman model on synthetic thinking in institutional and (optical) indicated for males’ favor, (meditation) for education, serial in favor of sciences.","container-title":"JETT","ISSN":"1989-9572","issue":"5","language":"eng","note":"publisher: Facultad de Ciencias de la Educación\nsection: JETT","page":"162-169","source":"dialnet.unirioja.es","title":"Styles of learning according to Felder&amp;Soloman model and its relation with synthetic thinking of higher education students in the departments of chemistry","volume":"13","author":[{"family":"Waleed Rasheed","given":"Sarah"},{"family":"Salim Dawood","given":"Damyaa"},{"family":"Mohammad Ayash","given":"Laith"}],"issued":{"date-parts":[["2022"]]}}}],"schema":"https://github.com/citation-style-language/schema/raw/master/csl-citation.json"} </w:instrText>
      </w:r>
      <w:r w:rsidR="00944657">
        <w:rPr>
          <w:sz w:val="24"/>
          <w:szCs w:val="24"/>
        </w:rPr>
        <w:fldChar w:fldCharType="separate"/>
      </w:r>
      <w:r w:rsidR="00A11FE0">
        <w:rPr>
          <w:noProof/>
          <w:sz w:val="24"/>
          <w:szCs w:val="24"/>
        </w:rPr>
        <w:t>(Waleed Rasheed, Salim Dawood and Mohammad Ayash, 2022)</w:t>
      </w:r>
      <w:r w:rsidR="00944657">
        <w:rPr>
          <w:sz w:val="24"/>
          <w:szCs w:val="24"/>
        </w:rPr>
        <w:fldChar w:fldCharType="end"/>
      </w:r>
      <w:r w:rsidRPr="00C36CA3">
        <w:rPr>
          <w:sz w:val="24"/>
          <w:szCs w:val="24"/>
        </w:rPr>
        <w:t>. The differences in communication methods have a significant impact on the collaboration of the two teams.</w:t>
      </w:r>
    </w:p>
    <w:p w14:paraId="4D00BAE0" w14:textId="2E877FB4" w:rsidR="00AA3A2C" w:rsidRDefault="0047160C" w:rsidP="006134AD">
      <w:pPr>
        <w:spacing w:line="360" w:lineRule="auto"/>
        <w:rPr>
          <w:sz w:val="24"/>
          <w:szCs w:val="24"/>
        </w:rPr>
      </w:pPr>
      <w:r w:rsidRPr="0047160C">
        <w:rPr>
          <w:sz w:val="24"/>
          <w:szCs w:val="24"/>
        </w:rPr>
        <w:t>From the perspective of marketing scenarios, British brands tend to carry out marketing activities through simple and clear promotional strategies, which have been successful in the practical-oriented market of the UK. However, the same marketing strategies cannot be applied in the French market. French consumers prefer marketing activities that emphasize tradition, craftsmanship, and aesthetic refinement</w:t>
      </w:r>
      <w:r w:rsidR="001A66F2">
        <w:rPr>
          <w:sz w:val="24"/>
          <w:szCs w:val="24"/>
        </w:rPr>
        <w:fldChar w:fldCharType="begin"/>
      </w:r>
      <w:r w:rsidR="001A66F2">
        <w:rPr>
          <w:sz w:val="24"/>
          <w:szCs w:val="24"/>
        </w:rPr>
        <w:instrText xml:space="preserve"> ADDIN ZOTERO_ITEM CSL_CITATION {"citationID":"SCW0vFpV","properties":{"formattedCitation":"(Barnes and Higgins, 2022)","plainCitation":"(Barnes and Higgins, 2022)","noteIndex":0},"citationItems":[{"id":268,"uris":["http://zotero.org/users/18628635/items/6U379LDN"],"itemData":{"id":268,"type":"chapter","abstract":"This article examines the branding and marketing strategies of New Zealand Producers Boards which were established in the early 1920s to coordinate the export of butter and lamb to Britain. The brand ‘New Zealand’ featured prominently in the promotion of lamb exports to Britain, whereas much more emphasis was placed on the ‘Anchor’ brand for butter. Because the ‘Mother Country’ was by far the biggest single export market for New Zealand butter and lamb, the branding and marketing activities of the Boards emphasised the strong cultural affinity that existed between Britain and New Zealand. Drawing on the relevant branding and marketing literature, the Boards’ annual reports, and reports by the Ministry of Agriculture and Fisheries, we show that ‘New Zealand’ and ‘Anchor’ conveyed the fundamental message of a shared British identity.","container-title":"The Brand and Its History","note":"number-of-pages: 28","publisher":"Routledge","title":"Brand image, cultural association and marketing: ‘New Zealand’ butter and lamb exports to Britain, c. 1920–1938","title-short":"Brand image, cultural association and marketing","author":[{"family":"Barnes","given":"Felicity"},{"family":"Higgins","given":"David M."}],"issued":{"date-parts":[["2022"]]}}}],"schema":"https://github.com/citation-style-language/schema/raw/master/csl-citation.json"} </w:instrText>
      </w:r>
      <w:r w:rsidR="001A66F2">
        <w:rPr>
          <w:sz w:val="24"/>
          <w:szCs w:val="24"/>
        </w:rPr>
        <w:fldChar w:fldCharType="separate"/>
      </w:r>
      <w:r w:rsidR="001A66F2">
        <w:rPr>
          <w:noProof/>
          <w:sz w:val="24"/>
          <w:szCs w:val="24"/>
        </w:rPr>
        <w:t>(Barnes and Higgins, 2022)</w:t>
      </w:r>
      <w:r w:rsidR="001A66F2">
        <w:rPr>
          <w:sz w:val="24"/>
          <w:szCs w:val="24"/>
        </w:rPr>
        <w:fldChar w:fldCharType="end"/>
      </w:r>
      <w:r w:rsidRPr="0047160C">
        <w:rPr>
          <w:sz w:val="24"/>
          <w:szCs w:val="24"/>
        </w:rPr>
        <w:t xml:space="preserve">. </w:t>
      </w:r>
      <w:bookmarkStart w:id="0" w:name="_Hlk216349982"/>
      <w:r w:rsidRPr="0047160C">
        <w:rPr>
          <w:sz w:val="24"/>
          <w:szCs w:val="24"/>
        </w:rPr>
        <w:t>Hall's theory</w:t>
      </w:r>
      <w:bookmarkEnd w:id="0"/>
      <w:r w:rsidRPr="0047160C">
        <w:rPr>
          <w:sz w:val="24"/>
          <w:szCs w:val="24"/>
        </w:rPr>
        <w:t xml:space="preserve"> explains this gap. Although both are low-context marketing, the medium-high context trait of France means that consumers infer value from cultural and symbolic cues rather than merely obtaining information from explicit statements</w:t>
      </w:r>
      <w:r w:rsidR="008944CF">
        <w:rPr>
          <w:sz w:val="24"/>
          <w:szCs w:val="24"/>
        </w:rPr>
        <w:fldChar w:fldCharType="begin"/>
      </w:r>
      <w:r w:rsidR="008944CF">
        <w:rPr>
          <w:sz w:val="24"/>
          <w:szCs w:val="24"/>
        </w:rPr>
        <w:instrText xml:space="preserve"> ADDIN ZOTERO_ITEM CSL_CITATION {"citationID":"I56CW0AS","properties":{"formattedCitation":"(Mertens, Hall and Wilson, 2025)","plainCitation":"(Mertens, Hall and Wilson, 2025)","noteIndex":0},"citationItems":[{"id":269,"uris":["http://zotero.org/users/18628635/items/9SJW6ZP4"],"itemData":{"id":269,"type":"book","abstract":"Covering both the theory and practice of evaluation in one engaging volume, this leading text is now in a revised third edition. It features additional evaluation approaches, such as the Indigenous paradigm; new examples, ranging from small to large and multi-site evaluations; and more. Instructors praise the diverse evaluations, many with reflective commentary from evaluators, and rich pedagogical features. The text describes the major theoretical paradigms in evaluation and the ways they inform methodological choices. Readers learn effective strategies for clarifying their own theoretical assumptions; working with stakeholders; developing questions; using quantitative, qualitative, and mixed methods designs; choosing data collection and sampling strategies; analyzing data; and communicating and utilizing findings. The book includes guidance for planning an evaluation of a specific project or program. Extensive recommended online resources and tools are provided at the companion website. New to This Edition  Restructured section on philosophical frameworks, with a new chapter on the Indigenous paradigm and expanded coverage of disability, feminist, and LGBTQ+ theories.  Additional sample studies, including multi-site and systems- and complexity-informed evaluations.   Expanded coverage of logic models, cost–benefit evaluations, and mixed methods designs.  New and updated coverage of data collection technologies, qualitative coding methods, Sustainable Development Goals, and uses and pitfalls of artificial intelligence.  Pedagogical Features  Reflection questions that prepare students to read each chapter.  \"Extending Your Thinking\" questions and learning activities.  New within-chapter maps to aid in navigating chapter sections.  Boxes offering sample evaluations and closer looks at key concepts.   Helpful checklists and tables, bolded key terms, and an end-of-book Glossary.   Companion website with links to recommended online resources and tools.","ISBN":"978-1-4625-5590-1","language":"en","note":"Google-Books-ID: 1kU5EQAAQBAJ","number-of-pages":"658","publisher":"Guilford Publications","source":"Google Books","title":"Program Evaluation Theory and Practice","author":[{"family":"Mertens","given":"Donna M."},{"family":"Hall","given":"Jori N."},{"family":"Wilson","given":"Amy T."}],"issued":{"date-parts":[["2025",1,17]]}}}],"schema":"https://github.com/citation-style-language/schema/raw/master/csl-citation.json"} </w:instrText>
      </w:r>
      <w:r w:rsidR="008944CF">
        <w:rPr>
          <w:sz w:val="24"/>
          <w:szCs w:val="24"/>
        </w:rPr>
        <w:fldChar w:fldCharType="separate"/>
      </w:r>
      <w:r w:rsidR="008944CF">
        <w:rPr>
          <w:noProof/>
          <w:sz w:val="24"/>
          <w:szCs w:val="24"/>
        </w:rPr>
        <w:t>(Mertens, Hall and Wilson, 2025)</w:t>
      </w:r>
      <w:r w:rsidR="008944CF">
        <w:rPr>
          <w:sz w:val="24"/>
          <w:szCs w:val="24"/>
        </w:rPr>
        <w:fldChar w:fldCharType="end"/>
      </w:r>
      <w:r w:rsidRPr="0047160C">
        <w:rPr>
          <w:sz w:val="24"/>
          <w:szCs w:val="24"/>
        </w:rPr>
        <w:t>. Hofstede's masculinity and femininity dimensions indicate that France values quality of life and aesthetic expression, while the UK places more emphasis on achievements and practical benefits</w:t>
      </w:r>
      <w:r w:rsidR="00E72486">
        <w:rPr>
          <w:sz w:val="24"/>
          <w:szCs w:val="24"/>
        </w:rPr>
        <w:fldChar w:fldCharType="begin"/>
      </w:r>
      <w:r w:rsidR="00E72486">
        <w:rPr>
          <w:sz w:val="24"/>
          <w:szCs w:val="24"/>
        </w:rPr>
        <w:instrText xml:space="preserve"> ADDIN ZOTERO_ITEM CSL_CITATION {"citationID":"AZ020u22","properties":{"formattedCitation":"(Garcia-Perez and Simkin, 2021)","plainCitation":"(Garcia-Perez and Simkin, 2021)","noteIndex":0},"citationItems":[{"id":264,"uris":["http://zotero.org/users/18628635/items/P9LX6K52"],"itemData":{"id":264,"type":"book","ISBN":"978-1-914587-07-8","language":"en","note":"Google-Books-ID: mXxGEAAAQBAJ","number-of-pages":"1026","publisher":"Academic Conferences limited","source":"Google Books","title":"ECKM 2021 22nd European Conference on Knowledge Management","author":[{"family":"Garcia-Perez","given":"Dr Alexeis"},{"family":"Simkin","given":"Professor Lyndon"}],"issued":{"date-parts":[["2021",9,2]]}}}],"schema":"https://github.com/citation-style-language/schema/raw/master/csl-citation.json"} </w:instrText>
      </w:r>
      <w:r w:rsidR="00E72486">
        <w:rPr>
          <w:sz w:val="24"/>
          <w:szCs w:val="24"/>
        </w:rPr>
        <w:fldChar w:fldCharType="separate"/>
      </w:r>
      <w:r w:rsidR="00E72486">
        <w:rPr>
          <w:noProof/>
          <w:sz w:val="24"/>
          <w:szCs w:val="24"/>
        </w:rPr>
        <w:t>(Garcia-Perez and Simkin, 2021)</w:t>
      </w:r>
      <w:r w:rsidR="00E72486">
        <w:rPr>
          <w:sz w:val="24"/>
          <w:szCs w:val="24"/>
        </w:rPr>
        <w:fldChar w:fldCharType="end"/>
      </w:r>
      <w:r w:rsidRPr="0047160C">
        <w:rPr>
          <w:sz w:val="24"/>
          <w:szCs w:val="24"/>
        </w:rPr>
        <w:t xml:space="preserve">. British brands must recognize these differences. Analyzing </w:t>
      </w:r>
      <w:bookmarkStart w:id="1" w:name="_Hlk216349790"/>
      <w:r w:rsidRPr="0047160C">
        <w:rPr>
          <w:sz w:val="24"/>
          <w:szCs w:val="24"/>
        </w:rPr>
        <w:t xml:space="preserve">the emotional and neutral dimensions of </w:t>
      </w:r>
      <w:bookmarkStart w:id="2" w:name="OLE_LINK1"/>
      <w:r w:rsidR="002F46D4" w:rsidRPr="00C05E15">
        <w:rPr>
          <w:sz w:val="24"/>
          <w:szCs w:val="24"/>
        </w:rPr>
        <w:t>Tr</w:t>
      </w:r>
      <w:r w:rsidR="002F46D4">
        <w:rPr>
          <w:rFonts w:hint="eastAsia"/>
          <w:sz w:val="24"/>
          <w:szCs w:val="24"/>
        </w:rPr>
        <w:t>om</w:t>
      </w:r>
      <w:r w:rsidR="002F46D4" w:rsidRPr="00C05E15">
        <w:rPr>
          <w:sz w:val="24"/>
          <w:szCs w:val="24"/>
        </w:rPr>
        <w:t>pen</w:t>
      </w:r>
      <w:r w:rsidR="002F46D4">
        <w:rPr>
          <w:sz w:val="24"/>
          <w:szCs w:val="24"/>
        </w:rPr>
        <w:t>a</w:t>
      </w:r>
      <w:r w:rsidR="002F46D4" w:rsidRPr="00C05E15">
        <w:rPr>
          <w:sz w:val="24"/>
          <w:szCs w:val="24"/>
        </w:rPr>
        <w:t>a</w:t>
      </w:r>
      <w:r w:rsidR="002F46D4">
        <w:rPr>
          <w:sz w:val="24"/>
          <w:szCs w:val="24"/>
        </w:rPr>
        <w:t>r</w:t>
      </w:r>
      <w:r w:rsidR="002F46D4" w:rsidRPr="00C05E15">
        <w:rPr>
          <w:sz w:val="24"/>
          <w:szCs w:val="24"/>
        </w:rPr>
        <w:t>s</w:t>
      </w:r>
      <w:bookmarkEnd w:id="2"/>
      <w:bookmarkEnd w:id="1"/>
      <w:r w:rsidRPr="0047160C">
        <w:rPr>
          <w:sz w:val="24"/>
          <w:szCs w:val="24"/>
        </w:rPr>
        <w:t>, the neutral communication style of the UK conflicts with France's preference for evoking emotional resonance, leading to the differentiation of marketing strategies between the two countries</w:t>
      </w:r>
      <w:r w:rsidR="00EE1F42">
        <w:rPr>
          <w:sz w:val="24"/>
          <w:szCs w:val="24"/>
        </w:rPr>
        <w:fldChar w:fldCharType="begin"/>
      </w:r>
      <w:r w:rsidR="00EE1F42">
        <w:rPr>
          <w:sz w:val="24"/>
          <w:szCs w:val="24"/>
        </w:rPr>
        <w:instrText xml:space="preserve"> ADDIN ZOTERO_ITEM CSL_CITATION {"citationID":"DBp2wfEb","properties":{"formattedCitation":"(Ziliute, 2024)","plainCitation":"(Ziliute, 2024)","noteIndex":0},"citationItems":[{"id":266,"uris":["http://zotero.org/users/18628635/items/5PEVQQUS"],"itemData":{"id":266,"type":"article-journal","abstract":"This dissertation aims to research how cultural currents influence risk management practices in  \nmultinational organisations. It focuses on the frameworks developed by Geert Hofstede and  \nFons Trompenaars, with a particular emphasis on Trompenaars' dimensions of Universalism vs.  \nParticularism, Neutral vs. Emotional, Specific vs. Diffuse, and Achievement vs. Ascription. \nA qualitative methodology was applied, conducting surveys with open-ended questions to  \ncollect insights from professionals working in multicultural environments, primarily in the banking  \nand financial industry. While Hofstede’s and Trompenaars' frameworks, along with other  \nmethodological theories, are reviewed, the central focus remains on Trompenaars' Seven  \nDimensions of Culture for survey and analysis. \nThe findings demonstrate the critical role of cultural factors in developing organisational risk  \nmanagement strategies. Practical recommendations are provided for improving these strategies \nin culturally diverse settings, helping organisations to navigate cross-cultural challenges more  \neffectively. \nAdditionally, this research contributes to the existing literature on cultural implications in  \norganisations, focusing specifically on individual behaviour in decision-making processes. It  \nconcludes by detailing the key cultural dimensions and discussing their broader impact on risk  \nmanagement, while offering valuable insights for academic researchers and practitioners in  \ncross-cultural organisational studies.","language":"en","license":"info:eu-repo/semantics/openAccess","note":"Accepted: 2025-01-16T13:25:56Z\npublisher: University of Malta","source":"www.um.edu.mt","title":"Navigating cultural currents : a qualitative analysis of cross-cultural aspects in organisational risk management based on Trompenaars' cultural framework","title-short":"Navigating cultural currents","URL":"https://www.um.edu.mt/library/oar/handle/123456789/130743","author":[{"family":"Ziliute","given":"Vilma (2024)"}],"accessed":{"date-parts":[["2025",12,11]]},"issued":{"date-parts":[["2024"]]}}}],"schema":"https://github.com/citation-style-language/schema/raw/master/csl-citation.json"} </w:instrText>
      </w:r>
      <w:r w:rsidR="00EE1F42">
        <w:rPr>
          <w:sz w:val="24"/>
          <w:szCs w:val="24"/>
        </w:rPr>
        <w:fldChar w:fldCharType="separate"/>
      </w:r>
      <w:r w:rsidR="00EE1F42">
        <w:rPr>
          <w:noProof/>
          <w:sz w:val="24"/>
          <w:szCs w:val="24"/>
        </w:rPr>
        <w:t>(Ziliute, 2024)</w:t>
      </w:r>
      <w:r w:rsidR="00EE1F42">
        <w:rPr>
          <w:sz w:val="24"/>
          <w:szCs w:val="24"/>
        </w:rPr>
        <w:fldChar w:fldCharType="end"/>
      </w:r>
      <w:r w:rsidRPr="0047160C">
        <w:rPr>
          <w:sz w:val="24"/>
          <w:szCs w:val="24"/>
        </w:rPr>
        <w:t>.</w:t>
      </w:r>
    </w:p>
    <w:p w14:paraId="2402B54B" w14:textId="77777777" w:rsidR="00AA3A2C" w:rsidRPr="00FE13BD" w:rsidRDefault="00AA3A2C" w:rsidP="006134AD">
      <w:pPr>
        <w:spacing w:line="360" w:lineRule="auto"/>
        <w:rPr>
          <w:rFonts w:hint="eastAsia"/>
          <w:sz w:val="24"/>
          <w:szCs w:val="24"/>
        </w:rPr>
      </w:pPr>
    </w:p>
    <w:p w14:paraId="3CDD8F67" w14:textId="77777777" w:rsidR="00064E4A" w:rsidRPr="00064E4A" w:rsidRDefault="00064E4A" w:rsidP="00064E4A">
      <w:pPr>
        <w:spacing w:line="360" w:lineRule="auto"/>
        <w:rPr>
          <w:rFonts w:hint="eastAsia"/>
          <w:b/>
          <w:bCs/>
          <w:sz w:val="28"/>
          <w:szCs w:val="28"/>
        </w:rPr>
      </w:pPr>
      <w:r w:rsidRPr="00064E4A">
        <w:rPr>
          <w:rFonts w:hint="eastAsia"/>
          <w:b/>
          <w:bCs/>
          <w:sz w:val="28"/>
          <w:szCs w:val="28"/>
        </w:rPr>
        <w:t>3.0 C</w:t>
      </w:r>
      <w:r w:rsidRPr="00064E4A">
        <w:rPr>
          <w:b/>
          <w:bCs/>
          <w:sz w:val="28"/>
          <w:szCs w:val="28"/>
        </w:rPr>
        <w:t>oping strategy</w:t>
      </w:r>
    </w:p>
    <w:p w14:paraId="74755A37" w14:textId="79859C9E" w:rsidR="006134AD" w:rsidRDefault="00A439E4" w:rsidP="006134AD">
      <w:pPr>
        <w:spacing w:line="360" w:lineRule="auto"/>
        <w:rPr>
          <w:rFonts w:hint="eastAsia"/>
          <w:sz w:val="24"/>
          <w:szCs w:val="24"/>
        </w:rPr>
      </w:pPr>
      <w:r w:rsidRPr="00A439E4">
        <w:rPr>
          <w:sz w:val="24"/>
          <w:szCs w:val="24"/>
        </w:rPr>
        <w:t xml:space="preserve">Regarding the negotiations between the UK and France, before entering into the talks, I suggest that British enterprises conduct targeted cultural training, with a focus on French </w:t>
      </w:r>
      <w:bookmarkStart w:id="3" w:name="_Hlk216362109"/>
      <w:r w:rsidRPr="00A439E4">
        <w:rPr>
          <w:sz w:val="24"/>
          <w:szCs w:val="24"/>
        </w:rPr>
        <w:t>business norms</w:t>
      </w:r>
      <w:bookmarkEnd w:id="3"/>
      <w:r w:rsidR="00AD3A2E">
        <w:rPr>
          <w:sz w:val="24"/>
          <w:szCs w:val="24"/>
        </w:rPr>
        <w:fldChar w:fldCharType="begin"/>
      </w:r>
      <w:r w:rsidR="00AD3A2E">
        <w:rPr>
          <w:sz w:val="24"/>
          <w:szCs w:val="24"/>
        </w:rPr>
        <w:instrText xml:space="preserve"> ADDIN ZOTERO_ITEM CSL_CITATION {"citationID":"yC0uXS0J","properties":{"formattedCitation":"(Trevino and Nelson, 2021)","plainCitation":"(Trevino and Nelson, 2021)","noteIndex":0},"citationItems":[{"id":271,"uris":["http://zotero.org/users/18628635/items/78V45TJ5"],"itemData":{"id":271,"type":"book","abstract":"The eighth edition of Managing Business Ethics shows students how the study of ethics is relevant to real-life business decisions. This highly-regarded text empowers students with the knowledge required to identify, understand, and solve ethical dilemmas while promoting ethical behavior in themselves, in their friends and colleagues, and in their organizations. Authors Linda Trevino and Katherine Nelson offer a pragmatic approach to prepare students for professional roles as managers, compliance officers, human resources managers, senior executives, and others. Focusing on the types of problems that students will most likely encounter in their careers, this new edition includes carefully revised content that incorporates the latest research on ethics and organizational behavior. The authors integrate theory and practice to provide a balanced presentation of both classic and recent business ethics cases, examples, and approaches. Accessible and engaging chapters discuss ethics and the individual, managing ethics in an organization, the relation between organizational ethics and social responsibility, and more. Throughout the text, a diverse range of examples and case studies bring key concepts to life, while practical activities enable students to apply the concepts in their own lives and careers.","ISBN":"978-1-119-71100-1","language":"en","note":"Google-Books-ID: 4pEXEAAAQBAJ","number-of-pages":"386","publisher":"John Wiley &amp; Sons","source":"Google Books","title":"Managing Business Ethics: Straight Talk about How to Do It Right","title-short":"Managing Business Ethics","author":[{"family":"Trevino","given":"Linda K."},{"family":"Nelson","given":"Katherine A."}],"issued":{"date-parts":[["2021",3,9]]}}}],"schema":"https://github.com/citation-style-language/schema/raw/master/csl-citation.json"} </w:instrText>
      </w:r>
      <w:r w:rsidR="00AD3A2E">
        <w:rPr>
          <w:sz w:val="24"/>
          <w:szCs w:val="24"/>
        </w:rPr>
        <w:fldChar w:fldCharType="separate"/>
      </w:r>
      <w:r w:rsidR="00AD3A2E">
        <w:rPr>
          <w:noProof/>
          <w:sz w:val="24"/>
          <w:szCs w:val="24"/>
        </w:rPr>
        <w:t>(Trevino and Nelson, 2021)</w:t>
      </w:r>
      <w:r w:rsidR="00AD3A2E">
        <w:rPr>
          <w:sz w:val="24"/>
          <w:szCs w:val="24"/>
        </w:rPr>
        <w:fldChar w:fldCharType="end"/>
      </w:r>
      <w:r w:rsidRPr="00A439E4">
        <w:rPr>
          <w:sz w:val="24"/>
          <w:szCs w:val="24"/>
        </w:rPr>
        <w:t xml:space="preserve">. The training should include </w:t>
      </w:r>
      <w:r w:rsidRPr="00A439E4">
        <w:rPr>
          <w:sz w:val="24"/>
          <w:szCs w:val="24"/>
        </w:rPr>
        <w:lastRenderedPageBreak/>
        <w:t xml:space="preserve">Hofstede's power distance and Trompenaars' particularism, with the aim of enabling the negotiation personnel to learn to respect the French hierarchical system and give time for internal </w:t>
      </w:r>
      <w:proofErr w:type="gramStart"/>
      <w:r w:rsidRPr="00A439E4">
        <w:rPr>
          <w:sz w:val="24"/>
          <w:szCs w:val="24"/>
        </w:rPr>
        <w:t>negotiations, and</w:t>
      </w:r>
      <w:proofErr w:type="gramEnd"/>
      <w:r w:rsidRPr="00A439E4">
        <w:rPr>
          <w:sz w:val="24"/>
          <w:szCs w:val="24"/>
        </w:rPr>
        <w:t xml:space="preserve"> applying general rules to specific situations. By acknowledging French culture to show respect, a foundation for cooperation can be laid. At the same time, to resolve conflicts in team collaboration, I think a meeting format that combines the efficiency emphasis of the </w:t>
      </w:r>
      <w:proofErr w:type="gramStart"/>
      <w:r w:rsidRPr="00A439E4">
        <w:rPr>
          <w:sz w:val="24"/>
          <w:szCs w:val="24"/>
        </w:rPr>
        <w:t>UK</w:t>
      </w:r>
      <w:proofErr w:type="gramEnd"/>
      <w:r w:rsidRPr="00A439E4">
        <w:rPr>
          <w:sz w:val="24"/>
          <w:szCs w:val="24"/>
        </w:rPr>
        <w:t xml:space="preserve"> and the rigor emphasis of France can be adopted. For example, the French team can first discuss ideas, and then both sides can jointly clarify all aspects of the matters to be noted. This can avoid any party feeling that their needs have been ignored, thereby promoting mutual respect. And identifying the roles of both parties based on cultural advantages is also a good approach. The British team can be responsible for the project schedule and budget tracking, which aligns with their analytical thinking, while the French team can be responsible for creative design and communication with stakeholders, which aligns with their emotional traits</w:t>
      </w:r>
      <w:r w:rsidR="001A2279">
        <w:rPr>
          <w:sz w:val="24"/>
          <w:szCs w:val="24"/>
        </w:rPr>
        <w:fldChar w:fldCharType="begin"/>
      </w:r>
      <w:r w:rsidR="001A2279">
        <w:rPr>
          <w:sz w:val="24"/>
          <w:szCs w:val="24"/>
        </w:rPr>
        <w:instrText xml:space="preserve"> ADDIN ZOTERO_ITEM CSL_CITATION {"citationID":"NOc5PQg1","properties":{"formattedCitation":"(Shenkar, Luo and Chi, 2021)","plainCitation":"(Shenkar, Luo and Chi, 2021)","noteIndex":0},"citationItems":[{"id":273,"uris":["http://zotero.org/users/18628635/items/SXNASYVC"],"itemData":{"id":273,"type":"book","abstract":"This fully revised and updated fourth edition of International Business offers an action- focused, practical approach to the topic, helping students understand the global business environment and its repercussions for executives. The book provides thorough coverage, delving into fundamental concepts and theory; the cultural, political, and economic environment; international business strategies; and even functional management areas.\nMore comprehensive than competing books, this new edition of International Business includes:\n\nA new chapter on the digitalization of the global economy and its implications for firm strategy and organizations.\nNew examinations of the forces of de- globalization, implications of rising trade protectionism, challenges of geopolitical conflicts, and a friction framework for understanding the effects of cultural differences.\nEnriched and expanded discussions about potential reconfigurations of global value chains following the COVID- 19 pandemic, changing perspectives on the role of the government with renewed attention to industrial policy, shifts in regional integration with the emergence of such new trade blocks as CPTPP and RCEP, and fresh insights on factors influencing a country’s balance of payments.\nStrengthened, expanded global cases, examples, and “industry” and “country” mini- cases that give students practical insight into the ways companies actually behave within a competitive, global environment.\nAlso featuring a companion website with a test bank, PowerPoint slides, and instructor’s manual, this book is ideal for students and instructors of any international business course at undergraduate or postgraduate level.","edition":"4","event-place":"New York","ISBN":"978-1-003-03431-5","note":"DOI: 10.4324/9781003034315","number-of-pages":"772","publisher":"Routledge","publisher-place":"New York","title":"International Business","author":[{"family":"Shenkar","given":"Oded"},{"family":"Luo","given":"Yadong"},{"family":"Chi","given":"Tailan"}],"issued":{"date-parts":[["2021",12,20]]}}}],"schema":"https://github.com/citation-style-language/schema/raw/master/csl-citation.json"} </w:instrText>
      </w:r>
      <w:r w:rsidR="001A2279">
        <w:rPr>
          <w:sz w:val="24"/>
          <w:szCs w:val="24"/>
        </w:rPr>
        <w:fldChar w:fldCharType="separate"/>
      </w:r>
      <w:r w:rsidR="001A2279">
        <w:rPr>
          <w:noProof/>
          <w:sz w:val="24"/>
          <w:szCs w:val="24"/>
        </w:rPr>
        <w:t>(</w:t>
      </w:r>
      <w:proofErr w:type="spellStart"/>
      <w:r w:rsidR="001A2279">
        <w:rPr>
          <w:noProof/>
          <w:sz w:val="24"/>
          <w:szCs w:val="24"/>
        </w:rPr>
        <w:t>Shenkar</w:t>
      </w:r>
      <w:proofErr w:type="spellEnd"/>
      <w:r w:rsidR="001A2279">
        <w:rPr>
          <w:noProof/>
          <w:sz w:val="24"/>
          <w:szCs w:val="24"/>
        </w:rPr>
        <w:t>, Luo and Chi, 2021)</w:t>
      </w:r>
      <w:r w:rsidR="001A2279">
        <w:rPr>
          <w:sz w:val="24"/>
          <w:szCs w:val="24"/>
        </w:rPr>
        <w:fldChar w:fldCharType="end"/>
      </w:r>
      <w:r w:rsidRPr="00A439E4">
        <w:rPr>
          <w:sz w:val="24"/>
          <w:szCs w:val="24"/>
        </w:rPr>
        <w:t>. This clarity of roles can transform cultural differences into complementary advantages.</w:t>
      </w:r>
    </w:p>
    <w:p w14:paraId="31DA4011" w14:textId="19DF32C6" w:rsidR="008944CF" w:rsidRDefault="0036674B" w:rsidP="006134AD">
      <w:pPr>
        <w:spacing w:line="360" w:lineRule="auto"/>
        <w:rPr>
          <w:sz w:val="24"/>
          <w:szCs w:val="24"/>
        </w:rPr>
      </w:pPr>
      <w:r w:rsidRPr="0036674B">
        <w:rPr>
          <w:sz w:val="24"/>
          <w:szCs w:val="24"/>
        </w:rPr>
        <w:t>When British brands enter the French market, they must align their marketing strategies with the cultural priorities of France as determined by Hofstede and Trompenaars' framework</w:t>
      </w:r>
      <w:r w:rsidR="004007DE">
        <w:rPr>
          <w:sz w:val="24"/>
          <w:szCs w:val="24"/>
        </w:rPr>
        <w:fldChar w:fldCharType="begin"/>
      </w:r>
      <w:r w:rsidR="00AA0F10">
        <w:rPr>
          <w:sz w:val="24"/>
          <w:szCs w:val="24"/>
        </w:rPr>
        <w:instrText xml:space="preserve"> ADDIN ZOTERO_ITEM CSL_CITATION {"citationID":"Xfp0bIZl","properties":{"formattedCitation":"(de Waal and Chipeta, 2015)","plainCitation":"(de Waal and Chipeta, 2015)","noteIndex":0},"citationItems":[{"id":278,"uris":["http://zotero.org/users/18628635/items/LXNZPQRJ"],"itemData":{"id":278,"type":"article-journal","abstract":"– The purpose of this paper is to determine whether there are common conceptions of high performance organizations (HPOs) among business in South Africa and Tanzania. This is important to know because their perceptions will not only influence the nature and scope of topics, syllabi and course materials used in teaching, but will also influence the priority of organizational decisions which are going to be made by the students when they are managers.  – Data were collected by means of a questionnaire from a sample of 357 second and third year business students who were asked to rate the 35 items contained in the HPO Framework (Waal, 2012) on a seven-point Likert-scale.  – Factor analysis revealed that South African and Tanzania business students put priority on three of the original five HPO factors: continuous improvement and renewal, long-term orientation, high quality management, comprising 16 of the original 35 HPO characteristics. A bivariate correlation between the HPO factors and Hofstede’s dimensions of cultural values revealed a significant relationship between the HPO factor long-term orientation and three of Hofstede’s cultural dimensions, for both cultures.  – The value of the study is that it adds to the HPO literature by focussing on cultural implications and Hofstede’s dimensions. The answer to the research question are there similarities or differences among business students from South Africa and Tanzania in their perceptions of what the priority should be in regard to strengthening specific characteristics in the HPO Framework? is affirmative: yes, there are differences in high performance priority-setting per country and these differences can be explained by cultural differences. The findings of this study thus form a basis for the understanding of the effects of national cultures on the creation of HPOs.","container-title":"Journal of Strategy and Management","DOI":"10.1108/JSMA-05-2014-0034","ISSN":"1755-425X","issue":"1","journalAbbreviation":"Journal of Strategy and Management","page":"64-86","source":"Silverchair","title":"Influence of culture on priority-setting of high performance activities","volume":"8","author":[{"family":"Waal","given":"André","non-dropping-particle":"de"},{"family":"Chipeta","given":"Kettie"}],"issued":{"date-parts":[["2015",2,16]]}}}],"schema":"https://github.com/citation-style-language/schema/raw/master/csl-citation.json"} </w:instrText>
      </w:r>
      <w:r w:rsidR="004007DE">
        <w:rPr>
          <w:sz w:val="24"/>
          <w:szCs w:val="24"/>
        </w:rPr>
        <w:fldChar w:fldCharType="separate"/>
      </w:r>
      <w:r w:rsidR="00AA0F10">
        <w:rPr>
          <w:noProof/>
          <w:sz w:val="24"/>
          <w:szCs w:val="24"/>
        </w:rPr>
        <w:t>(de Waal and Chipeta, 2015)</w:t>
      </w:r>
      <w:r w:rsidR="004007DE">
        <w:rPr>
          <w:sz w:val="24"/>
          <w:szCs w:val="24"/>
        </w:rPr>
        <w:fldChar w:fldCharType="end"/>
      </w:r>
      <w:r w:rsidRPr="0036674B">
        <w:rPr>
          <w:sz w:val="24"/>
          <w:szCs w:val="24"/>
        </w:rPr>
        <w:t>. This means transitioning from an information delivery approach based on facts to one that emphasizes emotions, such as highlighting the brand's commitment to sustainable practices</w:t>
      </w:r>
      <w:r w:rsidR="002733E9">
        <w:rPr>
          <w:sz w:val="24"/>
          <w:szCs w:val="24"/>
        </w:rPr>
        <w:fldChar w:fldCharType="begin"/>
      </w:r>
      <w:r w:rsidR="002733E9">
        <w:rPr>
          <w:sz w:val="24"/>
          <w:szCs w:val="24"/>
        </w:rPr>
        <w:instrText xml:space="preserve"> ADDIN ZOTERO_ITEM CSL_CITATION {"citationID":"gvMxNTTh","properties":{"formattedCitation":"(Chen, 2023)","plainCitation":"(Chen, 2023)","noteIndex":0},"citationItems":[{"id":274,"uris":["http://zotero.org/users/18628635/items/J27DTY2W"],"itemData":{"id":274,"type":"article-journal","abstract":"The purpose of this study is to conceptually integrate business to consumer (B2C) into business to business (B2B), with a holistic consumer-centric, technology-reinforced, long-term vision for tourism industries and companies to survive and succeed in the era of new technologies 4.0. The research suggests that the tourism-marketing-new technologies decision-making involves customers as the center of the design and decision process.The research design includes a qualitative study with 94 in-depth interviews, a literature analysis and a conceptual proposition. The qualitative study follows the tourism consumer desire data analysis, from categorization to integration. The literature analysis applies a systematic literature review approach based on the 29 most up-to-date new-tech papers from peer-reviewed journals. The analysis compares qualitative research findings and literature analysis results and matches the new technology applications with consumer desire understanding. The conceptual framework of tourism marketing/advertising is proposed based on qualitative research and literature analysis.The qualitative research deciphers that consumers, based on their imagination and memorization, desire therapy and sceneries and connect such desires to the empathetic and resonating advertising messages. The literature analysis synthesizes the new tech applications in tourism and matches the qualitative research findings with the deciphered desires in tourism. The conceptual model proposes that B2C should be integrated into B2B to provide value for both consumers and businesses and opens avenues of research on this topic.This research has made the following theoretical contributions: it offers an in-depth understanding of consumer desire, often hidden or subconscious, in the field of tourism. Consumer desires regarding tourism are mostly subconscious and exist long before consumers are exposed to advertising messages. These desires reflect the search for therapy and sceneries and become “embodied” – they exist on multisensorial levels and become part of the body and life and will lead consumers into positive perceptions when marketing communications/advertisements resonate with them. In the latter case, they will subjectively judge advertising as “good,” regardless of the advertising design quality. The research also connects consumer research with a new technologies research review and proposes a conceptual framework to integrate business to consumer (B2C) with business to business (B2B). As such, the research makes theoretical contributions to the integration or the “boundary blurring” between B2C and B2B research and practical suggestions that involved industries and consumers may all benefit from such integration. Conceptually, there is a lack of discussions of the pitfalls of new technologies, a dearth of empirical verification of the applications of new technologies in the proposed fields and a shortage of discussions about ethical issues. Qualitative methods, offering an efficient tool for understanding consumer desires in the tourism industry, have their own limits, as discussed in previous research. The sample is limited to the state of New York population and may be influenced by geographic, demographic and psychological characteristics related to the region.This research provides advertising practitioners, new technology innovators and tourism industries with a framework to face the combined challenges of understanding hidden consumer desires and applying adequate technologies that resonate with consumer desires to tackle relevant issues. The conceptual proposition of this research fills the gap between qualitative consumer research without concrete practical resolution and new technologies applications without in-depth consumer understanding. Through the conceptual framework, the author provides insights into how industries may benefit from consumer understanding. The business relationships among the industries of marketing, tourism and new technologies should be centered around consumers. Thus, B2C and B2B should be naturally integrated into business practices.Social implications of this research include three major points: first, the understanding of consumer desire for therapeutic power in tourism, which invites more attention to tourism as part of social well-being design instead of a purely for-profit business. Second, a profound comprehension of what consumers need and desire, without which the applications of new technologies may cause severe societal problems. Third, a way to tailor to consumers’ individuality and desires for advertising/marketing that may be considered abusive, stressful and socially destructive if applied in a nonpersonal manner.Conceptually, this research adds consumer desire, an originally B2C concept, to the B2B context regarding the new technology applications in tourism marketing/advertising. It contributes to the B2B literature by proposing a strong consumer-centric approach, especially the consumer desire understanding, that is not yet investigated in the B2B literature; and a combination of empirical study and literature analysis and the matching of the two for better practice of advertising/marketing, tourism and new technologies applications.","container-title":"Journal of Business &amp; Industrial Marketing","DOI":"10.1108/JBIM-01-2023-0033","ISSN":"0885-8624","issue":"1","journalAbbreviation":"Journal of Business &amp; Industrial Marketing","note":"TLDR: The research suggests that the tourism-marketing-new technologies decision-making involves customers as the center of the design and decision process, with a holistic consumer-centric, technology-reinforced, long-term vision for tourism industries and companies to survive and succeed in the era of new technologies 4.0.","page":"99-115","source":"Silverchair","title":"Resonating with the consumer desires behind the screen – consumer-centric tourism advertising and new technology applications","volume":"39","author":[{"family":"Chen","given":"Yu (Viviane)"}],"issued":{"date-parts":[["2023",10,6]]}}}],"schema":"https://github.com/citation-style-language/schema/raw/master/csl-citation.json"} </w:instrText>
      </w:r>
      <w:r w:rsidR="002733E9">
        <w:rPr>
          <w:sz w:val="24"/>
          <w:szCs w:val="24"/>
        </w:rPr>
        <w:fldChar w:fldCharType="separate"/>
      </w:r>
      <w:r w:rsidR="002733E9">
        <w:rPr>
          <w:noProof/>
          <w:sz w:val="24"/>
          <w:szCs w:val="24"/>
        </w:rPr>
        <w:t>(Chen, 2023)</w:t>
      </w:r>
      <w:r w:rsidR="002733E9">
        <w:rPr>
          <w:sz w:val="24"/>
          <w:szCs w:val="24"/>
        </w:rPr>
        <w:fldChar w:fldCharType="end"/>
      </w:r>
      <w:r w:rsidRPr="0036674B">
        <w:rPr>
          <w:sz w:val="24"/>
          <w:szCs w:val="24"/>
        </w:rPr>
        <w:t>. By doing so in a way that resonates with French consumers, the brand can better integrate into the French market.</w:t>
      </w:r>
      <w:r w:rsidR="00B772C4" w:rsidRPr="00B772C4">
        <w:t xml:space="preserve"> </w:t>
      </w:r>
      <w:bookmarkStart w:id="4" w:name="_Hlk216364932"/>
      <w:r w:rsidR="00B772C4" w:rsidRPr="00B772C4">
        <w:rPr>
          <w:sz w:val="24"/>
          <w:szCs w:val="24"/>
        </w:rPr>
        <w:t>Hall's theory</w:t>
      </w:r>
      <w:bookmarkEnd w:id="4"/>
      <w:r w:rsidR="00B772C4" w:rsidRPr="00B772C4">
        <w:rPr>
          <w:sz w:val="24"/>
          <w:szCs w:val="24"/>
        </w:rPr>
        <w:t xml:space="preserve"> highlights the importance of context in French communication</w:t>
      </w:r>
      <w:r w:rsidR="000C4F5B">
        <w:rPr>
          <w:sz w:val="24"/>
          <w:szCs w:val="24"/>
        </w:rPr>
        <w:fldChar w:fldCharType="begin"/>
      </w:r>
      <w:r w:rsidR="000C4F5B">
        <w:rPr>
          <w:sz w:val="24"/>
          <w:szCs w:val="24"/>
        </w:rPr>
        <w:instrText xml:space="preserve"> ADDIN ZOTERO_ITEM CSL_CITATION {"citationID":"SnPSlYng","properties":{"formattedCitation":"(Fuchs, 2023)","plainCitation":"(Fuchs, 2023)","noteIndex":0},"citationItems":[{"id":280,"uris":["http://zotero.org/users/18628635/items/9ED93EAW"],"itemData":{"id":280,"type":"article-journal","abstract":"At the end of his life, Stuart Hall called for the reengagement of Cultural Studies and Marxism. This paper contributes to this task. It analyses Stuart Hall’s works on communication and the media.","container-title":"Theory and Society","DOI":"10.1007/s11186-023-09524-5","ISSN":"1573-7853","issue":"6","journalAbbreviation":"Theor Soc","language":"en","page":"995-1029","source":"Springer Link","title":"A Marxist-Humanist perspective on Stuart Hall’s communication theory","volume":"52","author":[{"family":"Fuchs","given":"Christian"}],"issued":{"date-parts":[["2023",11,1]]}}}],"schema":"https://github.com/citation-style-language/schema/raw/master/csl-citation.json"} </w:instrText>
      </w:r>
      <w:r w:rsidR="000C4F5B">
        <w:rPr>
          <w:sz w:val="24"/>
          <w:szCs w:val="24"/>
        </w:rPr>
        <w:fldChar w:fldCharType="separate"/>
      </w:r>
      <w:r w:rsidR="000C4F5B">
        <w:rPr>
          <w:noProof/>
          <w:sz w:val="24"/>
          <w:szCs w:val="24"/>
        </w:rPr>
        <w:t>(Fuchs, 2023)</w:t>
      </w:r>
      <w:r w:rsidR="000C4F5B">
        <w:rPr>
          <w:sz w:val="24"/>
          <w:szCs w:val="24"/>
        </w:rPr>
        <w:fldChar w:fldCharType="end"/>
      </w:r>
      <w:r w:rsidR="00B772C4" w:rsidRPr="00B772C4">
        <w:rPr>
          <w:sz w:val="24"/>
          <w:szCs w:val="24"/>
        </w:rPr>
        <w:t>. Therefore, British brands should choose channels that can facilitate meaningful interactions. Given the moderately situational communication style of the French, British brands can increase face-to-face communication activities with French consumers in stores. Additionally, collaborating with French cultural institutions can enhance credibility and cultural relevance</w:t>
      </w:r>
      <w:r w:rsidR="008B6F41">
        <w:rPr>
          <w:sz w:val="24"/>
          <w:szCs w:val="24"/>
        </w:rPr>
        <w:fldChar w:fldCharType="begin"/>
      </w:r>
      <w:r w:rsidR="008B6F41">
        <w:rPr>
          <w:sz w:val="24"/>
          <w:szCs w:val="24"/>
        </w:rPr>
        <w:instrText xml:space="preserve"> ADDIN ZOTERO_ITEM CSL_CITATION {"citationID":"47Ip3Buq","properties":{"formattedCitation":"(Ladson-Billings, 2021)","plainCitation":"(Ladson-Billings, 2021)","noteIndex":0},"citationItems":[{"id":282,"uris":["http://zotero.org/users/18628635/items/TKYM8NUS"],"itemData":{"id":282,"type":"book","abstract":"For the first time, this volume provides a definitive collection of Gloria Ladson-Billings’ groundbreaking concept of Culturally Relevant Pedagogy (CRP). After repeatedly confronting deficit perspectives that asked, “What’s wrong with ‘those’ kids?”, Ladson-Billings decided to ask a different question, one that fundamentally shifted the way we think about teaching and learning. Noting that “those kids” usually meant Black students, she posed a new question: “What is right with Black students and what happens in classrooms where teachers, parents, and students get it right?” This compilation of Ladson-Billings’ published work on Culturally Relevant Pedagogy examines the theory, how it works in specific subject areas, and its role in teacher education. The final section looks toward the future, including what it means to re-mix CRP with youth culture such as hip hop. This one-of-a-kind collection can be used as an introduction to CRP and as a summary of the idea as it evolved over time, helping a new generation to see the possibilities that exist in teaching and learning for all students.Featured Essays:Toward a Theory of Culturally Relevant PedagogyBut That’s Just Good Teaching: The Case for Culturally Relevant PedagogyLiberatory Consequences of LiteracyIt Doesn’t Add Up: African American Students and Mathematics AchievementCrafting a Culturally Relevant Social Studies ApproachFighting for Our Lives: Preparing Teachers to Teach African American StudentsWhat’s the Matter With the Team? Diversity in Teacher EducationIt’s Not the Culture of Poverty, It’s the Poverty of Culture: The Problem With Teacher EducationCulturally Relevant Teaching 2.0, a.k.a. the Remix Beyond Beats, Rhymes, and Beyoncé: Hip-Hop Education and Culturally Relevant Pedagogy","ISBN":"978-0-8077-7985-9","language":"en","note":"Google-Books-ID: N3VJEAAAQBAJ","number-of-pages":"193","publisher":"Teachers College Press","source":"Google Books","title":"Culturally Relevant Pedagogy: Asking a Different Question","title-short":"Culturally Relevant Pedagogy","author":[{"family":"Ladson-Billings","given":"Gloria"}],"issued":{"date-parts":[["2021"]]}}}],"schema":"https://github.com/citation-style-language/schema/raw/master/csl-citation.json"} </w:instrText>
      </w:r>
      <w:r w:rsidR="008B6F41">
        <w:rPr>
          <w:sz w:val="24"/>
          <w:szCs w:val="24"/>
        </w:rPr>
        <w:fldChar w:fldCharType="separate"/>
      </w:r>
      <w:r w:rsidR="008B6F41">
        <w:rPr>
          <w:noProof/>
          <w:sz w:val="24"/>
          <w:szCs w:val="24"/>
        </w:rPr>
        <w:t>(Ladson-Billings, 2021)</w:t>
      </w:r>
      <w:r w:rsidR="008B6F41">
        <w:rPr>
          <w:sz w:val="24"/>
          <w:szCs w:val="24"/>
        </w:rPr>
        <w:fldChar w:fldCharType="end"/>
      </w:r>
      <w:r w:rsidR="00B772C4" w:rsidRPr="00B772C4">
        <w:rPr>
          <w:sz w:val="24"/>
          <w:szCs w:val="24"/>
        </w:rPr>
        <w:t>. This multi-channel strategy makes the communication both easily understandable and culturally resonant</w:t>
      </w:r>
      <w:r w:rsidR="004F259F">
        <w:rPr>
          <w:sz w:val="24"/>
          <w:szCs w:val="24"/>
        </w:rPr>
        <w:fldChar w:fldCharType="begin"/>
      </w:r>
      <w:r w:rsidR="004F259F">
        <w:rPr>
          <w:sz w:val="24"/>
          <w:szCs w:val="24"/>
        </w:rPr>
        <w:instrText xml:space="preserve"> ADDIN ZOTERO_ITEM CSL_CITATION {"citationID":"MUvXLiw7","properties":{"formattedCitation":"(Royan, Sawitri and Riyadi, 2021)","plainCitation":"(Royan, Sawitri and Riyadi, 2021)","noteIndex":0},"citationItems":[{"id":284,"uris":["http://zotero.org/users/18628635/items/TWNTNR98"],"itemData":{"id":284,"type":"article-journal","abstract":"In this study the researchers chose the research object, namely a building material trading company in Sampit, Central Kalimantan named PT. Samudra Mas Group. The urgency of this study is to determine whether the multi-channel retailing variable, cooperation synergy and accounting information systems affect business development strategies and ultimately have an impact on company performance. This is to ensure the use of a business development strategy for the next 5 years. The study was conducted using respondents who are employees of PT. Samudra Mas Group, which has director positions to middle management and has the authority to make decisions in company operations. Respondents amounted to 70 people. This research measurement method using Smart PLS Professional 3.0. Pulling data by observation, interviews and distributing questionnaires. The results showed that multi-channel retailing, synergy of cooperation and accounting information systems significantly influence business development strategies. As well as a business development strategy to mediate multi-channel retailing that affects business performance.","container-title":"Journal of Asian Multicultural Research for Economy and Management Study","DOI":"10.47616/jamrems.v2i3.135","ISSN":"2708-9711","issue":"3","language":"en","license":"Copyright (c) 2021 Journal of Asian Multicultural Research for Economy and Management Study","page":"69-78","source":"www.amrsjournals.com","title":"The Effect of Multi Channel Retailing, Cooperation Synergity and Accounting Information Systems on Business Development Strategies that Impact on Business Performance","volume":"2","author":[{"family":"Royan","given":"Franciscus Musa"},{"family":"Sawitri","given":"Dyah"},{"family":"Riyadi","given":"Slamet"}],"issued":{"date-parts":[["2021",5,20]]}}}],"schema":"https://github.com/citation-style-language/schema/raw/master/csl-citation.json"} </w:instrText>
      </w:r>
      <w:r w:rsidR="004F259F">
        <w:rPr>
          <w:sz w:val="24"/>
          <w:szCs w:val="24"/>
        </w:rPr>
        <w:fldChar w:fldCharType="separate"/>
      </w:r>
      <w:r w:rsidR="004F259F">
        <w:rPr>
          <w:noProof/>
          <w:sz w:val="24"/>
          <w:szCs w:val="24"/>
        </w:rPr>
        <w:t>(Royan, Sawitri and Riyadi, 2021)</w:t>
      </w:r>
      <w:r w:rsidR="004F259F">
        <w:rPr>
          <w:sz w:val="24"/>
          <w:szCs w:val="24"/>
        </w:rPr>
        <w:fldChar w:fldCharType="end"/>
      </w:r>
      <w:r w:rsidR="00B772C4" w:rsidRPr="00B772C4">
        <w:rPr>
          <w:sz w:val="24"/>
          <w:szCs w:val="24"/>
        </w:rPr>
        <w:t>.</w:t>
      </w:r>
      <w:r w:rsidR="00230B3D" w:rsidRPr="00230B3D">
        <w:t xml:space="preserve"> </w:t>
      </w:r>
      <w:r w:rsidR="00230B3D" w:rsidRPr="00230B3D">
        <w:rPr>
          <w:sz w:val="24"/>
          <w:szCs w:val="24"/>
        </w:rPr>
        <w:t xml:space="preserve">At the same time, to avoid any mistakes, British brands should establish </w:t>
      </w:r>
      <w:r w:rsidR="00230B3D" w:rsidRPr="00230B3D">
        <w:rPr>
          <w:sz w:val="24"/>
          <w:szCs w:val="24"/>
        </w:rPr>
        <w:lastRenderedPageBreak/>
        <w:t>a continuous customer feedback mechanism with French consumers</w:t>
      </w:r>
      <w:r w:rsidR="0084579C">
        <w:rPr>
          <w:sz w:val="24"/>
          <w:szCs w:val="24"/>
        </w:rPr>
        <w:fldChar w:fldCharType="begin"/>
      </w:r>
      <w:r w:rsidR="0084579C">
        <w:rPr>
          <w:sz w:val="24"/>
          <w:szCs w:val="24"/>
        </w:rPr>
        <w:instrText xml:space="preserve"> ADDIN ZOTERO_ITEM CSL_CITATION {"citationID":"BMM5TQ52","properties":{"formattedCitation":"(Dong {\\i{}et al.}, 2025)","plainCitation":"(Dong et al., 2025)","noteIndex":0},"citationItems":[{"id":286,"uris":["http://zotero.org/users/18628635/items/SDV8CDN3"],"itemData":{"id":286,"type":"article-journal","abstract":"This study addresses a critical yet unexplored question: How does highlighted customer feedback influence subsequent innovation within digital systems, and what role does management play in this process? On mobile app platforms, management responses provide a mechanism through which developers can focus on specific customer feedback and respond accordingly. To investigate the role of management responses in digital innovation, we develop a theoretical framework centered on attention allocation. We identify highlighted customer feedback, corresponding management responses, and subsequent app updates on the Apple iOS platform. Employing text mining techniques, we analyze the content of both feedback and responses to assess goal-directed attention and knowledge absorption in later updates. Our empirical findings reveal that, among responded-to feedback, longer comments as well as feedback related to maintenance and functionality are more strongly associated with knowledge absorption in subsequent updates. Additionally, personalized and actionable developer responses further enhance the likelihood of knowledge absorption. These findings provide empirical support for future research into how developers allocate attention to customer feedback.","container-title":"Electronic Commerce Research and Applications","DOI":"10.1016/j.elerap.2025.101538","ISSN":"1567-4223","journalAbbreviation":"Electronic Commerce Research and Applications","page":"101538","source":"ScienceDirect","title":"Attention allocation to customer feedback: Absorbing knowledge for digital innovation in management responses","title-short":"Attention allocation to customer feedback","volume":"73","author":[{"family":"Dong","given":"Qinyi"},{"family":"Zhang","given":"Xiaoyu"},{"family":"Kang","given":"Lele"},{"family":"Jiang","given":"Qiqi"}],"issued":{"date-parts":[["2025",9,1]]}}}],"schema":"https://github.com/citation-style-language/schema/raw/master/csl-citation.json"} </w:instrText>
      </w:r>
      <w:r w:rsidR="0084579C">
        <w:rPr>
          <w:sz w:val="24"/>
          <w:szCs w:val="24"/>
        </w:rPr>
        <w:fldChar w:fldCharType="separate"/>
      </w:r>
      <w:r w:rsidR="0084579C" w:rsidRPr="0084579C">
        <w:rPr>
          <w:rFonts w:eastAsiaTheme="minorEastAsia" w:cs="Calibri"/>
          <w:kern w:val="0"/>
          <w:sz w:val="24"/>
          <w:szCs w:val="24"/>
          <w14:ligatures w14:val="standardContextual"/>
        </w:rPr>
        <w:t xml:space="preserve">(Dong </w:t>
      </w:r>
      <w:r w:rsidR="0084579C" w:rsidRPr="0084579C">
        <w:rPr>
          <w:rFonts w:eastAsiaTheme="minorEastAsia" w:cs="Calibri"/>
          <w:i/>
          <w:iCs/>
          <w:kern w:val="0"/>
          <w:sz w:val="24"/>
          <w:szCs w:val="24"/>
          <w14:ligatures w14:val="standardContextual"/>
        </w:rPr>
        <w:t>et al.</w:t>
      </w:r>
      <w:r w:rsidR="0084579C" w:rsidRPr="0084579C">
        <w:rPr>
          <w:rFonts w:eastAsiaTheme="minorEastAsia" w:cs="Calibri"/>
          <w:kern w:val="0"/>
          <w:sz w:val="24"/>
          <w:szCs w:val="24"/>
          <w14:ligatures w14:val="standardContextual"/>
        </w:rPr>
        <w:t>, 2025)</w:t>
      </w:r>
      <w:r w:rsidR="0084579C">
        <w:rPr>
          <w:sz w:val="24"/>
          <w:szCs w:val="24"/>
        </w:rPr>
        <w:fldChar w:fldCharType="end"/>
      </w:r>
      <w:r w:rsidR="00230B3D" w:rsidRPr="00230B3D">
        <w:rPr>
          <w:sz w:val="24"/>
          <w:szCs w:val="24"/>
        </w:rPr>
        <w:t>. This includes conducting social media surveys or conducting surveys about brand awareness after purchase, etc. By using these data, the brand can optimize its promotional content and products. I believe this customer-centric strategy is crucial for long-term development, as it enables the brand to adapt to cultural differences while maintaining authenticity</w:t>
      </w:r>
      <w:r w:rsidR="00CE14B9">
        <w:rPr>
          <w:sz w:val="24"/>
          <w:szCs w:val="24"/>
        </w:rPr>
        <w:fldChar w:fldCharType="begin"/>
      </w:r>
      <w:r w:rsidR="00CE14B9">
        <w:rPr>
          <w:sz w:val="24"/>
          <w:szCs w:val="24"/>
        </w:rPr>
        <w:instrText xml:space="preserve"> ADDIN ZOTERO_ITEM CSL_CITATION {"citationID":"5guhQ7u2","properties":{"formattedCitation":"(Kaartti, Ojasalo and Wait, 2025)","plainCitation":"(Kaartti, Ojasalo and Wait, 2025)","noteIndex":0},"citationItems":[{"id":288,"uris":["http://zotero.org/users/18628635/items/ISM4KNP5"],"itemData":{"id":288,"type":"article-journal","abstract":"The purpose of this article is to explore how the application of service design can support financial organisations to implement their customer-centric business strategy.This explorative research leaned on a subjective philosophy of interpretivism and followed an explorative qualitative approach by applying in-depth interviews. An abductive mindset was used for theory development.The paper introduces a model that explains how service design can be used to implement customer-centric business strategy in financial organisations. The model explains the link between the business strategy and service design and highlights five principles of service design – namely customer-centred, co-creative, holistic, contextual and systemic – which guide designers and business developers when applying service design. In addition, customer journey represents an essential method of service design when aiming for a superior customer experience.The research implications of this study relate to novel knowledge of applying service design to implement a customer-centric strategy. The paper encourages managers of established financial organisations to use service design to implement their strategy for a superior customer experience. Our results recommend the customer journey as a main method of service design for this purpose and highlight the prospect of making customer journeys at various levels across organisations.This paper contributes to literature by integrating knowledge about business strategy, customer centricity and service design in a novel way.","container-title":"International Journal of Bank Marketing","DOI":"10.1108/IJBM-06-2024-0375","ISSN":"0265-2323","issue":"5","journalAbbreviation":"International Journal of Bank Marketing","page":"921-942","source":"Silverchair","title":"Implementing a customer-centric strategy through service design in financial organisations","volume":"43","author":[{"family":"Kaartti","given":"Virpi"},{"family":"Ojasalo","given":"Jukka"},{"family":"Wait","given":"Marius"}],"issued":{"date-parts":[["2025",1,21]]}}}],"schema":"https://github.com/citation-style-language/schema/raw/master/csl-citation.json"} </w:instrText>
      </w:r>
      <w:r w:rsidR="00CE14B9">
        <w:rPr>
          <w:sz w:val="24"/>
          <w:szCs w:val="24"/>
        </w:rPr>
        <w:fldChar w:fldCharType="separate"/>
      </w:r>
      <w:r w:rsidR="00CE14B9">
        <w:rPr>
          <w:noProof/>
          <w:sz w:val="24"/>
          <w:szCs w:val="24"/>
        </w:rPr>
        <w:t>(</w:t>
      </w:r>
      <w:proofErr w:type="spellStart"/>
      <w:r w:rsidR="00CE14B9">
        <w:rPr>
          <w:noProof/>
          <w:sz w:val="24"/>
          <w:szCs w:val="24"/>
        </w:rPr>
        <w:t>Kaartti</w:t>
      </w:r>
      <w:proofErr w:type="spellEnd"/>
      <w:r w:rsidR="00CE14B9">
        <w:rPr>
          <w:noProof/>
          <w:sz w:val="24"/>
          <w:szCs w:val="24"/>
        </w:rPr>
        <w:t>, Ojasalo and Wait, 2025)</w:t>
      </w:r>
      <w:r w:rsidR="00CE14B9">
        <w:rPr>
          <w:sz w:val="24"/>
          <w:szCs w:val="24"/>
        </w:rPr>
        <w:fldChar w:fldCharType="end"/>
      </w:r>
      <w:r w:rsidR="00230B3D" w:rsidRPr="00230B3D">
        <w:rPr>
          <w:sz w:val="24"/>
          <w:szCs w:val="24"/>
        </w:rPr>
        <w:t>.</w:t>
      </w:r>
    </w:p>
    <w:p w14:paraId="3CCAAB9E" w14:textId="77777777" w:rsidR="008944CF" w:rsidRPr="00FE13BD" w:rsidRDefault="008944CF" w:rsidP="006134AD">
      <w:pPr>
        <w:spacing w:line="360" w:lineRule="auto"/>
        <w:rPr>
          <w:rFonts w:hint="eastAsia"/>
          <w:sz w:val="24"/>
          <w:szCs w:val="24"/>
        </w:rPr>
      </w:pPr>
    </w:p>
    <w:p w14:paraId="74578D96" w14:textId="42F43EBE" w:rsidR="006134AD" w:rsidRPr="00AF28EB" w:rsidRDefault="00064E4A" w:rsidP="006134AD">
      <w:pPr>
        <w:spacing w:line="360" w:lineRule="auto"/>
        <w:rPr>
          <w:rFonts w:hint="eastAsia"/>
          <w:b/>
          <w:bCs/>
          <w:sz w:val="28"/>
          <w:szCs w:val="28"/>
        </w:rPr>
      </w:pPr>
      <w:r>
        <w:rPr>
          <w:rFonts w:hint="eastAsia"/>
          <w:b/>
          <w:bCs/>
          <w:sz w:val="28"/>
          <w:szCs w:val="28"/>
        </w:rPr>
        <w:t>4</w:t>
      </w:r>
      <w:r w:rsidR="006134AD" w:rsidRPr="00AF28EB">
        <w:rPr>
          <w:rFonts w:hint="eastAsia"/>
          <w:b/>
          <w:bCs/>
          <w:sz w:val="28"/>
          <w:szCs w:val="28"/>
        </w:rPr>
        <w:t xml:space="preserve">.0 </w:t>
      </w:r>
      <w:r w:rsidR="006134AD" w:rsidRPr="00AF28EB">
        <w:rPr>
          <w:b/>
          <w:bCs/>
          <w:sz w:val="28"/>
          <w:szCs w:val="28"/>
        </w:rPr>
        <w:t>Conclusion</w:t>
      </w:r>
    </w:p>
    <w:p w14:paraId="270106BA" w14:textId="77777777" w:rsidR="00744B11" w:rsidRPr="00744B11" w:rsidRDefault="00744B11" w:rsidP="00744B11">
      <w:pPr>
        <w:spacing w:line="360" w:lineRule="auto"/>
        <w:rPr>
          <w:sz w:val="24"/>
          <w:szCs w:val="24"/>
        </w:rPr>
      </w:pPr>
      <w:r w:rsidRPr="00744B11">
        <w:rPr>
          <w:sz w:val="24"/>
          <w:szCs w:val="24"/>
        </w:rPr>
        <w:t>By studying the communication conflicts between British and French enterprises, I gained an understanding of the dynamic process of cross-cultural communication. The analyzed events were not isolated incidents but manifestations of cultural differences. I believe that the core reason for these conflicts lies in the inconsistent communication styles of the UK and France. To enable the two countries to effectively engage in cross-cultural communication, appropriate solutions are needed.</w:t>
      </w:r>
    </w:p>
    <w:p w14:paraId="6D6BC564" w14:textId="77777777" w:rsidR="00744B11" w:rsidRPr="00744B11" w:rsidRDefault="00744B11" w:rsidP="00744B11">
      <w:pPr>
        <w:spacing w:line="360" w:lineRule="auto"/>
        <w:rPr>
          <w:sz w:val="24"/>
          <w:szCs w:val="24"/>
        </w:rPr>
      </w:pPr>
      <w:r w:rsidRPr="00744B11">
        <w:rPr>
          <w:sz w:val="24"/>
          <w:szCs w:val="24"/>
        </w:rPr>
        <w:t>I believe that effective conflict resolution depends on the combination of knowledge, flexibility, and empathy. Cultural training provides people with a basic understanding of French cultural norms, adaptive communication transforms this understanding into behavior, and mediation can solve persistent conflicts. For the UK and France, successful cross-cultural communication is the communication style that respects French cultural characteristics while retaining British advantages and forms a cultural synergy effect.</w:t>
      </w:r>
    </w:p>
    <w:p w14:paraId="5C940705" w14:textId="5A807387" w:rsidR="006134AD" w:rsidRPr="00FE13BD" w:rsidRDefault="00744B11" w:rsidP="00744B11">
      <w:pPr>
        <w:spacing w:line="360" w:lineRule="auto"/>
        <w:rPr>
          <w:sz w:val="24"/>
          <w:szCs w:val="24"/>
        </w:rPr>
      </w:pPr>
      <w:r w:rsidRPr="00744B11">
        <w:rPr>
          <w:sz w:val="24"/>
          <w:szCs w:val="24"/>
        </w:rPr>
        <w:t xml:space="preserve">This reflection has also changed my personal approach to cross-cultural communication. I recognize that cross-cultural communication requires a deeper understanding of culture. Effective communication is not just a matter of language ability; it also involves other aspects such as culture and context. The communication conflicts between British and French enterprises stem from systematic differences, and these issues can be resolved through appropriate strategies. By applying Boud's reflection model, I understood its causes. This process not only enhanced my academic understanding of cross-cultural communication but also enabled me to have the ability </w:t>
      </w:r>
      <w:r w:rsidRPr="00744B11">
        <w:rPr>
          <w:sz w:val="24"/>
          <w:szCs w:val="24"/>
        </w:rPr>
        <w:lastRenderedPageBreak/>
        <w:t>to handle such issues in future international business activities.</w:t>
      </w:r>
    </w:p>
    <w:p w14:paraId="2955EE7E" w14:textId="77777777" w:rsidR="006134AD" w:rsidRPr="00FE13BD" w:rsidRDefault="006134AD" w:rsidP="006134AD">
      <w:pPr>
        <w:spacing w:line="360" w:lineRule="auto"/>
        <w:rPr>
          <w:sz w:val="24"/>
          <w:szCs w:val="24"/>
        </w:rPr>
      </w:pPr>
    </w:p>
    <w:p w14:paraId="622B0877" w14:textId="77777777" w:rsidR="006134AD" w:rsidRPr="00FE13BD" w:rsidRDefault="006134AD" w:rsidP="006134AD">
      <w:pPr>
        <w:spacing w:line="360" w:lineRule="auto"/>
        <w:rPr>
          <w:sz w:val="24"/>
          <w:szCs w:val="24"/>
        </w:rPr>
      </w:pPr>
    </w:p>
    <w:p w14:paraId="2C808CE6" w14:textId="77777777" w:rsidR="00CE14B9" w:rsidRDefault="00CE14B9" w:rsidP="006134AD">
      <w:pPr>
        <w:spacing w:line="360" w:lineRule="auto"/>
        <w:rPr>
          <w:b/>
          <w:bCs/>
          <w:sz w:val="28"/>
          <w:szCs w:val="28"/>
        </w:rPr>
      </w:pPr>
    </w:p>
    <w:p w14:paraId="4C549C1B" w14:textId="77777777" w:rsidR="00CE14B9" w:rsidRDefault="00CE14B9" w:rsidP="006134AD">
      <w:pPr>
        <w:spacing w:line="360" w:lineRule="auto"/>
        <w:rPr>
          <w:b/>
          <w:bCs/>
          <w:sz w:val="28"/>
          <w:szCs w:val="28"/>
        </w:rPr>
      </w:pPr>
    </w:p>
    <w:p w14:paraId="3D3A4F75" w14:textId="77777777" w:rsidR="00CE14B9" w:rsidRDefault="00CE14B9" w:rsidP="006134AD">
      <w:pPr>
        <w:spacing w:line="360" w:lineRule="auto"/>
        <w:rPr>
          <w:b/>
          <w:bCs/>
          <w:sz w:val="28"/>
          <w:szCs w:val="28"/>
        </w:rPr>
      </w:pPr>
    </w:p>
    <w:p w14:paraId="085A5C2E" w14:textId="77777777" w:rsidR="00CE14B9" w:rsidRDefault="00CE14B9" w:rsidP="006134AD">
      <w:pPr>
        <w:spacing w:line="360" w:lineRule="auto"/>
        <w:rPr>
          <w:b/>
          <w:bCs/>
          <w:sz w:val="28"/>
          <w:szCs w:val="28"/>
        </w:rPr>
      </w:pPr>
    </w:p>
    <w:p w14:paraId="406D1BF6" w14:textId="77777777" w:rsidR="00CE14B9" w:rsidRDefault="00CE14B9" w:rsidP="006134AD">
      <w:pPr>
        <w:spacing w:line="360" w:lineRule="auto"/>
        <w:rPr>
          <w:b/>
          <w:bCs/>
          <w:sz w:val="28"/>
          <w:szCs w:val="28"/>
        </w:rPr>
      </w:pPr>
    </w:p>
    <w:p w14:paraId="2198E70D" w14:textId="77777777" w:rsidR="00CE14B9" w:rsidRDefault="00CE14B9" w:rsidP="006134AD">
      <w:pPr>
        <w:spacing w:line="360" w:lineRule="auto"/>
        <w:rPr>
          <w:b/>
          <w:bCs/>
          <w:sz w:val="28"/>
          <w:szCs w:val="28"/>
        </w:rPr>
      </w:pPr>
    </w:p>
    <w:p w14:paraId="3CBF33DE" w14:textId="77777777" w:rsidR="00CE14B9" w:rsidRDefault="00CE14B9" w:rsidP="006134AD">
      <w:pPr>
        <w:spacing w:line="360" w:lineRule="auto"/>
        <w:rPr>
          <w:b/>
          <w:bCs/>
          <w:sz w:val="28"/>
          <w:szCs w:val="28"/>
        </w:rPr>
      </w:pPr>
    </w:p>
    <w:p w14:paraId="3937AAD0" w14:textId="77777777" w:rsidR="00CE14B9" w:rsidRDefault="00CE14B9" w:rsidP="006134AD">
      <w:pPr>
        <w:spacing w:line="360" w:lineRule="auto"/>
        <w:rPr>
          <w:b/>
          <w:bCs/>
          <w:sz w:val="28"/>
          <w:szCs w:val="28"/>
        </w:rPr>
      </w:pPr>
    </w:p>
    <w:p w14:paraId="5CE67969" w14:textId="77777777" w:rsidR="00CE14B9" w:rsidRDefault="00CE14B9" w:rsidP="006134AD">
      <w:pPr>
        <w:spacing w:line="360" w:lineRule="auto"/>
        <w:rPr>
          <w:b/>
          <w:bCs/>
          <w:sz w:val="28"/>
          <w:szCs w:val="28"/>
        </w:rPr>
      </w:pPr>
    </w:p>
    <w:p w14:paraId="124A53BB" w14:textId="77777777" w:rsidR="00CE14B9" w:rsidRDefault="00CE14B9" w:rsidP="006134AD">
      <w:pPr>
        <w:spacing w:line="360" w:lineRule="auto"/>
        <w:rPr>
          <w:b/>
          <w:bCs/>
          <w:sz w:val="28"/>
          <w:szCs w:val="28"/>
        </w:rPr>
      </w:pPr>
    </w:p>
    <w:p w14:paraId="2D814800" w14:textId="77777777" w:rsidR="00CE14B9" w:rsidRDefault="00CE14B9" w:rsidP="006134AD">
      <w:pPr>
        <w:spacing w:line="360" w:lineRule="auto"/>
        <w:rPr>
          <w:b/>
          <w:bCs/>
          <w:sz w:val="28"/>
          <w:szCs w:val="28"/>
        </w:rPr>
      </w:pPr>
    </w:p>
    <w:p w14:paraId="36DABEC7" w14:textId="77777777" w:rsidR="00CE14B9" w:rsidRDefault="00CE14B9" w:rsidP="006134AD">
      <w:pPr>
        <w:spacing w:line="360" w:lineRule="auto"/>
        <w:rPr>
          <w:b/>
          <w:bCs/>
          <w:sz w:val="28"/>
          <w:szCs w:val="28"/>
        </w:rPr>
      </w:pPr>
    </w:p>
    <w:p w14:paraId="1E429501" w14:textId="77777777" w:rsidR="00CE14B9" w:rsidRDefault="00CE14B9" w:rsidP="006134AD">
      <w:pPr>
        <w:spacing w:line="360" w:lineRule="auto"/>
        <w:rPr>
          <w:b/>
          <w:bCs/>
          <w:sz w:val="28"/>
          <w:szCs w:val="28"/>
        </w:rPr>
      </w:pPr>
    </w:p>
    <w:p w14:paraId="6E866E0F" w14:textId="77777777" w:rsidR="00CE14B9" w:rsidRDefault="00CE14B9" w:rsidP="006134AD">
      <w:pPr>
        <w:spacing w:line="360" w:lineRule="auto"/>
        <w:rPr>
          <w:b/>
          <w:bCs/>
          <w:sz w:val="28"/>
          <w:szCs w:val="28"/>
        </w:rPr>
      </w:pPr>
    </w:p>
    <w:p w14:paraId="48793FB2" w14:textId="77777777" w:rsidR="00CE14B9" w:rsidRDefault="00CE14B9" w:rsidP="006134AD">
      <w:pPr>
        <w:spacing w:line="360" w:lineRule="auto"/>
        <w:rPr>
          <w:b/>
          <w:bCs/>
          <w:sz w:val="28"/>
          <w:szCs w:val="28"/>
        </w:rPr>
      </w:pPr>
    </w:p>
    <w:p w14:paraId="41E46DBC" w14:textId="77777777" w:rsidR="00CE14B9" w:rsidRDefault="00CE14B9" w:rsidP="006134AD">
      <w:pPr>
        <w:spacing w:line="360" w:lineRule="auto"/>
        <w:rPr>
          <w:b/>
          <w:bCs/>
          <w:sz w:val="28"/>
          <w:szCs w:val="28"/>
        </w:rPr>
      </w:pPr>
    </w:p>
    <w:p w14:paraId="42A19F8B" w14:textId="77777777" w:rsidR="00CE14B9" w:rsidRDefault="00CE14B9" w:rsidP="006134AD">
      <w:pPr>
        <w:spacing w:line="360" w:lineRule="auto"/>
        <w:rPr>
          <w:b/>
          <w:bCs/>
          <w:sz w:val="28"/>
          <w:szCs w:val="28"/>
        </w:rPr>
      </w:pPr>
    </w:p>
    <w:p w14:paraId="3AF13C39" w14:textId="77777777" w:rsidR="00CE14B9" w:rsidRDefault="00CE14B9" w:rsidP="006134AD">
      <w:pPr>
        <w:spacing w:line="360" w:lineRule="auto"/>
        <w:rPr>
          <w:b/>
          <w:bCs/>
          <w:sz w:val="28"/>
          <w:szCs w:val="28"/>
        </w:rPr>
      </w:pPr>
    </w:p>
    <w:p w14:paraId="686DF74F" w14:textId="6FC17424" w:rsidR="006134AD" w:rsidRPr="00477066" w:rsidRDefault="006134AD" w:rsidP="006134AD">
      <w:pPr>
        <w:spacing w:line="360" w:lineRule="auto"/>
        <w:rPr>
          <w:rFonts w:hint="eastAsia"/>
          <w:b/>
          <w:bCs/>
          <w:sz w:val="28"/>
          <w:szCs w:val="28"/>
        </w:rPr>
      </w:pPr>
      <w:r w:rsidRPr="00477066">
        <w:rPr>
          <w:b/>
          <w:bCs/>
          <w:sz w:val="28"/>
          <w:szCs w:val="28"/>
        </w:rPr>
        <w:t>References</w:t>
      </w:r>
    </w:p>
    <w:p w14:paraId="674BCE6E" w14:textId="77777777" w:rsidR="00CE14B9" w:rsidRPr="00CE14B9" w:rsidRDefault="009801D9" w:rsidP="00CE14B9">
      <w:pPr>
        <w:pStyle w:val="af1"/>
        <w:rPr>
          <w:rFonts w:cs="Calibri"/>
          <w:sz w:val="24"/>
        </w:rPr>
      </w:pPr>
      <w:r>
        <w:fldChar w:fldCharType="begin"/>
      </w:r>
      <w:r>
        <w:instrText xml:space="preserve"> ADDIN ZOTERO_BIBL {"uncited":[],"omitted":[],"custom":[]} CSL_BIBLIOGRAPHY </w:instrText>
      </w:r>
      <w:r>
        <w:fldChar w:fldCharType="separate"/>
      </w:r>
      <w:r w:rsidR="00CE14B9" w:rsidRPr="00CE14B9">
        <w:rPr>
          <w:rFonts w:cs="Calibri"/>
          <w:sz w:val="24"/>
        </w:rPr>
        <w:t xml:space="preserve">Agustina, V., Thamrin, N.R. and </w:t>
      </w:r>
      <w:proofErr w:type="spellStart"/>
      <w:r w:rsidR="00CE14B9" w:rsidRPr="00CE14B9">
        <w:rPr>
          <w:rFonts w:cs="Calibri"/>
          <w:sz w:val="24"/>
        </w:rPr>
        <w:t>Oktoma</w:t>
      </w:r>
      <w:proofErr w:type="spellEnd"/>
      <w:r w:rsidR="00CE14B9" w:rsidRPr="00CE14B9">
        <w:rPr>
          <w:rFonts w:cs="Calibri"/>
          <w:sz w:val="24"/>
        </w:rPr>
        <w:t xml:space="preserve">, E. (2024) ‘The Role of English Language Proficiency in the Global Economy and Business Communication’, </w:t>
      </w:r>
      <w:r w:rsidR="00CE14B9" w:rsidRPr="00CE14B9">
        <w:rPr>
          <w:rFonts w:cs="Calibri"/>
          <w:i/>
          <w:iCs/>
          <w:sz w:val="24"/>
        </w:rPr>
        <w:t>International Journal Administration, Business &amp; Organization</w:t>
      </w:r>
      <w:r w:rsidR="00CE14B9" w:rsidRPr="00CE14B9">
        <w:rPr>
          <w:rFonts w:cs="Calibri"/>
          <w:sz w:val="24"/>
        </w:rPr>
        <w:t>, 5(4), pp. 82–90. Available at: https://doi.org/10.61242/ijabo.24.423.</w:t>
      </w:r>
    </w:p>
    <w:p w14:paraId="623B5097" w14:textId="77777777" w:rsidR="00CE14B9" w:rsidRPr="00CE14B9" w:rsidRDefault="00CE14B9" w:rsidP="00CE14B9">
      <w:pPr>
        <w:pStyle w:val="af1"/>
        <w:rPr>
          <w:rFonts w:cs="Calibri"/>
          <w:sz w:val="24"/>
        </w:rPr>
      </w:pPr>
      <w:r w:rsidRPr="00CE14B9">
        <w:rPr>
          <w:rFonts w:cs="Calibri"/>
          <w:sz w:val="24"/>
        </w:rPr>
        <w:t xml:space="preserve">Baldwin, R. and Wyplosz, C. (2022) </w:t>
      </w:r>
      <w:r w:rsidRPr="00CE14B9">
        <w:rPr>
          <w:rFonts w:cs="Calibri"/>
          <w:i/>
          <w:iCs/>
          <w:sz w:val="24"/>
        </w:rPr>
        <w:t>EBOOK The Economics of European Integration 7e</w:t>
      </w:r>
      <w:r w:rsidRPr="00CE14B9">
        <w:rPr>
          <w:rFonts w:cs="Calibri"/>
          <w:sz w:val="24"/>
        </w:rPr>
        <w:t>. McGraw Hill.</w:t>
      </w:r>
    </w:p>
    <w:p w14:paraId="188F89A6" w14:textId="77777777" w:rsidR="00CE14B9" w:rsidRPr="00CE14B9" w:rsidRDefault="00CE14B9" w:rsidP="00CE14B9">
      <w:pPr>
        <w:pStyle w:val="af1"/>
        <w:rPr>
          <w:rFonts w:cs="Calibri"/>
          <w:sz w:val="24"/>
        </w:rPr>
      </w:pPr>
      <w:r w:rsidRPr="00CE14B9">
        <w:rPr>
          <w:rFonts w:cs="Calibri"/>
          <w:sz w:val="24"/>
        </w:rPr>
        <w:t xml:space="preserve">Barnes, F. and Higgins, D.M. (2022) ‘Brand image, cultural association and marketing: “New Zealand” butter and lamb exports to Britain, c. 1920–1938’, in </w:t>
      </w:r>
      <w:r w:rsidRPr="00CE14B9">
        <w:rPr>
          <w:rFonts w:cs="Calibri"/>
          <w:i/>
          <w:iCs/>
          <w:sz w:val="24"/>
        </w:rPr>
        <w:t>The Brand and Its History</w:t>
      </w:r>
      <w:r w:rsidRPr="00CE14B9">
        <w:rPr>
          <w:rFonts w:cs="Calibri"/>
          <w:sz w:val="24"/>
        </w:rPr>
        <w:t>. Routledge.</w:t>
      </w:r>
    </w:p>
    <w:p w14:paraId="55A06225" w14:textId="77777777" w:rsidR="00CE14B9" w:rsidRPr="00CE14B9" w:rsidRDefault="00CE14B9" w:rsidP="00CE14B9">
      <w:pPr>
        <w:pStyle w:val="af1"/>
        <w:rPr>
          <w:rFonts w:cs="Calibri"/>
          <w:sz w:val="24"/>
        </w:rPr>
      </w:pPr>
      <w:r w:rsidRPr="00CE14B9">
        <w:rPr>
          <w:rFonts w:cs="Calibri"/>
          <w:sz w:val="24"/>
        </w:rPr>
        <w:t xml:space="preserve">de Blasio, G., Scalise, D. and Sestito, P. (2021) ‘Universalism vs. particularism: a round trip from sociology to economics’, </w:t>
      </w:r>
      <w:r w:rsidRPr="00CE14B9">
        <w:rPr>
          <w:rFonts w:cs="Calibri"/>
          <w:i/>
          <w:iCs/>
          <w:sz w:val="24"/>
        </w:rPr>
        <w:t>Review of Social Economy</w:t>
      </w:r>
      <w:r w:rsidRPr="00CE14B9">
        <w:rPr>
          <w:rFonts w:cs="Calibri"/>
          <w:sz w:val="24"/>
        </w:rPr>
        <w:t>, 79(2), pp. 286–309. Available at: https://doi.org/10.1080/00346764.2019.1663908.</w:t>
      </w:r>
    </w:p>
    <w:p w14:paraId="04E2122B" w14:textId="77777777" w:rsidR="00CE14B9" w:rsidRPr="00CE14B9" w:rsidRDefault="00CE14B9" w:rsidP="00CE14B9">
      <w:pPr>
        <w:pStyle w:val="af1"/>
        <w:rPr>
          <w:rFonts w:cs="Calibri"/>
          <w:sz w:val="24"/>
        </w:rPr>
      </w:pPr>
      <w:r w:rsidRPr="00CE14B9">
        <w:rPr>
          <w:rFonts w:cs="Calibri"/>
          <w:sz w:val="24"/>
        </w:rPr>
        <w:t xml:space="preserve">Broeder, P. (2021) ‘Informed communication in high context and low context cultures’, </w:t>
      </w:r>
      <w:r w:rsidRPr="00CE14B9">
        <w:rPr>
          <w:rFonts w:cs="Calibri"/>
          <w:i/>
          <w:iCs/>
          <w:sz w:val="24"/>
        </w:rPr>
        <w:t>Journal of Education, Innovation and Communication</w:t>
      </w:r>
      <w:r w:rsidRPr="00CE14B9">
        <w:rPr>
          <w:rFonts w:cs="Calibri"/>
          <w:sz w:val="24"/>
        </w:rPr>
        <w:t>, 3(1), pp. 13–24. Available at: https://doi.org/10.3316/informit.T2024112300002991733147340.</w:t>
      </w:r>
    </w:p>
    <w:p w14:paraId="6FDF9E3C" w14:textId="77777777" w:rsidR="00CE14B9" w:rsidRPr="00CE14B9" w:rsidRDefault="00CE14B9" w:rsidP="00CE14B9">
      <w:pPr>
        <w:pStyle w:val="af1"/>
        <w:rPr>
          <w:rFonts w:cs="Calibri"/>
          <w:sz w:val="24"/>
        </w:rPr>
      </w:pPr>
      <w:r w:rsidRPr="00CE14B9">
        <w:rPr>
          <w:rFonts w:cs="Calibri"/>
          <w:sz w:val="24"/>
        </w:rPr>
        <w:t xml:space="preserve">Chen, Y. (Viviane) (2023) ‘Resonating with the consumer desires behind the screen – consumer-centric tourism advertising and new technology applications’, </w:t>
      </w:r>
      <w:r w:rsidRPr="00CE14B9">
        <w:rPr>
          <w:rFonts w:cs="Calibri"/>
          <w:i/>
          <w:iCs/>
          <w:sz w:val="24"/>
        </w:rPr>
        <w:t>Journal of Business &amp; Industrial Marketing</w:t>
      </w:r>
      <w:r w:rsidRPr="00CE14B9">
        <w:rPr>
          <w:rFonts w:cs="Calibri"/>
          <w:sz w:val="24"/>
        </w:rPr>
        <w:t>, 39(1), pp. 99–115. Available at: https://doi.org/10.1108/JBIM-01-2023-0033.</w:t>
      </w:r>
    </w:p>
    <w:p w14:paraId="70C660D9" w14:textId="77777777" w:rsidR="00CE14B9" w:rsidRPr="00CE14B9" w:rsidRDefault="00CE14B9" w:rsidP="00CE14B9">
      <w:pPr>
        <w:pStyle w:val="af1"/>
        <w:rPr>
          <w:rFonts w:cs="Calibri"/>
          <w:sz w:val="24"/>
        </w:rPr>
      </w:pPr>
      <w:r w:rsidRPr="00CE14B9">
        <w:rPr>
          <w:rFonts w:cs="Calibri"/>
          <w:sz w:val="24"/>
        </w:rPr>
        <w:t xml:space="preserve">Dong, Q. </w:t>
      </w:r>
      <w:r w:rsidRPr="00CE14B9">
        <w:rPr>
          <w:rFonts w:cs="Calibri"/>
          <w:i/>
          <w:iCs/>
          <w:sz w:val="24"/>
        </w:rPr>
        <w:t>et al.</w:t>
      </w:r>
      <w:r w:rsidRPr="00CE14B9">
        <w:rPr>
          <w:rFonts w:cs="Calibri"/>
          <w:sz w:val="24"/>
        </w:rPr>
        <w:t xml:space="preserve"> (2025) ‘Attention allocation to customer feedback: Absorbing knowledge for digital innovation in management responses’, </w:t>
      </w:r>
      <w:r w:rsidRPr="00CE14B9">
        <w:rPr>
          <w:rFonts w:cs="Calibri"/>
          <w:i/>
          <w:iCs/>
          <w:sz w:val="24"/>
        </w:rPr>
        <w:t>Electronic Commerce Research and Applications</w:t>
      </w:r>
      <w:r w:rsidRPr="00CE14B9">
        <w:rPr>
          <w:rFonts w:cs="Calibri"/>
          <w:sz w:val="24"/>
        </w:rPr>
        <w:t>, 73, p. 101538. Available at: https://doi.org/10.1016/j.elerap.2025.101538.</w:t>
      </w:r>
    </w:p>
    <w:p w14:paraId="057E6B2F" w14:textId="77777777" w:rsidR="00CE14B9" w:rsidRPr="00CE14B9" w:rsidRDefault="00CE14B9" w:rsidP="00CE14B9">
      <w:pPr>
        <w:pStyle w:val="af1"/>
        <w:rPr>
          <w:rFonts w:cs="Calibri"/>
          <w:sz w:val="24"/>
        </w:rPr>
      </w:pPr>
      <w:r w:rsidRPr="00CE14B9">
        <w:rPr>
          <w:rFonts w:cs="Calibri"/>
          <w:sz w:val="24"/>
        </w:rPr>
        <w:t xml:space="preserve">E, F. and </w:t>
      </w:r>
      <w:proofErr w:type="spellStart"/>
      <w:r w:rsidRPr="00CE14B9">
        <w:rPr>
          <w:rFonts w:cs="Calibri"/>
          <w:sz w:val="24"/>
        </w:rPr>
        <w:t>Poorhakak</w:t>
      </w:r>
      <w:proofErr w:type="spellEnd"/>
      <w:r w:rsidRPr="00CE14B9">
        <w:rPr>
          <w:rFonts w:cs="Calibri"/>
          <w:sz w:val="24"/>
        </w:rPr>
        <w:t xml:space="preserve"> (2023) ‘Group Reflection Based on the Boud et al.’s Model’, </w:t>
      </w:r>
      <w:r w:rsidRPr="00CE14B9">
        <w:rPr>
          <w:rFonts w:cs="Calibri"/>
          <w:i/>
          <w:iCs/>
          <w:sz w:val="24"/>
        </w:rPr>
        <w:t>Journal of Medical Education and Development</w:t>
      </w:r>
      <w:r w:rsidRPr="00CE14B9">
        <w:rPr>
          <w:rFonts w:cs="Calibri"/>
          <w:sz w:val="24"/>
        </w:rPr>
        <w:t xml:space="preserve"> [Preprint]. Available at: https://doi.org/10.18502/jmed.v18i2.13668.</w:t>
      </w:r>
    </w:p>
    <w:p w14:paraId="5DE29169" w14:textId="77777777" w:rsidR="00CE14B9" w:rsidRPr="00CE14B9" w:rsidRDefault="00CE14B9" w:rsidP="00CE14B9">
      <w:pPr>
        <w:pStyle w:val="af1"/>
        <w:rPr>
          <w:rFonts w:cs="Calibri"/>
          <w:sz w:val="24"/>
        </w:rPr>
      </w:pPr>
      <w:r w:rsidRPr="00CE14B9">
        <w:rPr>
          <w:rFonts w:cs="Calibri"/>
          <w:sz w:val="24"/>
        </w:rPr>
        <w:t xml:space="preserve">Fuchs, C. (2023) ‘A Marxist-Humanist perspective on Stuart Hall’s communication theory’, </w:t>
      </w:r>
      <w:r w:rsidRPr="00CE14B9">
        <w:rPr>
          <w:rFonts w:cs="Calibri"/>
          <w:i/>
          <w:iCs/>
          <w:sz w:val="24"/>
        </w:rPr>
        <w:t>Theory and Society</w:t>
      </w:r>
      <w:r w:rsidRPr="00CE14B9">
        <w:rPr>
          <w:rFonts w:cs="Calibri"/>
          <w:sz w:val="24"/>
        </w:rPr>
        <w:t>, 52(6), pp. 995–1029. Available at: https://doi.org/10.1007/s11186-023-09524-5.</w:t>
      </w:r>
    </w:p>
    <w:p w14:paraId="57F150D8" w14:textId="77777777" w:rsidR="00CE14B9" w:rsidRPr="00CE14B9" w:rsidRDefault="00CE14B9" w:rsidP="00CE14B9">
      <w:pPr>
        <w:pStyle w:val="af1"/>
        <w:rPr>
          <w:rFonts w:cs="Calibri"/>
          <w:sz w:val="24"/>
        </w:rPr>
      </w:pPr>
      <w:r w:rsidRPr="00CE14B9">
        <w:rPr>
          <w:rFonts w:cs="Calibri"/>
          <w:sz w:val="24"/>
        </w:rPr>
        <w:t xml:space="preserve">Garcia-Perez, D.A. and Simkin, P.L. (2021) </w:t>
      </w:r>
      <w:r w:rsidRPr="00CE14B9">
        <w:rPr>
          <w:rFonts w:cs="Calibri"/>
          <w:i/>
          <w:iCs/>
          <w:sz w:val="24"/>
        </w:rPr>
        <w:t>ECKM 2021 22nd European Conference on Knowledge Management</w:t>
      </w:r>
      <w:r w:rsidRPr="00CE14B9">
        <w:rPr>
          <w:rFonts w:cs="Calibri"/>
          <w:sz w:val="24"/>
        </w:rPr>
        <w:t>. Academic Conferences limited.</w:t>
      </w:r>
    </w:p>
    <w:p w14:paraId="5FB7574B" w14:textId="77777777" w:rsidR="00CE14B9" w:rsidRPr="00CE14B9" w:rsidRDefault="00CE14B9" w:rsidP="00CE14B9">
      <w:pPr>
        <w:pStyle w:val="af1"/>
        <w:rPr>
          <w:rFonts w:cs="Calibri"/>
          <w:sz w:val="24"/>
        </w:rPr>
      </w:pPr>
      <w:r w:rsidRPr="00CE14B9">
        <w:rPr>
          <w:rFonts w:cs="Calibri"/>
          <w:sz w:val="24"/>
        </w:rPr>
        <w:t xml:space="preserve">Heydari, A. </w:t>
      </w:r>
      <w:r w:rsidRPr="00CE14B9">
        <w:rPr>
          <w:rFonts w:cs="Calibri"/>
          <w:i/>
          <w:iCs/>
          <w:sz w:val="24"/>
        </w:rPr>
        <w:t>et al.</w:t>
      </w:r>
      <w:r w:rsidRPr="00CE14B9">
        <w:rPr>
          <w:rFonts w:cs="Calibri"/>
          <w:sz w:val="24"/>
        </w:rPr>
        <w:t xml:space="preserve"> (2021) ‘Hofstede’s individual-level indulgence dimension: Scale development and validation’, </w:t>
      </w:r>
      <w:r w:rsidRPr="00CE14B9">
        <w:rPr>
          <w:rFonts w:cs="Calibri"/>
          <w:i/>
          <w:iCs/>
          <w:sz w:val="24"/>
        </w:rPr>
        <w:t>Journal of Retailing and Consumer Services</w:t>
      </w:r>
      <w:r w:rsidRPr="00CE14B9">
        <w:rPr>
          <w:rFonts w:cs="Calibri"/>
          <w:sz w:val="24"/>
        </w:rPr>
        <w:t>, 62, p. 102640. Available at: https://doi.org/10.1016/j.jretconser.2021.102640.</w:t>
      </w:r>
    </w:p>
    <w:p w14:paraId="179CB682" w14:textId="5CFEBC27" w:rsidR="00CE14B9" w:rsidRPr="00CE14B9" w:rsidRDefault="00CE14B9" w:rsidP="00CE14B9">
      <w:pPr>
        <w:pStyle w:val="af1"/>
        <w:rPr>
          <w:rFonts w:cs="Calibri"/>
          <w:sz w:val="24"/>
        </w:rPr>
      </w:pPr>
      <w:r w:rsidRPr="00CE14B9">
        <w:rPr>
          <w:rFonts w:cs="Calibri"/>
          <w:sz w:val="24"/>
        </w:rPr>
        <w:t>‘Hofstede’s Cultural Dimensions Theory’ (2022), 3 November. Available at: https://www.simplypsychology.org/hofstedes-cultural-dimensions-theory.html (Accessed: 1 December 2025).</w:t>
      </w:r>
    </w:p>
    <w:p w14:paraId="72126008" w14:textId="77777777" w:rsidR="00CE14B9" w:rsidRPr="00CE14B9" w:rsidRDefault="00CE14B9" w:rsidP="00CE14B9">
      <w:pPr>
        <w:pStyle w:val="af1"/>
        <w:rPr>
          <w:rFonts w:cs="Calibri"/>
          <w:sz w:val="24"/>
        </w:rPr>
      </w:pPr>
      <w:proofErr w:type="spellStart"/>
      <w:r w:rsidRPr="00CE14B9">
        <w:rPr>
          <w:rFonts w:cs="Calibri"/>
          <w:sz w:val="24"/>
        </w:rPr>
        <w:t>Kaartti</w:t>
      </w:r>
      <w:proofErr w:type="spellEnd"/>
      <w:r w:rsidRPr="00CE14B9">
        <w:rPr>
          <w:rFonts w:cs="Calibri"/>
          <w:sz w:val="24"/>
        </w:rPr>
        <w:t xml:space="preserve">, V., </w:t>
      </w:r>
      <w:proofErr w:type="spellStart"/>
      <w:r w:rsidRPr="00CE14B9">
        <w:rPr>
          <w:rFonts w:cs="Calibri"/>
          <w:sz w:val="24"/>
        </w:rPr>
        <w:t>Ojasalo</w:t>
      </w:r>
      <w:proofErr w:type="spellEnd"/>
      <w:r w:rsidRPr="00CE14B9">
        <w:rPr>
          <w:rFonts w:cs="Calibri"/>
          <w:sz w:val="24"/>
        </w:rPr>
        <w:t xml:space="preserve">, J. and Wait, M. (2025) ‘Implementing a customer-centric strategy through service design in financial </w:t>
      </w:r>
      <w:proofErr w:type="spellStart"/>
      <w:r w:rsidRPr="00CE14B9">
        <w:rPr>
          <w:rFonts w:cs="Calibri"/>
          <w:sz w:val="24"/>
        </w:rPr>
        <w:t>organisations</w:t>
      </w:r>
      <w:proofErr w:type="spellEnd"/>
      <w:r w:rsidRPr="00CE14B9">
        <w:rPr>
          <w:rFonts w:cs="Calibri"/>
          <w:sz w:val="24"/>
        </w:rPr>
        <w:t xml:space="preserve">’, </w:t>
      </w:r>
      <w:r w:rsidRPr="00CE14B9">
        <w:rPr>
          <w:rFonts w:cs="Calibri"/>
          <w:i/>
          <w:iCs/>
          <w:sz w:val="24"/>
        </w:rPr>
        <w:t>International Journal of Bank Marketing</w:t>
      </w:r>
      <w:r w:rsidRPr="00CE14B9">
        <w:rPr>
          <w:rFonts w:cs="Calibri"/>
          <w:sz w:val="24"/>
        </w:rPr>
        <w:t>, 43(5), pp. 921–942. Available at: https://doi.org/10.1108/IJBM-06-2024-0375.</w:t>
      </w:r>
    </w:p>
    <w:p w14:paraId="45FB05B2" w14:textId="77777777" w:rsidR="00CE14B9" w:rsidRPr="00CE14B9" w:rsidRDefault="00CE14B9" w:rsidP="00CE14B9">
      <w:pPr>
        <w:pStyle w:val="af1"/>
        <w:rPr>
          <w:rFonts w:cs="Calibri"/>
          <w:sz w:val="24"/>
        </w:rPr>
      </w:pPr>
      <w:r w:rsidRPr="00CE14B9">
        <w:rPr>
          <w:rFonts w:cs="Calibri"/>
          <w:sz w:val="24"/>
        </w:rPr>
        <w:t xml:space="preserve">Ladson-Billings, G. (2021) </w:t>
      </w:r>
      <w:r w:rsidRPr="00CE14B9">
        <w:rPr>
          <w:rFonts w:cs="Calibri"/>
          <w:i/>
          <w:iCs/>
          <w:sz w:val="24"/>
        </w:rPr>
        <w:t>Culturally Relevant Pedagogy: Asking a Different Question</w:t>
      </w:r>
      <w:r w:rsidRPr="00CE14B9">
        <w:rPr>
          <w:rFonts w:cs="Calibri"/>
          <w:sz w:val="24"/>
        </w:rPr>
        <w:t>. Teachers College Press.</w:t>
      </w:r>
    </w:p>
    <w:p w14:paraId="4A1661FE" w14:textId="77777777" w:rsidR="00CE14B9" w:rsidRPr="00CE14B9" w:rsidRDefault="00CE14B9" w:rsidP="00CE14B9">
      <w:pPr>
        <w:pStyle w:val="af1"/>
        <w:rPr>
          <w:rFonts w:cs="Calibri"/>
          <w:sz w:val="24"/>
        </w:rPr>
      </w:pPr>
      <w:r w:rsidRPr="00CE14B9">
        <w:rPr>
          <w:rFonts w:cs="Calibri"/>
          <w:sz w:val="24"/>
        </w:rPr>
        <w:t xml:space="preserve">Lukes, S. (2024) </w:t>
      </w:r>
      <w:r w:rsidRPr="00CE14B9">
        <w:rPr>
          <w:rFonts w:cs="Calibri"/>
          <w:i/>
          <w:iCs/>
          <w:sz w:val="24"/>
        </w:rPr>
        <w:t>Individualism</w:t>
      </w:r>
      <w:r w:rsidRPr="00CE14B9">
        <w:rPr>
          <w:rFonts w:cs="Calibri"/>
          <w:sz w:val="24"/>
        </w:rPr>
        <w:t>. ECPR Press.</w:t>
      </w:r>
    </w:p>
    <w:p w14:paraId="57BA2F6E" w14:textId="77777777" w:rsidR="00CE14B9" w:rsidRPr="00CE14B9" w:rsidRDefault="00CE14B9" w:rsidP="00CE14B9">
      <w:pPr>
        <w:pStyle w:val="af1"/>
        <w:rPr>
          <w:rFonts w:cs="Calibri"/>
          <w:sz w:val="24"/>
        </w:rPr>
      </w:pPr>
      <w:r w:rsidRPr="00CE14B9">
        <w:rPr>
          <w:rFonts w:cs="Calibri"/>
          <w:sz w:val="24"/>
        </w:rPr>
        <w:t xml:space="preserve">Mertens, D.M., Hall, J.N. and Wilson, A.T. (2025) </w:t>
      </w:r>
      <w:r w:rsidRPr="00CE14B9">
        <w:rPr>
          <w:rFonts w:cs="Calibri"/>
          <w:i/>
          <w:iCs/>
          <w:sz w:val="24"/>
        </w:rPr>
        <w:t>Program Evaluation Theory and Practice</w:t>
      </w:r>
      <w:r w:rsidRPr="00CE14B9">
        <w:rPr>
          <w:rFonts w:cs="Calibri"/>
          <w:sz w:val="24"/>
        </w:rPr>
        <w:t>. Guilford Publications.</w:t>
      </w:r>
    </w:p>
    <w:p w14:paraId="1CBA66DB" w14:textId="77777777" w:rsidR="00CE14B9" w:rsidRPr="00CE14B9" w:rsidRDefault="00CE14B9" w:rsidP="00CE14B9">
      <w:pPr>
        <w:pStyle w:val="af1"/>
        <w:rPr>
          <w:rFonts w:cs="Calibri"/>
          <w:sz w:val="24"/>
        </w:rPr>
      </w:pPr>
      <w:r w:rsidRPr="00CE14B9">
        <w:rPr>
          <w:rFonts w:cs="Calibri"/>
          <w:sz w:val="24"/>
        </w:rPr>
        <w:t xml:space="preserve">Royan, F.M., </w:t>
      </w:r>
      <w:proofErr w:type="spellStart"/>
      <w:r w:rsidRPr="00CE14B9">
        <w:rPr>
          <w:rFonts w:cs="Calibri"/>
          <w:sz w:val="24"/>
        </w:rPr>
        <w:t>Sawitri</w:t>
      </w:r>
      <w:proofErr w:type="spellEnd"/>
      <w:r w:rsidRPr="00CE14B9">
        <w:rPr>
          <w:rFonts w:cs="Calibri"/>
          <w:sz w:val="24"/>
        </w:rPr>
        <w:t xml:space="preserve">, D. and </w:t>
      </w:r>
      <w:proofErr w:type="spellStart"/>
      <w:r w:rsidRPr="00CE14B9">
        <w:rPr>
          <w:rFonts w:cs="Calibri"/>
          <w:sz w:val="24"/>
        </w:rPr>
        <w:t>Riyadi</w:t>
      </w:r>
      <w:proofErr w:type="spellEnd"/>
      <w:r w:rsidRPr="00CE14B9">
        <w:rPr>
          <w:rFonts w:cs="Calibri"/>
          <w:sz w:val="24"/>
        </w:rPr>
        <w:t xml:space="preserve">, S. (2021) ‘The Effect of </w:t>
      </w:r>
      <w:proofErr w:type="spellStart"/>
      <w:r w:rsidRPr="00CE14B9">
        <w:rPr>
          <w:rFonts w:cs="Calibri"/>
          <w:sz w:val="24"/>
        </w:rPr>
        <w:t>Multi Channel</w:t>
      </w:r>
      <w:proofErr w:type="spellEnd"/>
      <w:r w:rsidRPr="00CE14B9">
        <w:rPr>
          <w:rFonts w:cs="Calibri"/>
          <w:sz w:val="24"/>
        </w:rPr>
        <w:t xml:space="preserve"> Retailing, Cooperation </w:t>
      </w:r>
      <w:proofErr w:type="spellStart"/>
      <w:r w:rsidRPr="00CE14B9">
        <w:rPr>
          <w:rFonts w:cs="Calibri"/>
          <w:sz w:val="24"/>
        </w:rPr>
        <w:t>Synergity</w:t>
      </w:r>
      <w:proofErr w:type="spellEnd"/>
      <w:r w:rsidRPr="00CE14B9">
        <w:rPr>
          <w:rFonts w:cs="Calibri"/>
          <w:sz w:val="24"/>
        </w:rPr>
        <w:t xml:space="preserve"> and Accounting Information Systems on Business Development Strategies that Impact on Business Performance’, </w:t>
      </w:r>
      <w:r w:rsidRPr="00CE14B9">
        <w:rPr>
          <w:rFonts w:cs="Calibri"/>
          <w:i/>
          <w:iCs/>
          <w:sz w:val="24"/>
        </w:rPr>
        <w:t>Journal of Asian Multicultural Research for Economy and Management Study</w:t>
      </w:r>
      <w:r w:rsidRPr="00CE14B9">
        <w:rPr>
          <w:rFonts w:cs="Calibri"/>
          <w:sz w:val="24"/>
        </w:rPr>
        <w:t>, 2(3), pp. 69–78. Available at: https://doi.org/10.47616/jamrems.v2i3.135.</w:t>
      </w:r>
    </w:p>
    <w:p w14:paraId="36089582" w14:textId="77777777" w:rsidR="00CE14B9" w:rsidRPr="00CE14B9" w:rsidRDefault="00CE14B9" w:rsidP="00CE14B9">
      <w:pPr>
        <w:pStyle w:val="af1"/>
        <w:rPr>
          <w:rFonts w:cs="Calibri"/>
          <w:sz w:val="24"/>
        </w:rPr>
      </w:pPr>
      <w:proofErr w:type="spellStart"/>
      <w:r w:rsidRPr="00CE14B9">
        <w:rPr>
          <w:rFonts w:cs="Calibri"/>
          <w:sz w:val="24"/>
        </w:rPr>
        <w:t>Shenkar</w:t>
      </w:r>
      <w:proofErr w:type="spellEnd"/>
      <w:r w:rsidRPr="00CE14B9">
        <w:rPr>
          <w:rFonts w:cs="Calibri"/>
          <w:sz w:val="24"/>
        </w:rPr>
        <w:t xml:space="preserve">, O., Luo, Y. and Chi, T. (2021) </w:t>
      </w:r>
      <w:r w:rsidRPr="00CE14B9">
        <w:rPr>
          <w:rFonts w:cs="Calibri"/>
          <w:i/>
          <w:iCs/>
          <w:sz w:val="24"/>
        </w:rPr>
        <w:t>International Business</w:t>
      </w:r>
      <w:r w:rsidRPr="00CE14B9">
        <w:rPr>
          <w:rFonts w:cs="Calibri"/>
          <w:sz w:val="24"/>
        </w:rPr>
        <w:t xml:space="preserve">. 4th </w:t>
      </w:r>
      <w:proofErr w:type="spellStart"/>
      <w:r w:rsidRPr="00CE14B9">
        <w:rPr>
          <w:rFonts w:cs="Calibri"/>
          <w:sz w:val="24"/>
        </w:rPr>
        <w:t>edn</w:t>
      </w:r>
      <w:proofErr w:type="spellEnd"/>
      <w:r w:rsidRPr="00CE14B9">
        <w:rPr>
          <w:rFonts w:cs="Calibri"/>
          <w:sz w:val="24"/>
        </w:rPr>
        <w:t>. New York: Routledge. Available at: https://doi.org/10.4324/9781003034315.</w:t>
      </w:r>
    </w:p>
    <w:p w14:paraId="025C6DAD" w14:textId="77777777" w:rsidR="00CE14B9" w:rsidRPr="00CE14B9" w:rsidRDefault="00CE14B9" w:rsidP="00CE14B9">
      <w:pPr>
        <w:pStyle w:val="af1"/>
        <w:rPr>
          <w:rFonts w:cs="Calibri"/>
          <w:sz w:val="24"/>
        </w:rPr>
      </w:pPr>
      <w:r w:rsidRPr="00CE14B9">
        <w:rPr>
          <w:rFonts w:cs="Calibri"/>
          <w:sz w:val="24"/>
        </w:rPr>
        <w:t xml:space="preserve">Trevino, L.K. and Nelson, K.A. (2021) </w:t>
      </w:r>
      <w:r w:rsidRPr="00CE14B9">
        <w:rPr>
          <w:rFonts w:cs="Calibri"/>
          <w:i/>
          <w:iCs/>
          <w:sz w:val="24"/>
        </w:rPr>
        <w:t>Managing Business Ethics: Straight Talk about How to Do It Right</w:t>
      </w:r>
      <w:r w:rsidRPr="00CE14B9">
        <w:rPr>
          <w:rFonts w:cs="Calibri"/>
          <w:sz w:val="24"/>
        </w:rPr>
        <w:t>. John Wiley &amp; Sons.</w:t>
      </w:r>
    </w:p>
    <w:p w14:paraId="2EE84A55" w14:textId="77777777" w:rsidR="00CE14B9" w:rsidRPr="00CE14B9" w:rsidRDefault="00CE14B9" w:rsidP="00CE14B9">
      <w:pPr>
        <w:pStyle w:val="af1"/>
        <w:rPr>
          <w:rFonts w:cs="Calibri"/>
          <w:sz w:val="24"/>
        </w:rPr>
      </w:pPr>
      <w:r w:rsidRPr="00CE14B9">
        <w:rPr>
          <w:rFonts w:cs="Calibri"/>
          <w:sz w:val="24"/>
        </w:rPr>
        <w:t xml:space="preserve">Trueba, H.T., Jacobs, L. and Kirton, E. (2022) </w:t>
      </w:r>
      <w:r w:rsidRPr="00CE14B9">
        <w:rPr>
          <w:rFonts w:cs="Calibri"/>
          <w:i/>
          <w:iCs/>
          <w:sz w:val="24"/>
        </w:rPr>
        <w:t>Cultural Conflict and Adaptation: The Case of Hmong Children in American Society</w:t>
      </w:r>
      <w:r w:rsidRPr="00CE14B9">
        <w:rPr>
          <w:rFonts w:cs="Calibri"/>
          <w:sz w:val="24"/>
        </w:rPr>
        <w:t>. London: Routledge. Available at: https://doi.org/10.4324/9781003331360.</w:t>
      </w:r>
    </w:p>
    <w:p w14:paraId="20787979" w14:textId="77777777" w:rsidR="00CE14B9" w:rsidRPr="00CE14B9" w:rsidRDefault="00CE14B9" w:rsidP="00CE14B9">
      <w:pPr>
        <w:pStyle w:val="af1"/>
        <w:rPr>
          <w:rFonts w:cs="Calibri"/>
          <w:sz w:val="24"/>
        </w:rPr>
      </w:pPr>
      <w:r w:rsidRPr="00CE14B9">
        <w:rPr>
          <w:rFonts w:cs="Calibri"/>
          <w:sz w:val="24"/>
        </w:rPr>
        <w:t xml:space="preserve">Valarezo, O. </w:t>
      </w:r>
      <w:r w:rsidRPr="00CE14B9">
        <w:rPr>
          <w:rFonts w:cs="Calibri"/>
          <w:i/>
          <w:iCs/>
          <w:sz w:val="24"/>
        </w:rPr>
        <w:t>et al.</w:t>
      </w:r>
      <w:r w:rsidRPr="00CE14B9">
        <w:rPr>
          <w:rFonts w:cs="Calibri"/>
          <w:sz w:val="24"/>
        </w:rPr>
        <w:t xml:space="preserve"> (2021) ‘Analysis of New Flexibility Market Models in Europe’, </w:t>
      </w:r>
      <w:r w:rsidRPr="00CE14B9">
        <w:rPr>
          <w:rFonts w:cs="Calibri"/>
          <w:i/>
          <w:iCs/>
          <w:sz w:val="24"/>
        </w:rPr>
        <w:t>Energies</w:t>
      </w:r>
      <w:r w:rsidRPr="00CE14B9">
        <w:rPr>
          <w:rFonts w:cs="Calibri"/>
          <w:sz w:val="24"/>
        </w:rPr>
        <w:t>, 14(12), p. 3521. Available at: https://doi.org/10.3390/en14123521.</w:t>
      </w:r>
    </w:p>
    <w:p w14:paraId="48D8D23A" w14:textId="77777777" w:rsidR="00CE14B9" w:rsidRPr="00CE14B9" w:rsidRDefault="00CE14B9" w:rsidP="00CE14B9">
      <w:pPr>
        <w:pStyle w:val="af1"/>
        <w:rPr>
          <w:rFonts w:cs="Calibri"/>
          <w:sz w:val="24"/>
        </w:rPr>
      </w:pPr>
      <w:r w:rsidRPr="00CE14B9">
        <w:rPr>
          <w:rFonts w:cs="Calibri"/>
          <w:sz w:val="24"/>
        </w:rPr>
        <w:t xml:space="preserve">de Waal, A. and Chipeta, K. (2015) ‘Influence of culture on priority-setting of </w:t>
      </w:r>
      <w:proofErr w:type="gramStart"/>
      <w:r w:rsidRPr="00CE14B9">
        <w:rPr>
          <w:rFonts w:cs="Calibri"/>
          <w:sz w:val="24"/>
        </w:rPr>
        <w:t>high performance</w:t>
      </w:r>
      <w:proofErr w:type="gramEnd"/>
      <w:r w:rsidRPr="00CE14B9">
        <w:rPr>
          <w:rFonts w:cs="Calibri"/>
          <w:sz w:val="24"/>
        </w:rPr>
        <w:t xml:space="preserve"> activities’, </w:t>
      </w:r>
      <w:r w:rsidRPr="00CE14B9">
        <w:rPr>
          <w:rFonts w:cs="Calibri"/>
          <w:i/>
          <w:iCs/>
          <w:sz w:val="24"/>
        </w:rPr>
        <w:t>Journal of Strategy and Management</w:t>
      </w:r>
      <w:r w:rsidRPr="00CE14B9">
        <w:rPr>
          <w:rFonts w:cs="Calibri"/>
          <w:sz w:val="24"/>
        </w:rPr>
        <w:t>, 8(1), pp. 64–86. Available at: https://doi.org/10.1108/JSMA-05-2014-0034.</w:t>
      </w:r>
    </w:p>
    <w:p w14:paraId="4105C88C" w14:textId="77777777" w:rsidR="00CE14B9" w:rsidRPr="00CE14B9" w:rsidRDefault="00CE14B9" w:rsidP="00CE14B9">
      <w:pPr>
        <w:pStyle w:val="af1"/>
        <w:rPr>
          <w:rFonts w:cs="Calibri"/>
          <w:sz w:val="24"/>
        </w:rPr>
      </w:pPr>
      <w:r w:rsidRPr="00CE14B9">
        <w:rPr>
          <w:rFonts w:cs="Calibri"/>
          <w:sz w:val="24"/>
        </w:rPr>
        <w:t xml:space="preserve">Waleed Rasheed, S., Salim Dawood, D. and Mohammad Ayash, L. (2022) ‘Styles of learning according to </w:t>
      </w:r>
      <w:proofErr w:type="spellStart"/>
      <w:r w:rsidRPr="00CE14B9">
        <w:rPr>
          <w:rFonts w:cs="Calibri"/>
          <w:sz w:val="24"/>
        </w:rPr>
        <w:t>Felder&amp;Soloman</w:t>
      </w:r>
      <w:proofErr w:type="spellEnd"/>
      <w:r w:rsidRPr="00CE14B9">
        <w:rPr>
          <w:rFonts w:cs="Calibri"/>
          <w:sz w:val="24"/>
        </w:rPr>
        <w:t xml:space="preserve"> model and its </w:t>
      </w:r>
      <w:proofErr w:type="gramStart"/>
      <w:r w:rsidRPr="00CE14B9">
        <w:rPr>
          <w:rFonts w:cs="Calibri"/>
          <w:sz w:val="24"/>
        </w:rPr>
        <w:t>relation</w:t>
      </w:r>
      <w:proofErr w:type="gramEnd"/>
      <w:r w:rsidRPr="00CE14B9">
        <w:rPr>
          <w:rFonts w:cs="Calibri"/>
          <w:sz w:val="24"/>
        </w:rPr>
        <w:t xml:space="preserve"> with synthetic thinking of higher education students in the departments of chemistry’, </w:t>
      </w:r>
      <w:r w:rsidRPr="00CE14B9">
        <w:rPr>
          <w:rFonts w:cs="Calibri"/>
          <w:i/>
          <w:iCs/>
          <w:sz w:val="24"/>
        </w:rPr>
        <w:t>JETT</w:t>
      </w:r>
      <w:r w:rsidRPr="00CE14B9">
        <w:rPr>
          <w:rFonts w:cs="Calibri"/>
          <w:sz w:val="24"/>
        </w:rPr>
        <w:t>, 13(5), pp. 162–169.</w:t>
      </w:r>
    </w:p>
    <w:p w14:paraId="15EB75A8" w14:textId="77777777" w:rsidR="00CE14B9" w:rsidRPr="00CE14B9" w:rsidRDefault="00CE14B9" w:rsidP="00CE14B9">
      <w:pPr>
        <w:pStyle w:val="af1"/>
        <w:rPr>
          <w:rFonts w:cs="Calibri"/>
          <w:sz w:val="24"/>
        </w:rPr>
      </w:pPr>
      <w:r w:rsidRPr="00CE14B9">
        <w:rPr>
          <w:rFonts w:cs="Calibri"/>
          <w:sz w:val="24"/>
        </w:rPr>
        <w:t xml:space="preserve">Xie, Y. </w:t>
      </w:r>
      <w:r w:rsidRPr="00CE14B9">
        <w:rPr>
          <w:rFonts w:cs="Calibri"/>
          <w:i/>
          <w:iCs/>
          <w:sz w:val="24"/>
        </w:rPr>
        <w:t>et al.</w:t>
      </w:r>
      <w:r w:rsidRPr="00CE14B9">
        <w:rPr>
          <w:rFonts w:cs="Calibri"/>
          <w:sz w:val="24"/>
        </w:rPr>
        <w:t xml:space="preserve"> (2022) ‘An Overview of Stuart Hall’s Encoding and Decoding Theory with Film Communication’, </w:t>
      </w:r>
      <w:r w:rsidRPr="00CE14B9">
        <w:rPr>
          <w:rFonts w:cs="Calibri"/>
          <w:i/>
          <w:iCs/>
          <w:sz w:val="24"/>
        </w:rPr>
        <w:t>Multicultural Education</w:t>
      </w:r>
      <w:r w:rsidRPr="00CE14B9">
        <w:rPr>
          <w:rFonts w:cs="Calibri"/>
          <w:sz w:val="24"/>
        </w:rPr>
        <w:t>, 1, pp. 190–198. Available at: https://doi.org/10.5281/zenodo.5894796.</w:t>
      </w:r>
    </w:p>
    <w:p w14:paraId="050D7CDC" w14:textId="77777777" w:rsidR="00CE14B9" w:rsidRPr="00CE14B9" w:rsidRDefault="00CE14B9" w:rsidP="00CE14B9">
      <w:pPr>
        <w:pStyle w:val="af1"/>
        <w:rPr>
          <w:rFonts w:cs="Calibri"/>
          <w:sz w:val="24"/>
        </w:rPr>
      </w:pPr>
      <w:r w:rsidRPr="00CE14B9">
        <w:rPr>
          <w:rFonts w:cs="Calibri"/>
          <w:sz w:val="24"/>
        </w:rPr>
        <w:t xml:space="preserve">Yi, J.-S. (2025) ‘Revisiting Hofstede’s Uncertainty-Avoidance Dimension: A Cross-Cultural Comparison of Organizational Employees in Four Countries’, </w:t>
      </w:r>
      <w:r w:rsidRPr="00CE14B9">
        <w:rPr>
          <w:rFonts w:cs="Calibri"/>
          <w:i/>
          <w:iCs/>
          <w:sz w:val="24"/>
        </w:rPr>
        <w:t>Journal of Intercultural Communication</w:t>
      </w:r>
      <w:r w:rsidRPr="00CE14B9">
        <w:rPr>
          <w:rFonts w:cs="Calibri"/>
          <w:sz w:val="24"/>
        </w:rPr>
        <w:t>, 21(1), pp. 46–61. Available at: https://doi.org/10.36923/jicc.v21i1.5.</w:t>
      </w:r>
    </w:p>
    <w:p w14:paraId="717BBAB1" w14:textId="49550071" w:rsidR="00CE14B9" w:rsidRPr="00CE14B9" w:rsidRDefault="00CE14B9" w:rsidP="00CE14B9">
      <w:pPr>
        <w:pStyle w:val="af1"/>
        <w:rPr>
          <w:rFonts w:cs="Calibri"/>
          <w:sz w:val="24"/>
        </w:rPr>
      </w:pPr>
      <w:r w:rsidRPr="00CE14B9">
        <w:rPr>
          <w:rFonts w:cs="Calibri"/>
          <w:sz w:val="24"/>
        </w:rPr>
        <w:t xml:space="preserve">Ziliute, V. (2024) (2024) ‘Navigating cultural </w:t>
      </w:r>
      <w:proofErr w:type="gramStart"/>
      <w:r w:rsidRPr="00CE14B9">
        <w:rPr>
          <w:rFonts w:cs="Calibri"/>
          <w:sz w:val="24"/>
        </w:rPr>
        <w:t>currents :</w:t>
      </w:r>
      <w:proofErr w:type="gramEnd"/>
      <w:r w:rsidRPr="00CE14B9">
        <w:rPr>
          <w:rFonts w:cs="Calibri"/>
          <w:sz w:val="24"/>
        </w:rPr>
        <w:t xml:space="preserve"> a qualitative analysis of cross-cultural aspects in </w:t>
      </w:r>
      <w:proofErr w:type="spellStart"/>
      <w:r w:rsidRPr="00CE14B9">
        <w:rPr>
          <w:rFonts w:cs="Calibri"/>
          <w:sz w:val="24"/>
        </w:rPr>
        <w:t>organisational</w:t>
      </w:r>
      <w:proofErr w:type="spellEnd"/>
      <w:r w:rsidRPr="00CE14B9">
        <w:rPr>
          <w:rFonts w:cs="Calibri"/>
          <w:sz w:val="24"/>
        </w:rPr>
        <w:t xml:space="preserve"> risk management based on Trompenaars’ cultural framework’. Available at: https://www.um.edu.mt/library/oar/handle/123456789/130743 (Accessed: 1 December 2025).</w:t>
      </w:r>
    </w:p>
    <w:p w14:paraId="667AA6EE" w14:textId="32B6100A" w:rsidR="006134AD" w:rsidRPr="00C1727F" w:rsidRDefault="009801D9" w:rsidP="00CE14B9">
      <w:pPr>
        <w:pStyle w:val="af1"/>
        <w:rPr>
          <w:rFonts w:hint="eastAsia"/>
          <w:sz w:val="24"/>
          <w:szCs w:val="24"/>
        </w:rPr>
      </w:pPr>
      <w:r>
        <w:rPr>
          <w:sz w:val="24"/>
          <w:szCs w:val="24"/>
        </w:rPr>
        <w:fldChar w:fldCharType="end"/>
      </w:r>
    </w:p>
    <w:sectPr w:rsidR="006134AD" w:rsidRPr="00C1727F" w:rsidSect="00D54E3F">
      <w:footerReference w:type="even" r:id="rId8"/>
      <w:footerReference w:type="default" r:id="rId9"/>
      <w:pgSz w:w="11906" w:h="16838"/>
      <w:pgMar w:top="1440" w:right="1800" w:bottom="1440" w:left="1800" w:header="851" w:footer="992" w:gutter="0"/>
      <w:pgNumType w:start="1"/>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293CD4" w14:textId="77777777" w:rsidR="00D54E3F" w:rsidRDefault="00D54E3F" w:rsidP="00D54E3F">
      <w:r>
        <w:separator/>
      </w:r>
    </w:p>
  </w:endnote>
  <w:endnote w:type="continuationSeparator" w:id="0">
    <w:p w14:paraId="18A61B56" w14:textId="77777777" w:rsidR="00D54E3F" w:rsidRDefault="00D54E3F" w:rsidP="00D54E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0"/>
      </w:rPr>
      <w:id w:val="1893077256"/>
      <w:docPartObj>
        <w:docPartGallery w:val="Page Numbers (Bottom of Page)"/>
        <w:docPartUnique/>
      </w:docPartObj>
    </w:sdtPr>
    <w:sdtContent>
      <w:p w14:paraId="504D411E" w14:textId="18E8DCCD" w:rsidR="00D54E3F" w:rsidRDefault="00D54E3F" w:rsidP="00643E7D">
        <w:pPr>
          <w:pStyle w:val="ae"/>
          <w:framePr w:wrap="none" w:vAnchor="text" w:hAnchor="margin" w:xAlign="center" w:y="1"/>
          <w:rPr>
            <w:rStyle w:val="af0"/>
          </w:rPr>
        </w:pPr>
        <w:r>
          <w:rPr>
            <w:rStyle w:val="af0"/>
          </w:rPr>
          <w:fldChar w:fldCharType="begin"/>
        </w:r>
        <w:r>
          <w:rPr>
            <w:rStyle w:val="af0"/>
          </w:rPr>
          <w:instrText xml:space="preserve"> PAGE </w:instrText>
        </w:r>
        <w:r>
          <w:rPr>
            <w:rStyle w:val="af0"/>
          </w:rPr>
          <w:fldChar w:fldCharType="separate"/>
        </w:r>
        <w:r>
          <w:rPr>
            <w:rStyle w:val="af0"/>
          </w:rPr>
          <w:fldChar w:fldCharType="end"/>
        </w:r>
      </w:p>
    </w:sdtContent>
  </w:sdt>
  <w:p w14:paraId="63DDD550" w14:textId="77777777" w:rsidR="00D54E3F" w:rsidRDefault="00D54E3F">
    <w:pPr>
      <w:pStyle w:val="a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0"/>
      </w:rPr>
      <w:id w:val="-2025156706"/>
      <w:docPartObj>
        <w:docPartGallery w:val="Page Numbers (Bottom of Page)"/>
        <w:docPartUnique/>
      </w:docPartObj>
    </w:sdtPr>
    <w:sdtContent>
      <w:p w14:paraId="478E21E6" w14:textId="7B5033DA" w:rsidR="00D54E3F" w:rsidRDefault="00D54E3F" w:rsidP="00643E7D">
        <w:pPr>
          <w:pStyle w:val="ae"/>
          <w:framePr w:wrap="none" w:vAnchor="text" w:hAnchor="margin" w:xAlign="center" w:y="1"/>
          <w:rPr>
            <w:rStyle w:val="af0"/>
          </w:rPr>
        </w:pPr>
        <w:r>
          <w:rPr>
            <w:rStyle w:val="af0"/>
          </w:rPr>
          <w:fldChar w:fldCharType="begin"/>
        </w:r>
        <w:r>
          <w:rPr>
            <w:rStyle w:val="af0"/>
          </w:rPr>
          <w:instrText xml:space="preserve"> PAGE </w:instrText>
        </w:r>
        <w:r>
          <w:rPr>
            <w:rStyle w:val="af0"/>
          </w:rPr>
          <w:fldChar w:fldCharType="separate"/>
        </w:r>
        <w:r>
          <w:rPr>
            <w:rStyle w:val="af0"/>
            <w:noProof/>
          </w:rPr>
          <w:t>2</w:t>
        </w:r>
        <w:r>
          <w:rPr>
            <w:rStyle w:val="af0"/>
          </w:rPr>
          <w:fldChar w:fldCharType="end"/>
        </w:r>
      </w:p>
    </w:sdtContent>
  </w:sdt>
  <w:p w14:paraId="02C480CE" w14:textId="77777777" w:rsidR="00D54E3F" w:rsidRDefault="00D54E3F">
    <w:pPr>
      <w:pStyle w:val="a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04C123" w14:textId="77777777" w:rsidR="00D54E3F" w:rsidRDefault="00D54E3F" w:rsidP="00D54E3F">
      <w:r>
        <w:separator/>
      </w:r>
    </w:p>
  </w:footnote>
  <w:footnote w:type="continuationSeparator" w:id="0">
    <w:p w14:paraId="6D2E49D1" w14:textId="77777777" w:rsidR="00D54E3F" w:rsidRDefault="00D54E3F" w:rsidP="00D54E3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8F9"/>
    <w:rsid w:val="00014BD2"/>
    <w:rsid w:val="00030B8F"/>
    <w:rsid w:val="00051238"/>
    <w:rsid w:val="00064E4A"/>
    <w:rsid w:val="000C4F5B"/>
    <w:rsid w:val="000C4F87"/>
    <w:rsid w:val="001A2279"/>
    <w:rsid w:val="001A66F2"/>
    <w:rsid w:val="00216640"/>
    <w:rsid w:val="00230B3D"/>
    <w:rsid w:val="00264105"/>
    <w:rsid w:val="002733E9"/>
    <w:rsid w:val="002F456B"/>
    <w:rsid w:val="002F46D4"/>
    <w:rsid w:val="0030622A"/>
    <w:rsid w:val="003311BA"/>
    <w:rsid w:val="00332727"/>
    <w:rsid w:val="0036674B"/>
    <w:rsid w:val="004007DE"/>
    <w:rsid w:val="0047160C"/>
    <w:rsid w:val="00477066"/>
    <w:rsid w:val="00491834"/>
    <w:rsid w:val="004D0EA3"/>
    <w:rsid w:val="004F259F"/>
    <w:rsid w:val="00540CDE"/>
    <w:rsid w:val="005D2D57"/>
    <w:rsid w:val="005D599A"/>
    <w:rsid w:val="00604423"/>
    <w:rsid w:val="006134AD"/>
    <w:rsid w:val="006171FC"/>
    <w:rsid w:val="00622846"/>
    <w:rsid w:val="00635A63"/>
    <w:rsid w:val="00645473"/>
    <w:rsid w:val="00652A13"/>
    <w:rsid w:val="006A2768"/>
    <w:rsid w:val="006D367D"/>
    <w:rsid w:val="00744B11"/>
    <w:rsid w:val="007552E7"/>
    <w:rsid w:val="0077265D"/>
    <w:rsid w:val="007747B4"/>
    <w:rsid w:val="008143CA"/>
    <w:rsid w:val="008316AB"/>
    <w:rsid w:val="0084579C"/>
    <w:rsid w:val="008944CF"/>
    <w:rsid w:val="008B6F41"/>
    <w:rsid w:val="008E1CB8"/>
    <w:rsid w:val="008E48F9"/>
    <w:rsid w:val="0093780E"/>
    <w:rsid w:val="009445DF"/>
    <w:rsid w:val="00944657"/>
    <w:rsid w:val="009801D9"/>
    <w:rsid w:val="00A11FE0"/>
    <w:rsid w:val="00A439E4"/>
    <w:rsid w:val="00A458D7"/>
    <w:rsid w:val="00AA0F10"/>
    <w:rsid w:val="00AA3A2C"/>
    <w:rsid w:val="00AD3A2E"/>
    <w:rsid w:val="00AF28EB"/>
    <w:rsid w:val="00B31FF0"/>
    <w:rsid w:val="00B7574F"/>
    <w:rsid w:val="00B772C4"/>
    <w:rsid w:val="00BB0692"/>
    <w:rsid w:val="00BD5B3F"/>
    <w:rsid w:val="00C05E15"/>
    <w:rsid w:val="00C06A48"/>
    <w:rsid w:val="00C1727F"/>
    <w:rsid w:val="00C36CA3"/>
    <w:rsid w:val="00C62084"/>
    <w:rsid w:val="00C743DB"/>
    <w:rsid w:val="00C91E67"/>
    <w:rsid w:val="00CB3BCC"/>
    <w:rsid w:val="00CE14B9"/>
    <w:rsid w:val="00D54E3F"/>
    <w:rsid w:val="00DC70B8"/>
    <w:rsid w:val="00E70934"/>
    <w:rsid w:val="00E72486"/>
    <w:rsid w:val="00E74821"/>
    <w:rsid w:val="00EA46E3"/>
    <w:rsid w:val="00EE1F42"/>
    <w:rsid w:val="00F410BE"/>
    <w:rsid w:val="00F467CA"/>
    <w:rsid w:val="00F57C0D"/>
    <w:rsid w:val="00F8082C"/>
    <w:rsid w:val="00FC1318"/>
    <w:rsid w:val="00FE13BD"/>
    <w:rsid w:val="00FE2A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398FD"/>
  <w15:chartTrackingRefBased/>
  <w15:docId w15:val="{BAF4FB36-2AC6-AC47-BAAE-1FBEC4EA1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E14B9"/>
    <w:pPr>
      <w:widowControl w:val="0"/>
      <w:spacing w:after="0" w:line="240" w:lineRule="auto"/>
      <w:jc w:val="both"/>
    </w:pPr>
    <w:rPr>
      <w:rFonts w:ascii="Calibri" w:eastAsia="宋体" w:hAnsi="Calibri" w:cs="Times New Roman"/>
      <w:sz w:val="21"/>
      <w:szCs w:val="21"/>
      <w14:ligatures w14:val="none"/>
    </w:rPr>
  </w:style>
  <w:style w:type="paragraph" w:styleId="1">
    <w:name w:val="heading 1"/>
    <w:basedOn w:val="a"/>
    <w:next w:val="a"/>
    <w:link w:val="10"/>
    <w:uiPriority w:val="9"/>
    <w:qFormat/>
    <w:rsid w:val="008E48F9"/>
    <w:pPr>
      <w:keepNext/>
      <w:keepLines/>
      <w:spacing w:before="480" w:after="80" w:line="278" w:lineRule="auto"/>
      <w:jc w:val="left"/>
      <w:outlineLvl w:val="0"/>
    </w:pPr>
    <w:rPr>
      <w:rFonts w:asciiTheme="majorHAnsi" w:eastAsiaTheme="majorEastAsia" w:hAnsiTheme="majorHAnsi" w:cstheme="majorBidi"/>
      <w:color w:val="0F4761" w:themeColor="accent1" w:themeShade="BF"/>
      <w:sz w:val="48"/>
      <w:szCs w:val="48"/>
      <w:lang w:val="en-GB"/>
      <w14:ligatures w14:val="standardContextual"/>
    </w:rPr>
  </w:style>
  <w:style w:type="paragraph" w:styleId="2">
    <w:name w:val="heading 2"/>
    <w:basedOn w:val="a"/>
    <w:next w:val="a"/>
    <w:link w:val="20"/>
    <w:uiPriority w:val="9"/>
    <w:semiHidden/>
    <w:unhideWhenUsed/>
    <w:qFormat/>
    <w:rsid w:val="008E48F9"/>
    <w:pPr>
      <w:keepNext/>
      <w:keepLines/>
      <w:spacing w:before="160" w:after="80" w:line="278" w:lineRule="auto"/>
      <w:jc w:val="left"/>
      <w:outlineLvl w:val="1"/>
    </w:pPr>
    <w:rPr>
      <w:rFonts w:asciiTheme="majorHAnsi" w:eastAsiaTheme="majorEastAsia" w:hAnsiTheme="majorHAnsi" w:cstheme="majorBidi"/>
      <w:color w:val="0F4761" w:themeColor="accent1" w:themeShade="BF"/>
      <w:sz w:val="40"/>
      <w:szCs w:val="40"/>
      <w:lang w:val="en-GB"/>
      <w14:ligatures w14:val="standardContextual"/>
    </w:rPr>
  </w:style>
  <w:style w:type="paragraph" w:styleId="3">
    <w:name w:val="heading 3"/>
    <w:basedOn w:val="a"/>
    <w:next w:val="a"/>
    <w:link w:val="30"/>
    <w:uiPriority w:val="9"/>
    <w:semiHidden/>
    <w:unhideWhenUsed/>
    <w:qFormat/>
    <w:rsid w:val="008E48F9"/>
    <w:pPr>
      <w:keepNext/>
      <w:keepLines/>
      <w:spacing w:before="160" w:after="80" w:line="278" w:lineRule="auto"/>
      <w:jc w:val="left"/>
      <w:outlineLvl w:val="2"/>
    </w:pPr>
    <w:rPr>
      <w:rFonts w:asciiTheme="majorHAnsi" w:eastAsiaTheme="majorEastAsia" w:hAnsiTheme="majorHAnsi" w:cstheme="majorBidi"/>
      <w:color w:val="0F4761" w:themeColor="accent1" w:themeShade="BF"/>
      <w:sz w:val="32"/>
      <w:szCs w:val="32"/>
      <w:lang w:val="en-GB"/>
      <w14:ligatures w14:val="standardContextual"/>
    </w:rPr>
  </w:style>
  <w:style w:type="paragraph" w:styleId="4">
    <w:name w:val="heading 4"/>
    <w:basedOn w:val="a"/>
    <w:next w:val="a"/>
    <w:link w:val="40"/>
    <w:uiPriority w:val="9"/>
    <w:semiHidden/>
    <w:unhideWhenUsed/>
    <w:qFormat/>
    <w:rsid w:val="008E48F9"/>
    <w:pPr>
      <w:keepNext/>
      <w:keepLines/>
      <w:spacing w:before="80" w:after="40" w:line="278" w:lineRule="auto"/>
      <w:jc w:val="left"/>
      <w:outlineLvl w:val="3"/>
    </w:pPr>
    <w:rPr>
      <w:rFonts w:asciiTheme="minorHAnsi" w:eastAsiaTheme="minorEastAsia" w:hAnsiTheme="minorHAnsi" w:cstheme="majorBidi"/>
      <w:color w:val="0F4761" w:themeColor="accent1" w:themeShade="BF"/>
      <w:sz w:val="28"/>
      <w:szCs w:val="28"/>
      <w:lang w:val="en-GB"/>
      <w14:ligatures w14:val="standardContextual"/>
    </w:rPr>
  </w:style>
  <w:style w:type="paragraph" w:styleId="5">
    <w:name w:val="heading 5"/>
    <w:basedOn w:val="a"/>
    <w:next w:val="a"/>
    <w:link w:val="50"/>
    <w:uiPriority w:val="9"/>
    <w:semiHidden/>
    <w:unhideWhenUsed/>
    <w:qFormat/>
    <w:rsid w:val="008E48F9"/>
    <w:pPr>
      <w:keepNext/>
      <w:keepLines/>
      <w:spacing w:before="80" w:after="40" w:line="278" w:lineRule="auto"/>
      <w:jc w:val="left"/>
      <w:outlineLvl w:val="4"/>
    </w:pPr>
    <w:rPr>
      <w:rFonts w:asciiTheme="minorHAnsi" w:eastAsiaTheme="minorEastAsia" w:hAnsiTheme="minorHAnsi" w:cstheme="majorBidi"/>
      <w:color w:val="0F4761" w:themeColor="accent1" w:themeShade="BF"/>
      <w:sz w:val="24"/>
      <w:szCs w:val="24"/>
      <w:lang w:val="en-GB"/>
      <w14:ligatures w14:val="standardContextual"/>
    </w:rPr>
  </w:style>
  <w:style w:type="paragraph" w:styleId="6">
    <w:name w:val="heading 6"/>
    <w:basedOn w:val="a"/>
    <w:next w:val="a"/>
    <w:link w:val="60"/>
    <w:uiPriority w:val="9"/>
    <w:semiHidden/>
    <w:unhideWhenUsed/>
    <w:qFormat/>
    <w:rsid w:val="008E48F9"/>
    <w:pPr>
      <w:keepNext/>
      <w:keepLines/>
      <w:spacing w:before="40" w:line="278" w:lineRule="auto"/>
      <w:jc w:val="left"/>
      <w:outlineLvl w:val="5"/>
    </w:pPr>
    <w:rPr>
      <w:rFonts w:asciiTheme="minorHAnsi" w:eastAsiaTheme="minorEastAsia" w:hAnsiTheme="minorHAnsi" w:cstheme="majorBidi"/>
      <w:b/>
      <w:bCs/>
      <w:color w:val="0F4761" w:themeColor="accent1" w:themeShade="BF"/>
      <w:sz w:val="22"/>
      <w:szCs w:val="24"/>
      <w:lang w:val="en-GB"/>
      <w14:ligatures w14:val="standardContextual"/>
    </w:rPr>
  </w:style>
  <w:style w:type="paragraph" w:styleId="7">
    <w:name w:val="heading 7"/>
    <w:basedOn w:val="a"/>
    <w:next w:val="a"/>
    <w:link w:val="70"/>
    <w:uiPriority w:val="9"/>
    <w:semiHidden/>
    <w:unhideWhenUsed/>
    <w:qFormat/>
    <w:rsid w:val="008E48F9"/>
    <w:pPr>
      <w:keepNext/>
      <w:keepLines/>
      <w:spacing w:before="40" w:line="278" w:lineRule="auto"/>
      <w:jc w:val="left"/>
      <w:outlineLvl w:val="6"/>
    </w:pPr>
    <w:rPr>
      <w:rFonts w:asciiTheme="minorHAnsi" w:eastAsiaTheme="minorEastAsia" w:hAnsiTheme="minorHAnsi" w:cstheme="majorBidi"/>
      <w:b/>
      <w:bCs/>
      <w:color w:val="595959" w:themeColor="text1" w:themeTint="A6"/>
      <w:sz w:val="22"/>
      <w:szCs w:val="24"/>
      <w:lang w:val="en-GB"/>
      <w14:ligatures w14:val="standardContextual"/>
    </w:rPr>
  </w:style>
  <w:style w:type="paragraph" w:styleId="8">
    <w:name w:val="heading 8"/>
    <w:basedOn w:val="a"/>
    <w:next w:val="a"/>
    <w:link w:val="80"/>
    <w:uiPriority w:val="9"/>
    <w:semiHidden/>
    <w:unhideWhenUsed/>
    <w:qFormat/>
    <w:rsid w:val="008E48F9"/>
    <w:pPr>
      <w:keepNext/>
      <w:keepLines/>
      <w:spacing w:line="278" w:lineRule="auto"/>
      <w:jc w:val="left"/>
      <w:outlineLvl w:val="7"/>
    </w:pPr>
    <w:rPr>
      <w:rFonts w:asciiTheme="minorHAnsi" w:eastAsiaTheme="minorEastAsia" w:hAnsiTheme="minorHAnsi" w:cstheme="majorBidi"/>
      <w:color w:val="595959" w:themeColor="text1" w:themeTint="A6"/>
      <w:sz w:val="22"/>
      <w:szCs w:val="24"/>
      <w:lang w:val="en-GB"/>
      <w14:ligatures w14:val="standardContextual"/>
    </w:rPr>
  </w:style>
  <w:style w:type="paragraph" w:styleId="9">
    <w:name w:val="heading 9"/>
    <w:basedOn w:val="a"/>
    <w:next w:val="a"/>
    <w:link w:val="90"/>
    <w:uiPriority w:val="9"/>
    <w:semiHidden/>
    <w:unhideWhenUsed/>
    <w:qFormat/>
    <w:rsid w:val="008E48F9"/>
    <w:pPr>
      <w:keepNext/>
      <w:keepLines/>
      <w:spacing w:line="278" w:lineRule="auto"/>
      <w:jc w:val="left"/>
      <w:outlineLvl w:val="8"/>
    </w:pPr>
    <w:rPr>
      <w:rFonts w:asciiTheme="minorHAnsi" w:eastAsiaTheme="majorEastAsia" w:hAnsiTheme="minorHAnsi" w:cstheme="majorBidi"/>
      <w:color w:val="595959" w:themeColor="text1" w:themeTint="A6"/>
      <w:sz w:val="22"/>
      <w:szCs w:val="24"/>
      <w:lang w:val="en-GB"/>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E48F9"/>
    <w:rPr>
      <w:rFonts w:asciiTheme="majorHAnsi" w:eastAsiaTheme="majorEastAsia" w:hAnsiTheme="majorHAnsi" w:cstheme="majorBidi"/>
      <w:color w:val="0F4761" w:themeColor="accent1" w:themeShade="BF"/>
      <w:sz w:val="48"/>
      <w:szCs w:val="48"/>
      <w:lang w:val="en-GB"/>
    </w:rPr>
  </w:style>
  <w:style w:type="character" w:customStyle="1" w:styleId="20">
    <w:name w:val="标题 2 字符"/>
    <w:basedOn w:val="a0"/>
    <w:link w:val="2"/>
    <w:uiPriority w:val="9"/>
    <w:semiHidden/>
    <w:rsid w:val="008E48F9"/>
    <w:rPr>
      <w:rFonts w:asciiTheme="majorHAnsi" w:eastAsiaTheme="majorEastAsia" w:hAnsiTheme="majorHAnsi" w:cstheme="majorBidi"/>
      <w:color w:val="0F4761" w:themeColor="accent1" w:themeShade="BF"/>
      <w:sz w:val="40"/>
      <w:szCs w:val="40"/>
      <w:lang w:val="en-GB"/>
    </w:rPr>
  </w:style>
  <w:style w:type="character" w:customStyle="1" w:styleId="30">
    <w:name w:val="标题 3 字符"/>
    <w:basedOn w:val="a0"/>
    <w:link w:val="3"/>
    <w:uiPriority w:val="9"/>
    <w:semiHidden/>
    <w:rsid w:val="008E48F9"/>
    <w:rPr>
      <w:rFonts w:asciiTheme="majorHAnsi" w:eastAsiaTheme="majorEastAsia" w:hAnsiTheme="majorHAnsi" w:cstheme="majorBidi"/>
      <w:color w:val="0F4761" w:themeColor="accent1" w:themeShade="BF"/>
      <w:sz w:val="32"/>
      <w:szCs w:val="32"/>
      <w:lang w:val="en-GB"/>
    </w:rPr>
  </w:style>
  <w:style w:type="character" w:customStyle="1" w:styleId="40">
    <w:name w:val="标题 4 字符"/>
    <w:basedOn w:val="a0"/>
    <w:link w:val="4"/>
    <w:uiPriority w:val="9"/>
    <w:semiHidden/>
    <w:rsid w:val="008E48F9"/>
    <w:rPr>
      <w:rFonts w:cstheme="majorBidi"/>
      <w:color w:val="0F4761" w:themeColor="accent1" w:themeShade="BF"/>
      <w:sz w:val="28"/>
      <w:szCs w:val="28"/>
      <w:lang w:val="en-GB"/>
    </w:rPr>
  </w:style>
  <w:style w:type="character" w:customStyle="1" w:styleId="50">
    <w:name w:val="标题 5 字符"/>
    <w:basedOn w:val="a0"/>
    <w:link w:val="5"/>
    <w:uiPriority w:val="9"/>
    <w:semiHidden/>
    <w:rsid w:val="008E48F9"/>
    <w:rPr>
      <w:rFonts w:cstheme="majorBidi"/>
      <w:color w:val="0F4761" w:themeColor="accent1" w:themeShade="BF"/>
      <w:sz w:val="24"/>
      <w:lang w:val="en-GB"/>
    </w:rPr>
  </w:style>
  <w:style w:type="character" w:customStyle="1" w:styleId="60">
    <w:name w:val="标题 6 字符"/>
    <w:basedOn w:val="a0"/>
    <w:link w:val="6"/>
    <w:uiPriority w:val="9"/>
    <w:semiHidden/>
    <w:rsid w:val="008E48F9"/>
    <w:rPr>
      <w:rFonts w:cstheme="majorBidi"/>
      <w:b/>
      <w:bCs/>
      <w:color w:val="0F4761" w:themeColor="accent1" w:themeShade="BF"/>
      <w:lang w:val="en-GB"/>
    </w:rPr>
  </w:style>
  <w:style w:type="character" w:customStyle="1" w:styleId="70">
    <w:name w:val="标题 7 字符"/>
    <w:basedOn w:val="a0"/>
    <w:link w:val="7"/>
    <w:uiPriority w:val="9"/>
    <w:semiHidden/>
    <w:rsid w:val="008E48F9"/>
    <w:rPr>
      <w:rFonts w:cstheme="majorBidi"/>
      <w:b/>
      <w:bCs/>
      <w:color w:val="595959" w:themeColor="text1" w:themeTint="A6"/>
      <w:lang w:val="en-GB"/>
    </w:rPr>
  </w:style>
  <w:style w:type="character" w:customStyle="1" w:styleId="80">
    <w:name w:val="标题 8 字符"/>
    <w:basedOn w:val="a0"/>
    <w:link w:val="8"/>
    <w:uiPriority w:val="9"/>
    <w:semiHidden/>
    <w:rsid w:val="008E48F9"/>
    <w:rPr>
      <w:rFonts w:cstheme="majorBidi"/>
      <w:color w:val="595959" w:themeColor="text1" w:themeTint="A6"/>
      <w:lang w:val="en-GB"/>
    </w:rPr>
  </w:style>
  <w:style w:type="character" w:customStyle="1" w:styleId="90">
    <w:name w:val="标题 9 字符"/>
    <w:basedOn w:val="a0"/>
    <w:link w:val="9"/>
    <w:uiPriority w:val="9"/>
    <w:semiHidden/>
    <w:rsid w:val="008E48F9"/>
    <w:rPr>
      <w:rFonts w:eastAsiaTheme="majorEastAsia" w:cstheme="majorBidi"/>
      <w:color w:val="595959" w:themeColor="text1" w:themeTint="A6"/>
      <w:lang w:val="en-GB"/>
    </w:rPr>
  </w:style>
  <w:style w:type="paragraph" w:styleId="a3">
    <w:name w:val="Title"/>
    <w:basedOn w:val="a"/>
    <w:next w:val="a"/>
    <w:link w:val="a4"/>
    <w:uiPriority w:val="10"/>
    <w:qFormat/>
    <w:rsid w:val="008E48F9"/>
    <w:pPr>
      <w:spacing w:after="80"/>
      <w:contextualSpacing/>
      <w:jc w:val="center"/>
    </w:pPr>
    <w:rPr>
      <w:rFonts w:asciiTheme="majorHAnsi" w:eastAsiaTheme="majorEastAsia" w:hAnsiTheme="majorHAnsi" w:cstheme="majorBidi"/>
      <w:spacing w:val="-10"/>
      <w:kern w:val="28"/>
      <w:sz w:val="56"/>
      <w:szCs w:val="56"/>
      <w:lang w:val="en-GB"/>
      <w14:ligatures w14:val="standardContextual"/>
    </w:rPr>
  </w:style>
  <w:style w:type="character" w:customStyle="1" w:styleId="a4">
    <w:name w:val="标题 字符"/>
    <w:basedOn w:val="a0"/>
    <w:link w:val="a3"/>
    <w:uiPriority w:val="10"/>
    <w:rsid w:val="008E48F9"/>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rsid w:val="008E48F9"/>
    <w:pPr>
      <w:numPr>
        <w:ilvl w:val="1"/>
      </w:numPr>
      <w:spacing w:after="160" w:line="278" w:lineRule="auto"/>
      <w:jc w:val="center"/>
    </w:pPr>
    <w:rPr>
      <w:rFonts w:asciiTheme="majorHAnsi" w:eastAsiaTheme="majorEastAsia" w:hAnsiTheme="majorHAnsi" w:cstheme="majorBidi"/>
      <w:color w:val="595959" w:themeColor="text1" w:themeTint="A6"/>
      <w:spacing w:val="15"/>
      <w:sz w:val="28"/>
      <w:szCs w:val="28"/>
      <w:lang w:val="en-GB"/>
      <w14:ligatures w14:val="standardContextual"/>
    </w:rPr>
  </w:style>
  <w:style w:type="character" w:customStyle="1" w:styleId="a6">
    <w:name w:val="副标题 字符"/>
    <w:basedOn w:val="a0"/>
    <w:link w:val="a5"/>
    <w:uiPriority w:val="11"/>
    <w:rsid w:val="008E48F9"/>
    <w:rPr>
      <w:rFonts w:asciiTheme="majorHAnsi" w:eastAsiaTheme="majorEastAsia" w:hAnsiTheme="majorHAnsi" w:cstheme="majorBidi"/>
      <w:color w:val="595959" w:themeColor="text1" w:themeTint="A6"/>
      <w:spacing w:val="15"/>
      <w:sz w:val="28"/>
      <w:szCs w:val="28"/>
      <w:lang w:val="en-GB"/>
    </w:rPr>
  </w:style>
  <w:style w:type="paragraph" w:styleId="a7">
    <w:name w:val="Quote"/>
    <w:basedOn w:val="a"/>
    <w:next w:val="a"/>
    <w:link w:val="a8"/>
    <w:uiPriority w:val="29"/>
    <w:qFormat/>
    <w:rsid w:val="008E48F9"/>
    <w:pPr>
      <w:spacing w:before="160" w:after="160" w:line="278" w:lineRule="auto"/>
      <w:jc w:val="center"/>
    </w:pPr>
    <w:rPr>
      <w:rFonts w:asciiTheme="minorHAnsi" w:eastAsiaTheme="minorEastAsia" w:hAnsiTheme="minorHAnsi" w:cstheme="minorBidi"/>
      <w:i/>
      <w:iCs/>
      <w:color w:val="404040" w:themeColor="text1" w:themeTint="BF"/>
      <w:sz w:val="22"/>
      <w:szCs w:val="24"/>
      <w:lang w:val="en-GB"/>
      <w14:ligatures w14:val="standardContextual"/>
    </w:rPr>
  </w:style>
  <w:style w:type="character" w:customStyle="1" w:styleId="a8">
    <w:name w:val="引用 字符"/>
    <w:basedOn w:val="a0"/>
    <w:link w:val="a7"/>
    <w:uiPriority w:val="29"/>
    <w:rsid w:val="008E48F9"/>
    <w:rPr>
      <w:i/>
      <w:iCs/>
      <w:color w:val="404040" w:themeColor="text1" w:themeTint="BF"/>
      <w:lang w:val="en-GB"/>
    </w:rPr>
  </w:style>
  <w:style w:type="paragraph" w:styleId="a9">
    <w:name w:val="List Paragraph"/>
    <w:basedOn w:val="a"/>
    <w:uiPriority w:val="34"/>
    <w:qFormat/>
    <w:rsid w:val="008E48F9"/>
    <w:pPr>
      <w:spacing w:after="160" w:line="278" w:lineRule="auto"/>
      <w:ind w:left="720"/>
      <w:contextualSpacing/>
      <w:jc w:val="left"/>
    </w:pPr>
    <w:rPr>
      <w:rFonts w:asciiTheme="minorHAnsi" w:eastAsiaTheme="minorEastAsia" w:hAnsiTheme="minorHAnsi" w:cstheme="minorBidi"/>
      <w:sz w:val="22"/>
      <w:szCs w:val="24"/>
      <w:lang w:val="en-GB"/>
      <w14:ligatures w14:val="standardContextual"/>
    </w:rPr>
  </w:style>
  <w:style w:type="character" w:styleId="aa">
    <w:name w:val="Intense Emphasis"/>
    <w:basedOn w:val="a0"/>
    <w:uiPriority w:val="21"/>
    <w:qFormat/>
    <w:rsid w:val="008E48F9"/>
    <w:rPr>
      <w:i/>
      <w:iCs/>
      <w:color w:val="0F4761" w:themeColor="accent1" w:themeShade="BF"/>
    </w:rPr>
  </w:style>
  <w:style w:type="paragraph" w:styleId="ab">
    <w:name w:val="Intense Quote"/>
    <w:basedOn w:val="a"/>
    <w:next w:val="a"/>
    <w:link w:val="ac"/>
    <w:uiPriority w:val="30"/>
    <w:qFormat/>
    <w:rsid w:val="008E48F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sz w:val="22"/>
      <w:szCs w:val="24"/>
      <w:lang w:val="en-GB"/>
      <w14:ligatures w14:val="standardContextual"/>
    </w:rPr>
  </w:style>
  <w:style w:type="character" w:customStyle="1" w:styleId="ac">
    <w:name w:val="明显引用 字符"/>
    <w:basedOn w:val="a0"/>
    <w:link w:val="ab"/>
    <w:uiPriority w:val="30"/>
    <w:rsid w:val="008E48F9"/>
    <w:rPr>
      <w:i/>
      <w:iCs/>
      <w:color w:val="0F4761" w:themeColor="accent1" w:themeShade="BF"/>
      <w:lang w:val="en-GB"/>
    </w:rPr>
  </w:style>
  <w:style w:type="character" w:styleId="ad">
    <w:name w:val="Intense Reference"/>
    <w:basedOn w:val="a0"/>
    <w:uiPriority w:val="32"/>
    <w:qFormat/>
    <w:rsid w:val="008E48F9"/>
    <w:rPr>
      <w:b/>
      <w:bCs/>
      <w:smallCaps/>
      <w:color w:val="0F4761" w:themeColor="accent1" w:themeShade="BF"/>
      <w:spacing w:val="5"/>
    </w:rPr>
  </w:style>
  <w:style w:type="paragraph" w:styleId="ae">
    <w:name w:val="footer"/>
    <w:basedOn w:val="a"/>
    <w:link w:val="af"/>
    <w:uiPriority w:val="99"/>
    <w:unhideWhenUsed/>
    <w:rsid w:val="00D54E3F"/>
    <w:pPr>
      <w:tabs>
        <w:tab w:val="center" w:pos="4153"/>
        <w:tab w:val="right" w:pos="8306"/>
      </w:tabs>
      <w:snapToGrid w:val="0"/>
      <w:jc w:val="left"/>
    </w:pPr>
    <w:rPr>
      <w:sz w:val="18"/>
      <w:szCs w:val="18"/>
    </w:rPr>
  </w:style>
  <w:style w:type="character" w:customStyle="1" w:styleId="af">
    <w:name w:val="页脚 字符"/>
    <w:basedOn w:val="a0"/>
    <w:link w:val="ae"/>
    <w:uiPriority w:val="99"/>
    <w:rsid w:val="00D54E3F"/>
    <w:rPr>
      <w:rFonts w:ascii="Calibri" w:eastAsia="宋体" w:hAnsi="Calibri" w:cs="Times New Roman"/>
      <w:sz w:val="18"/>
      <w:szCs w:val="18"/>
      <w14:ligatures w14:val="none"/>
    </w:rPr>
  </w:style>
  <w:style w:type="character" w:styleId="af0">
    <w:name w:val="page number"/>
    <w:basedOn w:val="a0"/>
    <w:uiPriority w:val="99"/>
    <w:semiHidden/>
    <w:unhideWhenUsed/>
    <w:rsid w:val="00D54E3F"/>
  </w:style>
  <w:style w:type="paragraph" w:styleId="af1">
    <w:name w:val="Bibliography"/>
    <w:basedOn w:val="a"/>
    <w:next w:val="a"/>
    <w:uiPriority w:val="37"/>
    <w:unhideWhenUsed/>
    <w:rsid w:val="009801D9"/>
    <w:pPr>
      <w:spacing w:after="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file:////Users/shajinqi/Library/Containers/com.kingsoft.wpsoffice.mac/Data/tmp/wps-shajinqi/ksohtml/wps1.p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12071</Words>
  <Characters>65671</Characters>
  <Application>Microsoft Office Word</Application>
  <DocSecurity>0</DocSecurity>
  <Lines>9381</Lines>
  <Paragraphs>1690</Paragraphs>
  <ScaleCrop>false</ScaleCrop>
  <Company/>
  <LinksUpToDate>false</LinksUpToDate>
  <CharactersWithSpaces>76052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Jinqi Sha (2502887)</dc:creator>
  <cp:keywords/>
  <dc:description/>
  <cp:lastModifiedBy>Jinqi Sha (2502887)</cp:lastModifiedBy>
  <cp:revision>2</cp:revision>
  <dcterms:created xsi:type="dcterms:W3CDTF">2025-12-11T17:27:00Z</dcterms:created>
  <dcterms:modified xsi:type="dcterms:W3CDTF">2025-12-11T17:27:00Z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id="H7Jk8l5f"/&gt;&lt;style id="http://www.zotero.org/styles/harvard-cite-them-right" locale="en-GB" hasBibliography="1" bibliographyStyleHasBeenSet="1"/&gt;&lt;prefs&gt;&lt;pref name="fieldType" value="Field"/&gt;&lt;/pref</vt:lpwstr>
  </property>
  <property fmtid="{D5CDD505-2E9C-101B-9397-08002B2CF9AE}" pid="3" name="ZOTERO_PREF_2">
    <vt:lpwstr>s&gt;&lt;/data&gt;</vt:lpwstr>
  </property>
</Properties>
</file>