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after="20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Pr>
        <w:drawing>
          <wp:inline distB="114300" distT="114300" distL="114300" distR="114300">
            <wp:extent cx="3719513" cy="1859756"/>
            <wp:effectExtent b="0" l="0" r="0" t="0"/>
            <wp:docPr id="18"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3719513" cy="185975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0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Module Code: LCMB7003</w:t>
      </w:r>
    </w:p>
    <w:p w:rsidR="00000000" w:rsidDel="00000000" w:rsidP="00000000" w:rsidRDefault="00000000" w:rsidRPr="00000000" w14:paraId="00000003">
      <w:pPr>
        <w:spacing w:after="200" w:before="24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Module Name: Strategic Management</w:t>
      </w:r>
    </w:p>
    <w:p w:rsidR="00000000" w:rsidDel="00000000" w:rsidP="00000000" w:rsidRDefault="00000000" w:rsidRPr="00000000" w14:paraId="00000004">
      <w:pPr>
        <w:spacing w:after="200" w:before="24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Title: Market Entry Business Strategy of BMW in Vietnam</w:t>
      </w:r>
    </w:p>
    <w:p w:rsidR="00000000" w:rsidDel="00000000" w:rsidP="00000000" w:rsidRDefault="00000000" w:rsidRPr="00000000" w14:paraId="00000005">
      <w:pPr>
        <w:spacing w:after="200" w:before="240" w:line="360" w:lineRule="auto"/>
        <w:jc w:val="center"/>
        <w:rPr/>
      </w:pPr>
      <w:r w:rsidDel="00000000" w:rsidR="00000000" w:rsidRPr="00000000">
        <w:rPr>
          <w:rFonts w:ascii="Times New Roman" w:cs="Times New Roman" w:eastAsia="Times New Roman" w:hAnsi="Times New Roman"/>
          <w:b w:val="1"/>
          <w:bCs w:val="1"/>
          <w:sz w:val="32"/>
          <w:szCs w:val="32"/>
          <w:rtl w:val="0"/>
        </w:rPr>
        <w:t xml:space="preserve">Student Name : MD Alauddin Sarker</w:t>
      </w:r>
      <w:r w:rsidDel="00000000" w:rsidR="00000000" w:rsidRPr="00000000">
        <w:rPr>
          <w:rtl w:val="0"/>
        </w:rPr>
      </w:r>
    </w:p>
    <w:p w:rsidR="00000000" w:rsidDel="00000000" w:rsidP="00000000" w:rsidRDefault="00000000" w:rsidRPr="00000000" w14:paraId="00000006">
      <w:pPr>
        <w:spacing w:after="200" w:before="24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ID : 2432631</w:t>
      </w:r>
    </w:p>
    <w:p w:rsidR="00000000" w:rsidDel="00000000" w:rsidP="00000000" w:rsidRDefault="00000000" w:rsidRPr="00000000" w14:paraId="00000007">
      <w:pPr>
        <w:spacing w:after="20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Word count: 5000</w:t>
      </w:r>
    </w:p>
    <w:p w:rsidR="00000000" w:rsidDel="00000000" w:rsidP="00000000" w:rsidRDefault="00000000" w:rsidRPr="00000000" w14:paraId="00000008">
      <w:pPr>
        <w:spacing w:after="200" w:line="360" w:lineRule="auto"/>
        <w:jc w:val="center"/>
        <w:rPr>
          <w:rFonts w:ascii="Times New Roman" w:cs="Times New Roman" w:eastAsia="Times New Roman" w:hAnsi="Times New Roman"/>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after="20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Table of Contents </w:t>
      </w:r>
    </w:p>
    <w:sdt>
      <w:sdtPr>
        <w:id w:val="531252278"/>
        <w:docPartObj>
          <w:docPartGallery w:val="Table of Contents"/>
          <w:docPartUnique w:val="1"/>
        </w:docPartObj>
      </w:sdtPr>
      <w:sdtContent>
        <w:p w:rsidR="00000000" w:rsidDel="00000000" w:rsidP="00000000" w:rsidRDefault="00000000" w:rsidRPr="00000000" w14:paraId="0000000A">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heading=h.s76lrlgi8uxk">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vgtvucpyug3j">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 Selection of Organisation and Target Market</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xvx38gl1lzrm">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2.1 Overview of The Organisation</w:t>
              <w:tab/>
              <w:t xml:space="preserve">3</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mdd7k9tl4rl3">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2.2 Target Market and its Analysis</w:t>
              <w:tab/>
              <w:t xml:space="preserve">5</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py21gl7kp1h9">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 Comprehensive Strategic Analysis</w:t>
              <w:tab/>
              <w:t xml:space="preserve">8</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bt2gmelyodd">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3.1 PESTEL Analysis</w:t>
              <w:tab/>
              <w:t xml:space="preserve">8</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r0q24c4erm7a">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3.2 Porter’s Five Forces Analysis</w:t>
              <w:tab/>
              <w:t xml:space="preserve">11</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rz8fej626y19">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3.3 Competitor’s Analysis</w:t>
              <w:tab/>
              <w:t xml:space="preserve">13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1jifvdnvx0xe">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3.4 VRIO Analysis</w:t>
              <w:tab/>
              <w:t xml:space="preserve">13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r0agvjve9hkd">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4. Strategic Development and Formulation</w:t>
              <w:tab/>
              <w:t xml:space="preserve">14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jara1kfl2otq">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4.1 Market Penetration and Product Development Through Ansoff Matrix</w:t>
              <w:tab/>
              <w:t xml:space="preserve">14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czh4ceef5yun">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4.2 Entry Strategy</w:t>
              <w:tab/>
              <w:t xml:space="preserve">16</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ni0z0xx8ieml">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4.3 Sustainable Competitive Advantage</w:t>
              <w:tab/>
              <w:t xml:space="preserve">16</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c7kutpdn5ljs">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4.4 CSR and Ethical Strategy</w:t>
              <w:tab/>
              <w:t xml:space="preserve">17</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6t7x19fennm4">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5. Performance Evaluation Framework</w:t>
              <w:tab/>
              <w:t xml:space="preserve">19</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5eq617kcbvjn">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5.1 Balanced Scorecard</w:t>
              <w:tab/>
              <w:t xml:space="preserve">19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360" w:lineRule="auto"/>
            <w:ind w:left="360" w:firstLine="0"/>
            <w:jc w:val="both"/>
            <w:rPr>
              <w:rFonts w:ascii="Times New Roman" w:cs="Times New Roman" w:eastAsia="Times New Roman" w:hAnsi="Times New Roman"/>
              <w:color w:val="000000"/>
              <w:sz w:val="24"/>
              <w:szCs w:val="24"/>
              <w:u w:val="none"/>
            </w:rPr>
          </w:pPr>
          <w:hyperlink w:anchor="_heading=h.59leg4s7d067">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5.2 Triple Bottom Line (TBL)</w:t>
              <w:tab/>
              <w:t xml:space="preserve">21</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i5hzrwo4zr9k">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6. Conclusion</w:t>
              <w:tab/>
              <w:t xml:space="preserve">23</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360" w:lineRule="auto"/>
            <w:jc w:val="both"/>
            <w:rPr>
              <w:rFonts w:ascii="Times New Roman" w:cs="Times New Roman" w:eastAsia="Times New Roman" w:hAnsi="Times New Roman"/>
              <w:color w:val="000000"/>
              <w:sz w:val="24"/>
              <w:szCs w:val="24"/>
              <w:u w:val="none"/>
            </w:rPr>
          </w:pPr>
          <w:hyperlink w:anchor="_heading=h.rfiitb4gnj0m">
            <w:r w:rsidDel="00000000" w:rsidR="00000000" w:rsidRPr="00000000">
              <w:rPr>
                <w:rFonts w:ascii="Times New Roman" w:cs="Times New Roman" w:eastAsia="Times New Roman" w:hAnsi="Times New Roman"/>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after="200" w:line="360" w:lineRule="auto"/>
        <w:jc w:val="both"/>
        <w:rPr>
          <w:rFonts w:ascii="Times New Roman" w:cs="Times New Roman" w:eastAsia="Times New Roman" w:hAnsi="Times New Roman"/>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spacing w:after="200" w:line="360" w:lineRule="auto"/>
        <w:jc w:val="both"/>
        <w:rPr/>
      </w:pPr>
      <w:bookmarkStart w:colFirst="0" w:colLast="0" w:name="_heading=h.s76lrlgi8uxk" w:id="0"/>
      <w:bookmarkEnd w:id="0"/>
      <w:r w:rsidDel="00000000" w:rsidR="00000000" w:rsidRPr="00000000">
        <w:rPr>
          <w:rtl w:val="0"/>
        </w:rPr>
        <w:t xml:space="preserve">1. Introduction </w:t>
      </w:r>
    </w:p>
    <w:p w:rsidR="00000000" w:rsidDel="00000000" w:rsidP="00000000" w:rsidRDefault="00000000" w:rsidRPr="00000000" w14:paraId="0000001F">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innovation, international competition, and changing consumer expectations are some of the factors that have made the global business environment more dynamic over time. In this regard, multinational corporations are required to demonstrate strategic agility when entering new geographic markets. Vietnam is a significant country that falls under the category of emerging markets in Asia and, thus, has become quite attractive as a result of increasing disposable income, fast urbanisation, and rising demand for luxury mobility solutions (Vinh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Accordingly, it opens up the space for the sale of premium cars in the country. BMW is a global luxury car brand that is most commonly associated with the highest quality of engineering, excellent performance, and innovation in the field of electric vehicles (EVs). Although the company enjoys a high level of market penetration in Europe, North America, and China, the ASEAN region remains a relatively untapped market with significant potential for the future. </w:t>
      </w:r>
    </w:p>
    <w:p w:rsidR="00000000" w:rsidDel="00000000" w:rsidP="00000000" w:rsidRDefault="00000000" w:rsidRPr="00000000" w14:paraId="00000020">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 in particular, is a place that offers a very attractive prospect. This report is about the development of a strategy that is academically rigorous and based on evidence for BMW's expansion in the Vietnamese market. The study uses sophisticated strategic management frameworks such as PESTLE, Porter's Five Forces, VRIO, and competitor evaluation to identify the entry mode and justify it. Theories and models are integrated in the subsequent sections. Entry mode and competitive positioning are the main strategy elements. The competitive strategies of the Ansoff Matrix, supported by specific functional strategies, will be used here. Besides that, the report suggests a balanced scorecard as a performance appraisal tool to be able to guarantee continuous strategic consistency. The BMW needs to develop strategic leverage and an adaptive, locally aligned strategy to capitalise on the current Vietnamese premium vehicle market growth. </w:t>
      </w:r>
    </w:p>
    <w:p w:rsidR="00000000" w:rsidDel="00000000" w:rsidP="00000000" w:rsidRDefault="00000000" w:rsidRPr="00000000" w14:paraId="00000021">
      <w:pPr>
        <w:pStyle w:val="Heading1"/>
        <w:spacing w:after="200" w:line="360" w:lineRule="auto"/>
        <w:jc w:val="both"/>
        <w:rPr/>
      </w:pPr>
      <w:bookmarkStart w:colFirst="0" w:colLast="0" w:name="_heading=h.vgtvucpyug3j" w:id="1"/>
      <w:bookmarkEnd w:id="1"/>
      <w:r w:rsidDel="00000000" w:rsidR="00000000" w:rsidRPr="00000000">
        <w:rPr>
          <w:rtl w:val="0"/>
        </w:rPr>
        <w:t xml:space="preserve">2. Selection of Organisation and Target Market </w:t>
      </w:r>
    </w:p>
    <w:p w:rsidR="00000000" w:rsidDel="00000000" w:rsidP="00000000" w:rsidRDefault="00000000" w:rsidRPr="00000000" w14:paraId="00000022">
      <w:pPr>
        <w:pStyle w:val="Heading2"/>
        <w:spacing w:after="200" w:line="360" w:lineRule="auto"/>
        <w:jc w:val="both"/>
        <w:rPr/>
      </w:pPr>
      <w:bookmarkStart w:colFirst="0" w:colLast="0" w:name="_heading=h.xvx38gl1lzrm" w:id="2"/>
      <w:bookmarkEnd w:id="2"/>
      <w:r w:rsidDel="00000000" w:rsidR="00000000" w:rsidRPr="00000000">
        <w:rPr>
          <w:rtl w:val="0"/>
        </w:rPr>
        <w:t xml:space="preserve">2.1 Overview of The Organisation </w:t>
      </w:r>
    </w:p>
    <w:p w:rsidR="00000000" w:rsidDel="00000000" w:rsidP="00000000" w:rsidRDefault="00000000" w:rsidRPr="00000000" w14:paraId="00000023">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founded in 1916, is a German multinational automotive manufacturer that offers premium and luxury vehicles (BMW Group, 2025). Besides cars, the group deals in motorcycles and mobility solutions. The company has three brands, such as BMW, MINI, and Rolls-Royce, which are produced in several plants across Europe, Asia, and the Americas (BMW Group, 2024). The automaker has been consistently ranked as one of the most valuable automotive brands in the world, which is facilitated by its legacy of innovation, high-quality engineering, and environmental friendliness. The company's worldwide plan focuses on the use of electric vehicles, digital transformation, and creating a customer-centric approach for the local efficiency of operations to enter Vietnam. BMW's most substantial growth has been in mature markets, for example, the USA, Germany, and China. Besides, the car market has been highly saturated in the developed nations (Li, 2025). Consequently, the ASEAN countries have a lot bigger market potential, and considering the economic uncertainty in Europe, the company is focusing more on the new growth markets. Therefore, several South Asian countries have become a vast reservoir of consumer base and demand for luxury goods.</w:t>
      </w:r>
    </w:p>
    <w:p w:rsidR="00000000" w:rsidDel="00000000" w:rsidP="00000000" w:rsidRDefault="00000000" w:rsidRPr="00000000" w14:paraId="00000024">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2.2 Rationale for selecting Vietnam </w:t>
      </w:r>
    </w:p>
    <w:p w:rsidR="00000000" w:rsidDel="00000000" w:rsidP="00000000" w:rsidRDefault="00000000" w:rsidRPr="00000000" w14:paraId="00000025">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Vietnam moves towards becoming an upper-middle-income country, the country is witnessing a rapidly growing luxury car market, especially among the younger customers. The Vietnam luxury car market size was worth around 1.9 billion U.S. dollars in 2024. The market is forecasted to hit 2.1 billion USD by 2033, with an annual growth rate of 1.15% from 2025-2033  (IMARC Group, 2025). </w:t>
      </w:r>
    </w:p>
    <w:p w:rsidR="00000000" w:rsidDel="00000000" w:rsidP="00000000" w:rsidRDefault="00000000" w:rsidRPr="00000000" w14:paraId="00000026">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2870200"/>
            <wp:effectExtent b="25400" l="25400" r="25400" t="25400"/>
            <wp:docPr id="17"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5943600" cy="2870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7">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1: Vietnam Luxury Car Market Report by Vehicle Type</w:t>
      </w:r>
    </w:p>
    <w:p w:rsidR="00000000" w:rsidDel="00000000" w:rsidP="00000000" w:rsidRDefault="00000000" w:rsidRPr="00000000" w14:paraId="00000028">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(IMARC Group, 2025)</w:t>
      </w:r>
    </w:p>
    <w:p w:rsidR="00000000" w:rsidDel="00000000" w:rsidP="00000000" w:rsidRDefault="00000000" w:rsidRPr="00000000" w14:paraId="00000029">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IMARC Group, the increasing wealth and disposable income levels, shifting consumer preferences, fast urbanisation and traffic congestion, better infrastructure, arrival of international brands, support of government policies, and the expanding availability of financing are all leading to the market growth. Vietnam’s current generation has been composed of middle-class consumers who have seen their purchasing power increase and who will have been influenced in their choice of an electric vehicle by the government's push in the sector through tax reduction and infrastructure development (Ha</w:t>
      </w:r>
      <w:r w:rsidDel="00000000" w:rsidR="00000000" w:rsidRPr="00000000">
        <w:rPr>
          <w:rFonts w:ascii="Times New Roman" w:cs="Times New Roman" w:eastAsia="Times New Roman" w:hAnsi="Times New Roman"/>
          <w:i w:val="1"/>
          <w:iCs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2023). Although a brand like Mercedes-Benz dominates the scene, BMW has the chance to increase its share if it can engage with the wealthy, tech-savvy urban consumers, for whom the brand's focus on digital experiences, intelligent mobility and performance is really attractive, by means of efficient marketing.</w:t>
      </w:r>
    </w:p>
    <w:p w:rsidR="00000000" w:rsidDel="00000000" w:rsidP="00000000" w:rsidRDefault="00000000" w:rsidRPr="00000000" w14:paraId="0000002A">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reforms of Vietnam in terms of economic growth and consumer power, the country has witnessed a major growth in real GDP per capita, which has almost quadrupled since 1986 (Yaprak and Şahinöz, 2025). Such a development has led to the emergence of a sizable middle class as well as the increase of disposable income, especially among the younger demographics. The increase of disposable income subsequently leads to a rise in demand for premium goods. The statement is particularly valid for urban centres where a young and aspirational population is getting more and more capable of buying luxury items, among which are premium vehicles.</w:t>
      </w:r>
    </w:p>
    <w:p w:rsidR="00000000" w:rsidDel="00000000" w:rsidP="00000000" w:rsidRDefault="00000000" w:rsidRPr="00000000" w14:paraId="0000002B">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Vietnam's luxury car market is vibrant. The likes of Mercedes-Benz, Lexus, and Audi are recording high volumes of sales (Small, 2023). The premium segment will probably maintain the trend of 1.15% yearly growth for the next few years. Moreover, the younger demographic in Vietnam, which is a young population with a large youth demographic, is actively seeking premium brands and new technologies. In addition, the government is moving towards a green transformation, which is in perfect harmony with BMW's "i-series" electric vehicles, thus giving a strategic advantage in a market that is becoming more and more eco-friendly.</w:t>
      </w:r>
    </w:p>
    <w:p w:rsidR="00000000" w:rsidDel="00000000" w:rsidP="00000000" w:rsidRDefault="00000000" w:rsidRPr="00000000" w14:paraId="0000002C">
      <w:pPr>
        <w:pStyle w:val="Heading2"/>
        <w:spacing w:after="0" w:before="0" w:line="360" w:lineRule="auto"/>
        <w:jc w:val="both"/>
        <w:rPr/>
      </w:pPr>
      <w:bookmarkStart w:colFirst="0" w:colLast="0" w:name="_heading=h.mdd7k9tl4rl3" w:id="3"/>
      <w:bookmarkEnd w:id="3"/>
      <w:r w:rsidDel="00000000" w:rsidR="00000000" w:rsidRPr="00000000">
        <w:rPr>
          <w:rtl w:val="0"/>
        </w:rPr>
        <w:t xml:space="preserve">2.2 Target Market and its Analysis </w:t>
      </w:r>
    </w:p>
    <w:p w:rsidR="00000000" w:rsidDel="00000000" w:rsidP="00000000" w:rsidRDefault="00000000" w:rsidRPr="00000000" w14:paraId="0000002D">
      <w:pPr>
        <w:spacing w:after="0" w:before="0"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Demographic segment of customers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Vietnam, BMW is mainly aiming at rich and liberal-minded city dwellers, the group of people comprising well-established professionals and business owners aged 27 and above who look for a mix of luxury, performance, and status in their lives (Le, Posada and Yang, 2022). The market in Vietnam is expanding because of Vietnam's economic growth, increasing urbanisation and a young and tech-savvy demographic that highly appreciates brand prestige and sophisticated features. According to BMW's study, the company has to meet the demands of different sub-segments of this affluent group, from those looking for high-tech functionality to those wanting performance and style.</w:t>
      </w:r>
    </w:p>
    <w:p w:rsidR="00000000" w:rsidDel="00000000" w:rsidP="00000000" w:rsidRDefault="00000000" w:rsidRPr="00000000" w14:paraId="0000002F">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Psychographic segment of customers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Psychographically speaking, the perfect customer segment should be those who crave and value luxury, glory, and a brand that mirrors their achievement and social rank (Liu, Lu and Qi, 2021). BMW cars come with the latest and top-notch technology that provides an extraordinary experience, aside from just a means of transport. Regarding the consumption pattern, the increasing urbanisation has been the main factor that has pushed up the demand for luxury products as a means of showing off one's social status.</w:t>
      </w:r>
    </w:p>
    <w:p w:rsidR="00000000" w:rsidDel="00000000" w:rsidP="00000000" w:rsidRDefault="00000000" w:rsidRPr="00000000" w14:paraId="00000031">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Behavioural segment of customers</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Vietnamese customers are, by nature, thorough researchers, detail comparers and tends to prioritise after-sales services (Ngo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When it comes to brand awareness, they are affectionate to brands that not only constantly satisfy their needs but are also trendy globally. The younger generation of Vietnam is adept with digital channels for research and purchasing.</w:t>
      </w:r>
    </w:p>
    <w:p w:rsidR="00000000" w:rsidDel="00000000" w:rsidP="00000000" w:rsidRDefault="00000000" w:rsidRPr="00000000" w14:paraId="00000033">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Market Analysis of Vietnam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Vietnam's developing economy has led to the emergence of a new class of high-net-worth individuals and a sizeable upper-middle-class population. As a result, a significant proportion of people are relocating to cities like Hanoi and Ho Chi Minh City. As of 2024, the percentage of people residing in cities in Vietnam was 38.5% of the overall population (Nguyen, 2024). The proportion of urban dwellers in the nation has been increasing continuously every year for several years. There, urban Vietnamese people get exposed to international trends and a higher concentration of wealth, which in turn is driving the demand for luxury goods and premium cars. Besides that, a large and rapidly growing group of internet-savvy consumers mainly use online platforms for product research and purchasing decisions. Luxury brands have responded to this trend by providing digital showrooms and online tools.</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987800"/>
            <wp:effectExtent b="25400" l="25400" r="25400" t="25400"/>
            <wp:docPr id="20"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987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6">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2: Share of the urban population in Vietnam 2018-2024</w:t>
      </w:r>
    </w:p>
    <w:p w:rsidR="00000000" w:rsidDel="00000000" w:rsidP="00000000" w:rsidRDefault="00000000" w:rsidRPr="00000000" w14:paraId="0000003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(Nguyen, 2024)</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 is a very favorable market in the introduction of the luxury electric vehicle considering there are strong government measures to promote the use of electric vehicles (EVs). It is an already wealthy market, which is slowly turning into an environmentally friendly one (Lan, 2023). Moreover, a huge and increasingly expanding number of the populace that is well equipped in internet proficiency relies on web-based mediums to conduct research and make their buying choices. Luxury brands have been rapid in adjusting to the reality, providing online showrooms and other tools (Hyun et al., 2024). The government is also putting in place measures that will make the use of EVs more attractive, thereby creating a conducive environment for the arrival of luxury electric vehicles in a market that is not only affluent but also increasingly conscious of sustainability.</w:t>
      </w:r>
    </w:p>
    <w:p w:rsidR="00000000" w:rsidDel="00000000" w:rsidP="00000000" w:rsidRDefault="00000000" w:rsidRPr="00000000" w14:paraId="00000039">
      <w:pPr>
        <w:pStyle w:val="Heading1"/>
        <w:rPr/>
      </w:pPr>
      <w:bookmarkStart w:colFirst="0" w:colLast="0" w:name="_heading=h.py21gl7kp1h9" w:id="4"/>
      <w:bookmarkEnd w:id="4"/>
      <w:r w:rsidDel="00000000" w:rsidR="00000000" w:rsidRPr="00000000">
        <w:rPr>
          <w:rtl w:val="0"/>
        </w:rPr>
        <w:t xml:space="preserve">3. Comprehensive Strategic Analysis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conducting strategic analysis, used such as PESTEL, Porter’s Five Forces, Comparative analysis and VRIO analysis, to properly assess competitive factors for BMW to enter into Vietnam market.</w:t>
      </w:r>
    </w:p>
    <w:p w:rsidR="00000000" w:rsidDel="00000000" w:rsidP="00000000" w:rsidRDefault="00000000" w:rsidRPr="00000000" w14:paraId="0000003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810000"/>
            <wp:effectExtent b="0" l="0" r="0" t="0"/>
            <wp:docPr id="19"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9436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Gross domestic product (GDP) in Vietnam 1987-2030</w:t>
      </w:r>
    </w:p>
    <w:p w:rsidR="00000000" w:rsidDel="00000000" w:rsidP="00000000" w:rsidRDefault="00000000" w:rsidRPr="00000000" w14:paraId="0000003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(O’Neil, 2025)</w:t>
      </w:r>
    </w:p>
    <w:p w:rsidR="00000000" w:rsidDel="00000000" w:rsidP="00000000" w:rsidRDefault="00000000" w:rsidRPr="00000000" w14:paraId="0000003E">
      <w:pPr>
        <w:pStyle w:val="Heading2"/>
        <w:spacing w:after="200" w:line="360" w:lineRule="auto"/>
        <w:rPr>
          <w:rFonts w:ascii="Times New Roman" w:cs="Times New Roman" w:eastAsia="Times New Roman" w:hAnsi="Times New Roman"/>
          <w:sz w:val="24"/>
          <w:szCs w:val="24"/>
        </w:rPr>
      </w:pPr>
      <w:bookmarkStart w:colFirst="0" w:colLast="0" w:name="_heading=h.bt2gmelyodd" w:id="5"/>
      <w:bookmarkEnd w:id="5"/>
      <w:r w:rsidDel="00000000" w:rsidR="00000000" w:rsidRPr="00000000">
        <w:rPr>
          <w:rtl w:val="0"/>
        </w:rPr>
        <w:t xml:space="preserve">3.1 PESTEL Analysis </w:t>
      </w: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45"/>
        <w:gridCol w:w="5670"/>
        <w:gridCol w:w="2145"/>
        <w:tblGridChange w:id="0">
          <w:tblGrid>
            <w:gridCol w:w="1545"/>
            <w:gridCol w:w="5670"/>
            <w:gridCol w:w="2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PESTEL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Description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Opportunities/Threats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Political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Vietnam's government has progressively liberalised its market since the late 80s and has implemented policies regarding foreign investment, trade agreements, political stability, and the country's relations with Germany (Marslev and Staritz, 2023). The government of Vietnam is gradually removing obstacles foreign investors will face in the market, yet the possibility of interference from the government and the enforcement of strict provisions still remains. In addition, the difficulties in controlling labour costs within the European political framework have led BMW to move its production to more cost-effective areas such as the US, China, and other ASEAN countries (Yeung, 2024). This was a move made in response to the rigid labour policies in Germany, where BMW’s main operations were located.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Opportunity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Econony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the AESAN economic downturn in 1998, Vietnam has been bouncing back quite fast due to decreasing stock prices and weakening car sales in most markets. The US Market experienced a very steep fall, thus causing a chain of events that led to a drop in the profits of big companies like GM, Ford and the rest (Grieco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Vietnam is a shining example of timely development after the establishment of Đổi Mới in 1986, to opened Vietnam's economy to the rest of the world. Since this period, Vietnam has transitioned from one of the poorest countries to a middle-income economy (O’Neil, 2025). The real GDP per capita has increased from less than $700 in 1986 to nearly $4,500 in 2023, while the proportion of the population living on less than $3.65/day has been reduced from 14 per cent in 2010 to less than 4 per cent in 2023. GDP during 2024 expanded by 7.1 per cent (World Bank, 2025). The growth rate is predicted to fall to 5.8 per cent in 2025 due to the increase in trade policy uncertainty and then to get back to around 6.1 per cent in 2026. Hence, people in Vietnam are in a position to spend resources on luxury or premium products such as vehicles.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Opportunity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Social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Vietnamese society is mostly homogeneous, and Vietnamese culture was quite focused on a liberal mindset despite the fact that communism has been a long-term policy. The youth population is also significant in Vietnam also has a good preference towards Western lifestyles and culture (Tram, 2024). Designers, brands and emotional relationships were more and more appreciated by consumers. After that, the Vietnamese social orientation was mainly on the characteristic of being a hard-working person, which has helped the country to speed up its progress over time. As a result, the Vietnamese society now consists of the rich, middle-class and working-class people (Trichur, 2025). With the increasing income among the Vietnamese people, there is an increasing demand for luxury products, such as vehicles, but also for a wider range of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Opportunity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Technology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Vietnam has been making significant progress in technology as its government has made generous investments. Vietnam's big investments in digital infrastructure, which include widespread 4G/5G networks and EV charging stations, are laying the perfect groundwork for sophisticated mobility solutions (Nguyen, 2023). This move is aimed at facilitating the easy spread of digital mobility technologies and connected vehicles in the country. With its focus on fully integrated vehicle connectivity and the all-inclusive My BMW App ecosystem, BMW is in a great position to take advantage of Vietnam's fast-changing, digitally-enabled automotive market to provide locally sophisticated, tech-savvy drivers with seamless experiences.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Opportunity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Enviroment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legal environment in Vietnam is a challenging one for businesses, especially in the case of the automotive sector, which is highly regulated in terms of emissions, safety and import duties (Pham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Moreover, foreign companies are limited in the percentage of shares they can own in the local market, but creating partnerships is not only an effective way but also a widely used one to get around these legal provisions and still be able to do business in the country.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Legal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changing environmental regulations, especially those related to emission standards and the encouragement of EVs, will have an impact on the products and the way they are produced. The concern of the public and the government for environmental sustainability might have an effect on the need for various types of vehicles and propel the adoption of eco-friendly business practices, for instance, local assembly and supply chain management (Li and Qamruzzaman, 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Threats </w:t>
            </w:r>
          </w:p>
        </w:tc>
      </w:tr>
    </w:tbl>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PESTEL analysis, it is found that BMW has significant opportunities across PEST factors which is contributed by Vietnam’s Đổi Mới policy and can become one of the rising country in the ASEAN region due to having a manufacturing sector as a major backbone, which contributed the rise of technological growth and disposable income which simulatanous gave rise of high income group in the country. In terms of Legal and Environmental factors, strict rules and regulations may force the company to initiate radical changes such as transition to petrol-driven vehicles to EVs.  </w:t>
      </w:r>
    </w:p>
    <w:p w:rsidR="00000000" w:rsidDel="00000000" w:rsidP="00000000" w:rsidRDefault="00000000" w:rsidRPr="00000000" w14:paraId="00000056">
      <w:pPr>
        <w:pStyle w:val="Heading2"/>
        <w:spacing w:after="200" w:line="360" w:lineRule="auto"/>
        <w:jc w:val="both"/>
        <w:rPr>
          <w:rFonts w:ascii="Times New Roman" w:cs="Times New Roman" w:eastAsia="Times New Roman" w:hAnsi="Times New Roman"/>
          <w:sz w:val="24"/>
          <w:szCs w:val="24"/>
        </w:rPr>
      </w:pPr>
      <w:bookmarkStart w:colFirst="0" w:colLast="0" w:name="_heading=h.r0q24c4erm7a" w:id="6"/>
      <w:bookmarkEnd w:id="6"/>
      <w:r w:rsidDel="00000000" w:rsidR="00000000" w:rsidRPr="00000000">
        <w:rPr>
          <w:rtl w:val="0"/>
        </w:rPr>
        <w:t xml:space="preserve">3.2 Porter’s Five Forces Analysis </w:t>
      </w: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95"/>
        <w:gridCol w:w="6075"/>
        <w:gridCol w:w="1290"/>
        <w:tblGridChange w:id="0">
          <w:tblGrid>
            <w:gridCol w:w="1995"/>
            <w:gridCol w:w="6075"/>
            <w:gridCol w:w="129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Porter’s Five Forces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Description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Risk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Competitive Rivalry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Mercedes-Benz enjoys price leadership in the Vietnamese luxury car market, mainly due to a strong local assembly, while Lexus and Audi continue to generate stable demand. As the leading national EV brand of Vietnam, VinFast is gaining more and more advantages through a wider product lineup and a global footprint, thus posing a threat to traditional luxury brands with its emphasis on electric mobility (Nguyen and Pham,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Threats of New Entrants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electric vehicle (EV) players are deterred by the high initial investment requirements and solid brand loyalty in Vietnam. On the other hand, the improved sector could be the reason for BMW's entry to be supported by government subsidies for EV production and the country's ample labor force and mineral reserves. As the market expands and the whole EV ecosystem evolves, there are ways for new entrants, including already established brands like BMW, to penetrate despite the existing difficulties (Kim, Shrestha and Pranawengkapti, 2025).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Supplier’s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is globally sourced, but it is facing high costs in a new market with limited local supply and import duties. This dependence amplifies the costs of the overall suppliers and their vulnerability, especially in countries with poorly developed local industries for automotive components. To reduce dependence on international imports and possibly lower operational costs, a local supply chain is necessary for BMW's venture in the Vietnamese market (Nakajima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 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Buyer’s Power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Luxury consumers put their highest priority on extremely personalised experiences and perfect after-sales support. Their loyalty depends on receiving continuous premium service. Brands that fail to provide these customers with the utmost care will lose their business immediately in such a demanding segment. Customers expect flawless execution and anticipatory care. Therefore, brand switching is easy in case standards are not always met. In the case of BMW, the brand needs high maintenance and servicing a German vehicle is expensive (Pisano</w:t>
            </w:r>
            <w:r w:rsidDel="00000000" w:rsidR="00000000" w:rsidRPr="00000000">
              <w:rPr>
                <w:rFonts w:ascii="Times New Roman" w:cs="Times New Roman" w:eastAsia="Times New Roman" w:hAnsi="Times New Roman"/>
                <w:i w:val="1"/>
                <w:iCs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Threat of Substitutes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Motorcycles are the main means of transportation in Vietnam, especially in the non-luxury sectors (Linh, 2024). However, BMW's entry could be the solution to the growing premium sector where luxury brands are chosen for status and design, as in the case of Italian scooter brands. Although,</w:t>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Motorcycles have a major share in the market; the rise of public transport and the growing environmental concerns about traffic congestion and pollution could lead to an indirect transition, thus opening up space for premium and eco-friendly alternatives.</w:t>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 </w:t>
            </w:r>
          </w:p>
        </w:tc>
      </w:tr>
    </w:tbl>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Porter’s analysis, BMW is required to innovate in the field of electric vehicles, provide better customer services for delivering premium customer experiences and maintain superior performance to remain in a competitive position.</w:t>
      </w:r>
    </w:p>
    <w:p w:rsidR="00000000" w:rsidDel="00000000" w:rsidP="00000000" w:rsidRDefault="00000000" w:rsidRPr="00000000" w14:paraId="0000006D">
      <w:pPr>
        <w:pStyle w:val="Heading2"/>
        <w:spacing w:after="200" w:line="360" w:lineRule="auto"/>
        <w:jc w:val="both"/>
        <w:rPr/>
      </w:pPr>
      <w:bookmarkStart w:colFirst="0" w:colLast="0" w:name="_heading=h.rz8fej626y19" w:id="7"/>
      <w:bookmarkEnd w:id="7"/>
      <w:r w:rsidDel="00000000" w:rsidR="00000000" w:rsidRPr="00000000">
        <w:rPr>
          <w:rtl w:val="0"/>
        </w:rPr>
        <w:t xml:space="preserve">3.3 Competitor’s Analysis </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Vietnamese luxury automotive market comprises a tightly knit group of longtime global players and one domestic company that is rapidly expanding. At present, Mercedes-Benz is in the most advantageous position, as it has been able to reap the benefits of an early market entry, a comprehensive local assembly, and an extensive dealership network that spans the major cities of Hanoi and Ho Chi Minh City (Small, 2023). Despite the high import duties in Vietnam on completely built-up (CBU) vehicles, Mercedes can keep relatively competitive prices because of its local production. </w:t>
      </w:r>
      <w:r w:rsidDel="00000000" w:rsidR="00000000" w:rsidRPr="00000000">
        <w:rPr>
          <w:rFonts w:ascii="Times New Roman" w:cs="Times New Roman" w:eastAsia="Times New Roman" w:hAnsi="Times New Roman"/>
          <w:b w:val="1"/>
          <w:bCs w:val="1"/>
          <w:i w:val="1"/>
          <w:iCs w:val="1"/>
          <w:sz w:val="24"/>
          <w:szCs w:val="24"/>
          <w:rtl w:val="0"/>
        </w:rPr>
        <w:t xml:space="preserve">Audi </w:t>
      </w:r>
      <w:r w:rsidDel="00000000" w:rsidR="00000000" w:rsidRPr="00000000">
        <w:rPr>
          <w:rFonts w:ascii="Times New Roman" w:cs="Times New Roman" w:eastAsia="Times New Roman" w:hAnsi="Times New Roman"/>
          <w:sz w:val="24"/>
          <w:szCs w:val="24"/>
          <w:rtl w:val="0"/>
        </w:rPr>
        <w:t xml:space="preserve">and </w:t>
      </w:r>
      <w:r w:rsidDel="00000000" w:rsidR="00000000" w:rsidRPr="00000000">
        <w:rPr>
          <w:rFonts w:ascii="Times New Roman" w:cs="Times New Roman" w:eastAsia="Times New Roman" w:hAnsi="Times New Roman"/>
          <w:b w:val="1"/>
          <w:bCs w:val="1"/>
          <w:i w:val="1"/>
          <w:iCs w:val="1"/>
          <w:sz w:val="24"/>
          <w:szCs w:val="24"/>
          <w:rtl w:val="0"/>
        </w:rPr>
        <w:t xml:space="preserve">Lexus</w:t>
      </w:r>
      <w:r w:rsidDel="00000000" w:rsidR="00000000" w:rsidRPr="00000000">
        <w:rPr>
          <w:rFonts w:ascii="Times New Roman" w:cs="Times New Roman" w:eastAsia="Times New Roman" w:hAnsi="Times New Roman"/>
          <w:sz w:val="24"/>
          <w:szCs w:val="24"/>
          <w:rtl w:val="0"/>
        </w:rPr>
        <w:t xml:space="preserve"> are two brands that operate with minimal but steady presence in the market (Small, 2023). Their main target is wealthy customers who look for aesthetic appeal, dependability, and a high level of after-sales service. Even though these brands are contenders for the same segments as BMW, their infiltration of the market is low due to less number of product lines and higher price levels.</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has created a certain competitive dynamic around the brand from </w:t>
      </w:r>
      <w:r w:rsidDel="00000000" w:rsidR="00000000" w:rsidRPr="00000000">
        <w:rPr>
          <w:rFonts w:ascii="Times New Roman" w:cs="Times New Roman" w:eastAsia="Times New Roman" w:hAnsi="Times New Roman"/>
          <w:b w:val="1"/>
          <w:bCs w:val="1"/>
          <w:i w:val="1"/>
          <w:iCs w:val="1"/>
          <w:sz w:val="24"/>
          <w:szCs w:val="24"/>
          <w:rtl w:val="0"/>
        </w:rPr>
        <w:t xml:space="preserve">VinFast,</w:t>
      </w:r>
      <w:r w:rsidDel="00000000" w:rsidR="00000000" w:rsidRPr="00000000">
        <w:rPr>
          <w:rFonts w:ascii="Times New Roman" w:cs="Times New Roman" w:eastAsia="Times New Roman" w:hAnsi="Times New Roman"/>
          <w:sz w:val="24"/>
          <w:szCs w:val="24"/>
          <w:rtl w:val="0"/>
        </w:rPr>
        <w:t xml:space="preserve"> the local electric vehicle manufacturer in Vietnam. Even if it does not compete directly in the luxury segment, VinFast has a significant influence on consumer preferences by making the electrification of the car fleet possible through lower prices, more intensive marketing, and strong support from the government for the electrification. The rapid expansion of </w:t>
      </w:r>
      <w:r w:rsidDel="00000000" w:rsidR="00000000" w:rsidRPr="00000000">
        <w:rPr>
          <w:rFonts w:ascii="Times New Roman" w:cs="Times New Roman" w:eastAsia="Times New Roman" w:hAnsi="Times New Roman"/>
          <w:b w:val="1"/>
          <w:bCs w:val="1"/>
          <w:i w:val="1"/>
          <w:iCs w:val="1"/>
          <w:sz w:val="24"/>
          <w:szCs w:val="24"/>
          <w:rtl w:val="0"/>
        </w:rPr>
        <w:t xml:space="preserve">BMW </w:t>
      </w:r>
      <w:r w:rsidDel="00000000" w:rsidR="00000000" w:rsidRPr="00000000">
        <w:rPr>
          <w:rFonts w:ascii="Times New Roman" w:cs="Times New Roman" w:eastAsia="Times New Roman" w:hAnsi="Times New Roman"/>
          <w:sz w:val="24"/>
          <w:szCs w:val="24"/>
          <w:rtl w:val="0"/>
        </w:rPr>
        <w:t xml:space="preserve">is what mainly changes its position in the EV market (Li, 2025). In essence, the German car brand is still a big player within an intensely competitive market, consisting of not only conventional luxury challengers but also a disruptive local EV brand, thus demanding strategic differentiation with the help of technology, brand experience, and better after-sales service.</w:t>
      </w:r>
    </w:p>
    <w:p w:rsidR="00000000" w:rsidDel="00000000" w:rsidP="00000000" w:rsidRDefault="00000000" w:rsidRPr="00000000" w14:paraId="0000007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pStyle w:val="Heading2"/>
        <w:spacing w:after="200" w:line="360" w:lineRule="auto"/>
        <w:jc w:val="both"/>
        <w:rPr>
          <w:rFonts w:ascii="Times New Roman" w:cs="Times New Roman" w:eastAsia="Times New Roman" w:hAnsi="Times New Roman"/>
          <w:sz w:val="24"/>
          <w:szCs w:val="24"/>
        </w:rPr>
      </w:pPr>
      <w:bookmarkStart w:colFirst="0" w:colLast="0" w:name="_heading=h.1jifvdnvx0xe" w:id="8"/>
      <w:bookmarkEnd w:id="8"/>
      <w:r w:rsidDel="00000000" w:rsidR="00000000" w:rsidRPr="00000000">
        <w:rPr>
          <w:rtl w:val="0"/>
        </w:rPr>
        <w:t xml:space="preserve">3.4 VRIO Analysis </w:t>
      </w: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Resources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Valuable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Rare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Inimitable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Organisation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Result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Brand Prestige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Sustained Advantage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EV Technology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Strong Advantage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Global Supply Chain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Temporary Advantage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Digital Integration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Competitive Advantage </w:t>
            </w:r>
          </w:p>
        </w:tc>
      </w:tr>
    </w:tbl>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has a number of strategic resources that can help it maintain a competitive advantage for a long time in the Vietnamese market. Their global premium brand reputation is a very valuable, rare, and hard-to-imitate feature for competitors, which makes BMW have a strong differentiation in the luxury segment. The company's cutting-edge electric vehicle technology, especially for the i-series, is also a valuable and rare feature that is supported by a high R&amp;D investment and that competitors cannot easily replicate. BMW's connected global supply chain also allows it to be more operationally efficient and to maintain quality consistency, thus giving it another capability that is difficult for competitors to imitate. These strengths are supported by an organisational structure that is able to leverage them effectively, thus enabling BMW to compete strongly in Vietnam.</w:t>
      </w:r>
    </w:p>
    <w:p w:rsidR="00000000" w:rsidDel="00000000" w:rsidP="00000000" w:rsidRDefault="00000000" w:rsidRPr="00000000" w14:paraId="00000092">
      <w:pPr>
        <w:pStyle w:val="Heading1"/>
        <w:spacing w:after="200" w:line="360" w:lineRule="auto"/>
        <w:jc w:val="both"/>
        <w:rPr/>
      </w:pPr>
      <w:bookmarkStart w:colFirst="0" w:colLast="0" w:name="_heading=h.r0agvjve9hkd" w:id="9"/>
      <w:bookmarkEnd w:id="9"/>
      <w:r w:rsidDel="00000000" w:rsidR="00000000" w:rsidRPr="00000000">
        <w:rPr>
          <w:rtl w:val="0"/>
        </w:rPr>
        <w:t xml:space="preserve">4. Strategic Development and Formulation</w:t>
      </w:r>
    </w:p>
    <w:p w:rsidR="00000000" w:rsidDel="00000000" w:rsidP="00000000" w:rsidRDefault="00000000" w:rsidRPr="00000000" w14:paraId="00000093">
      <w:pPr>
        <w:pStyle w:val="Heading2"/>
        <w:spacing w:after="200" w:line="360" w:lineRule="auto"/>
        <w:jc w:val="both"/>
        <w:rPr/>
      </w:pPr>
      <w:bookmarkStart w:colFirst="0" w:colLast="0" w:name="_heading=h.jara1kfl2otq" w:id="10"/>
      <w:bookmarkEnd w:id="10"/>
      <w:r w:rsidDel="00000000" w:rsidR="00000000" w:rsidRPr="00000000">
        <w:rPr>
          <w:rtl w:val="0"/>
        </w:rPr>
        <w:t xml:space="preserve">4.1 Market Penetration and Product Development Through Ansoff Matrix</w:t>
      </w:r>
    </w:p>
    <w:p w:rsidR="00000000" w:rsidDel="00000000" w:rsidP="00000000" w:rsidRDefault="00000000" w:rsidRPr="00000000" w14:paraId="00000094">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Development and Product Development are the main aspects of the Ansoff Matrix Strategy of BMW. Market penetration is another company growth strategy, which allows an organization to grow in its industry through the application of different operational strategies. This is a strategy of offering the same products in Vietnam because its mother country is the UK. The company can use several approaches to implement this strategy in Vietnam, which includes dealerships and other agreements (Martin, 2023). The company aim is to expand the market share in current markets under which the company has already offered products. This also entails strategies, which include sales promotion, subsidies, and amplified competition with other businesses within this sector. The Ansoff Matrix model is used to strategically evaluate the growth opportunities of the company in Vietnam in the competitive market of the automotive industry. This is a potential to establish a long-term competitive edge to the company to achieve industry success. Above all, the firm should have a strategic expansion strategy when entering the market and developing its products (Swotandpestle.com, 2025). The matrix also elaborates that BMW should be able to know the automotive market in Vietnam to determine the market penetration and product development opportunities.</w:t>
      </w:r>
    </w:p>
    <w:p w:rsidR="00000000" w:rsidDel="00000000" w:rsidP="00000000" w:rsidRDefault="00000000" w:rsidRPr="00000000" w14:paraId="00000095">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610225" cy="3571875"/>
            <wp:effectExtent b="25400" l="25400" r="25400" t="25400"/>
            <wp:docPr id="2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610225" cy="35718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6">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Ansoff Matrix of BMW</w:t>
      </w:r>
    </w:p>
    <w:p w:rsidR="00000000" w:rsidDel="00000000" w:rsidP="00000000" w:rsidRDefault="00000000" w:rsidRPr="00000000" w14:paraId="00000097">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Pereira, 2025)</w:t>
      </w:r>
    </w:p>
    <w:p w:rsidR="00000000" w:rsidDel="00000000" w:rsidP="00000000" w:rsidRDefault="00000000" w:rsidRPr="00000000" w14:paraId="00000098">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establish an international automotive company in Vietnam, the company established a partnership with THACO, a Vietnamese company, for local production and distribution. BMW has been present in the country since 1994; however, the company is not popular in the country (Hong, 2024). Following the Euro Auto Incident, the BMW Group partnered with THACO to assemble BMW vehicles in a new production facility in Chu Lai, Quang Nam Province, Vietnam. THACO now serves as the local manufacturer and distributor for the company. </w:t>
      </w:r>
    </w:p>
    <w:p w:rsidR="00000000" w:rsidDel="00000000" w:rsidP="00000000" w:rsidRDefault="00000000" w:rsidRPr="00000000" w14:paraId="00000099">
      <w:pPr>
        <w:pStyle w:val="Heading2"/>
        <w:spacing w:after="200" w:line="360" w:lineRule="auto"/>
        <w:jc w:val="both"/>
        <w:rPr/>
      </w:pPr>
      <w:bookmarkStart w:colFirst="0" w:colLast="0" w:name="_heading=h.czh4ceef5yun" w:id="11"/>
      <w:bookmarkEnd w:id="11"/>
      <w:r w:rsidDel="00000000" w:rsidR="00000000" w:rsidRPr="00000000">
        <w:rPr>
          <w:rtl w:val="0"/>
        </w:rPr>
        <w:t xml:space="preserve">4.2 Entry Strategy </w:t>
      </w:r>
    </w:p>
    <w:p w:rsidR="00000000" w:rsidDel="00000000" w:rsidP="00000000" w:rsidRDefault="00000000" w:rsidRPr="00000000" w14:paraId="0000009A">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partnership with THACO, the company already produces locally developed vehicles. However, to sell products from the actual company, it needs to utilise the growth potential of its partner company. Local production and partnership are the most significant strategies for entry into a foreign market, and with THACO, it produces models, including the 3 Series, 5 Series, X3, and X5 (THACO Group, 2023). After its entry into a market, marketing and branding are the most significant options for growth. The company can grow in the country by focusing on the high-class customers with a luxurious lifestyle. It also involves leveraging digital platforms to engage with audiences through interactive social media campaigns and storytelling (Jain, 2025). Thus, it can maintain customer loyalty in the company. Aligning with global strategies is also crucial to attain a broader objective for the company. This includes strategies, such as sustainability, decarbonisation, circular economy, and CSR. </w:t>
      </w:r>
    </w:p>
    <w:p w:rsidR="00000000" w:rsidDel="00000000" w:rsidP="00000000" w:rsidRDefault="00000000" w:rsidRPr="00000000" w14:paraId="0000009B">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entry mode strategies are used by foreign brands, including export, joint venture, licensing, strategic alliances, and more. BMW can primarily focus on exporting as it can export parts or even products to sell in the country. Indirect export refers to selling its products to an intermediary. The foreign distribution channels can also help in this regard, as they can focus on domestic manufacturing (Kuraś, 2023). For a company in the automotive industry, a Joint Venture is the most suitable form of entry mode for a foreign company. Therefore, a </w:t>
      </w:r>
      <w:r w:rsidDel="00000000" w:rsidR="00000000" w:rsidRPr="00000000">
        <w:rPr>
          <w:rFonts w:ascii="Times New Roman" w:cs="Times New Roman" w:eastAsia="Times New Roman" w:hAnsi="Times New Roman"/>
          <w:b w:val="1"/>
          <w:bCs w:val="1"/>
          <w:i w:val="1"/>
          <w:iCs w:val="1"/>
          <w:sz w:val="24"/>
          <w:szCs w:val="24"/>
          <w:rtl w:val="0"/>
        </w:rPr>
        <w:t xml:space="preserve">Joint Venture</w:t>
      </w:r>
      <w:r w:rsidDel="00000000" w:rsidR="00000000" w:rsidRPr="00000000">
        <w:rPr>
          <w:rFonts w:ascii="Times New Roman" w:cs="Times New Roman" w:eastAsia="Times New Roman" w:hAnsi="Times New Roman"/>
          <w:sz w:val="24"/>
          <w:szCs w:val="24"/>
          <w:rtl w:val="0"/>
        </w:rPr>
        <w:t xml:space="preserve"> can significantly help the company to enter the automotive market of Vietnam and manage its operations. </w:t>
      </w:r>
    </w:p>
    <w:p w:rsidR="00000000" w:rsidDel="00000000" w:rsidP="00000000" w:rsidRDefault="00000000" w:rsidRPr="00000000" w14:paraId="0000009C">
      <w:pPr>
        <w:pStyle w:val="Heading2"/>
        <w:spacing w:after="200" w:line="360" w:lineRule="auto"/>
        <w:jc w:val="both"/>
        <w:rPr/>
      </w:pPr>
      <w:bookmarkStart w:colFirst="0" w:colLast="0" w:name="_heading=h.ni0z0xx8ieml" w:id="12"/>
      <w:bookmarkEnd w:id="12"/>
      <w:r w:rsidDel="00000000" w:rsidR="00000000" w:rsidRPr="00000000">
        <w:rPr>
          <w:rtl w:val="0"/>
        </w:rPr>
        <w:t xml:space="preserve">4.3 Sustainable Competitive Advantage </w:t>
      </w:r>
    </w:p>
    <w:p w:rsidR="00000000" w:rsidDel="00000000" w:rsidP="00000000" w:rsidRDefault="00000000" w:rsidRPr="00000000" w14:paraId="0000009D">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Sustainable Competitive Advantage is a superiority of a business over its competitors and is the ability to stay on the top in a market. The competitive advantage will be sustainable when a firm adopts special technologies in its business. So, this approach defines the success of a business in the market in the long term (Damon, 2023). Some of the other strategies that BMW can consider to ensure the achievement of sustainable competitive advantage include a strong brand reputation, intellectual property, unique distribution channel, and enhanced customer service. The strategies may, however, complicate and be expensive to new entrants and market share grabbing by the existing competitors. This is the reason why a firm should develop a good brand image, and a positive word-of-mouth. In order to establish itself in the Vietnamese automotive sector, the company can adopt innovation and technology in order to realise success in research and development. Dedication to the electromobility will assist the company in increasing its products, whereby sustainable individual mobility will be prioritized. It also has the potential to conform to the international trend of electric and digitalised mobility (Das, 2024). In the process of its strategic shift to electrification, it is oriented at achieving sustainable products and raw materials, including lithium and cobalt batteries. The company should also establish a long term relationship between the suppliers to reliability and quality control. This will enable the firm to retain its performance and quality standards. BMW must also make efficiency move in Vietnam in prioritising its sourcing. Under the plan of the circular economy, the company will be able to devote itself to attaining sustainability and reusing and recycling materials. Given its emphasis on the customer service, the company will be able to offer after-sales services, such as special training and 24/7 support hotlines. This has the potential to make it loyal and satisfied to its customers within the automotive industry (JOSHI, 2025). The sustainable competitive advantage of BMW and THACO in the Vietnamese market is based on the synergy between the internal capabilities of these two companies as a global and local company respectively.</w:t>
      </w:r>
    </w:p>
    <w:p w:rsidR="00000000" w:rsidDel="00000000" w:rsidP="00000000" w:rsidRDefault="00000000" w:rsidRPr="00000000" w14:paraId="0000009E">
      <w:pPr>
        <w:pStyle w:val="Heading2"/>
        <w:spacing w:after="200" w:line="360" w:lineRule="auto"/>
        <w:jc w:val="both"/>
        <w:rPr/>
      </w:pPr>
      <w:bookmarkStart w:colFirst="0" w:colLast="0" w:name="_heading=h.c7kutpdn5ljs" w:id="13"/>
      <w:bookmarkEnd w:id="13"/>
      <w:r w:rsidDel="00000000" w:rsidR="00000000" w:rsidRPr="00000000">
        <w:rPr>
          <w:rtl w:val="0"/>
        </w:rPr>
        <w:t xml:space="preserve">4.4 CSR and Ethical Strategy </w:t>
      </w:r>
    </w:p>
    <w:p w:rsidR="00000000" w:rsidDel="00000000" w:rsidP="00000000" w:rsidRDefault="00000000" w:rsidRPr="00000000" w14:paraId="0000009F">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bid to succeed in employing strategies to control its operations in Vietnam, BMW must pay attention to sustainability, ethical behavior and social responsibility. On the one hand, BMW, on a global level, must pursue approaches of curtailing its emissions, responsible use of resources, and creating more environmentally friendly vehicles as part of production and development practices in Vietnam (Oxford Impact Lab, 2023). To reach a more advanced level of analysis on its approaches towards CSR and ethics, the company should be engaged in building a CSR framework. This entails plans, including the “Lean, Green, Digital Strategy.</w:t>
      </w:r>
    </w:p>
    <w:p w:rsidR="00000000" w:rsidDel="00000000" w:rsidP="00000000" w:rsidRDefault="00000000" w:rsidRPr="00000000" w14:paraId="000000A0">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943600" cy="3086100"/>
            <wp:effectExtent b="25400" l="25400" r="25400" t="25400"/>
            <wp:docPr id="21"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30861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1">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CSR Strategy of BMW</w:t>
      </w:r>
    </w:p>
    <w:p w:rsidR="00000000" w:rsidDel="00000000" w:rsidP="00000000" w:rsidRDefault="00000000" w:rsidRPr="00000000" w14:paraId="000000A2">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Oxford Impact Lab, 2023)</w:t>
      </w:r>
    </w:p>
    <w:p w:rsidR="00000000" w:rsidDel="00000000" w:rsidP="00000000" w:rsidRDefault="00000000" w:rsidRPr="00000000" w14:paraId="000000A3">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company has major support for STEM education, and thus, it can use that advantage in Vietnam to develop a robust workforce in the future. BMW needs to engage in initiatives related to road safety and cultural activities globally to improve its social responsibility in Vietnam (Estanislao, 2025). It can also focus on community investment to focus on sustainable development goals, such as education, gender, and communities. </w:t>
      </w:r>
    </w:p>
    <w:p w:rsidR="00000000" w:rsidDel="00000000" w:rsidP="00000000" w:rsidRDefault="00000000" w:rsidRPr="00000000" w14:paraId="000000A4">
      <w:pPr>
        <w:spacing w:after="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The ethical strategy of the company is part of a global framework for sustainability, supply chains, and ethics. Environmental protection is known as the most significant ethical strategy used by BMW (BMW Group, 2023). It includes the usage of renewable energy, reducing CO2, and incorporating recycled materials into its models. It also includes the commitment to fair relationships with business partners, which is crucial for its partnership with THACO.</w:t>
      </w:r>
      <w:r w:rsidDel="00000000" w:rsidR="00000000" w:rsidRPr="00000000">
        <w:rPr>
          <w:rtl w:val="0"/>
        </w:rPr>
      </w:r>
    </w:p>
    <w:p w:rsidR="00000000" w:rsidDel="00000000" w:rsidP="00000000" w:rsidRDefault="00000000" w:rsidRPr="00000000" w14:paraId="000000A5">
      <w:pPr>
        <w:pStyle w:val="Heading1"/>
        <w:spacing w:after="200" w:line="360" w:lineRule="auto"/>
        <w:jc w:val="both"/>
        <w:rPr/>
      </w:pPr>
      <w:bookmarkStart w:colFirst="0" w:colLast="0" w:name="_heading=h.6t7x19fennm4" w:id="14"/>
      <w:bookmarkEnd w:id="14"/>
      <w:r w:rsidDel="00000000" w:rsidR="00000000" w:rsidRPr="00000000">
        <w:rPr>
          <w:rtl w:val="0"/>
        </w:rPr>
        <w:t xml:space="preserve">5. Performance Evaluation Framework</w:t>
      </w:r>
    </w:p>
    <w:p w:rsidR="00000000" w:rsidDel="00000000" w:rsidP="00000000" w:rsidRDefault="00000000" w:rsidRPr="00000000" w14:paraId="000000A6">
      <w:pPr>
        <w:pStyle w:val="Heading2"/>
        <w:spacing w:after="200" w:line="360" w:lineRule="auto"/>
        <w:jc w:val="both"/>
        <w:rPr/>
      </w:pPr>
      <w:bookmarkStart w:colFirst="0" w:colLast="0" w:name="_heading=h.5eq617kcbvjn" w:id="15"/>
      <w:bookmarkEnd w:id="15"/>
      <w:r w:rsidDel="00000000" w:rsidR="00000000" w:rsidRPr="00000000">
        <w:rPr>
          <w:rtl w:val="0"/>
        </w:rPr>
        <w:t xml:space="preserve">5.1 Balanced Scorecard</w:t>
      </w:r>
    </w:p>
    <w:p w:rsidR="00000000" w:rsidDel="00000000" w:rsidP="00000000" w:rsidRDefault="00000000" w:rsidRPr="00000000" w14:paraId="000000A7">
      <w:pPr>
        <w:spacing w:after="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Balanced Scorecard (BSC) is a management framework that evaluates performance with its four key perspectives, and these are financial, customer, internal processes, and lastly learning and growth. The key functions of this framework may involve strategic alignment, performance measurement, communication, and prioritization (Balanced Scorecard Institute, 2024). It uses non-financial measures and connects objectives to daily operations. </w:t>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Perspectives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Strategic Objectives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Key Performance Indicators (KPIs)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Financial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strategy helps the company to achieve financial targets and maintain profitability.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KPIs of this objective include Profitability, Investment, and Growth. It achieves financial targets and even exceeds them. For example, in 2023, the profit of the company was 9.8% globally. By using technologies such as NEUE KLASSE it can make significant investments for R&amp;D and capital expenditure. It can also maintain profitability and long-term growth.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Customer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strategy is used by BMW to retain a robust market position, with improved customer satisfaction and user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KPIs for this objective are Market Position, Customer Satisfaction, and User Experience. It can retain its top position in the global market through its products and innovative technologies across all vehicles. BMW can meet the needs of its customers and develop attractive products for the brand (InfluenceMap, 2025). Through an improved user experience, it can create a strong digital experience for the customers.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Internal Process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strategy is used by the company to improve its operational excellence through strategic executions, digitalisation, and electrification.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KPIs of this objective include Operational Excellence, Strategic Execution, and Digitalisation and Electrification. With its operational excellence, it can focus on producing high-quality vehicles with technologies such as AI. Linking this balanced scorecard with the vehicles, it can manage its balance, budgeting, and other operations in the company. The NEUE KLASSE can be recognised as the most significant project for the company for its digitalisation and electrification.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Learning and Growth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strategy is used to help the company learn and grow using the factors. It can drive innovation and achieve organisational capabilities, while fostering a positive culture.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KPIs of this objective are Innovation, R&amp;D, Human Capital, and Organisational Capabilities. BMW can focus on achieving innovation through investment, research, and development. It can foster a positive and progressive culture with values, such as transparency and trust. The organisational capabilities help the company to support a long-term strategy that includes human capital, technology, governance, and other resources. </w:t>
            </w:r>
          </w:p>
        </w:tc>
      </w:tr>
    </w:tbl>
    <w:p w:rsidR="00000000" w:rsidDel="00000000" w:rsidP="00000000" w:rsidRDefault="00000000" w:rsidRPr="00000000" w14:paraId="000000B7">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Balanced Scorecard of BMW</w:t>
      </w:r>
    </w:p>
    <w:p w:rsidR="00000000" w:rsidDel="00000000" w:rsidP="00000000" w:rsidRDefault="00000000" w:rsidRPr="00000000" w14:paraId="000000B8">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B9">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5114925" cy="3438525"/>
            <wp:effectExtent b="25400" l="25400" r="25400" t="25400"/>
            <wp:docPr id="16"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114925" cy="34385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A">
      <w:pPr>
        <w:spacing w:after="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Balanced Scorecard</w:t>
      </w:r>
    </w:p>
    <w:p w:rsidR="00000000" w:rsidDel="00000000" w:rsidP="00000000" w:rsidRDefault="00000000" w:rsidRPr="00000000" w14:paraId="000000BB">
      <w:pPr>
        <w:spacing w:after="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The Strategy Institute, 2024)</w:t>
      </w:r>
    </w:p>
    <w:p w:rsidR="00000000" w:rsidDel="00000000" w:rsidP="00000000" w:rsidRDefault="00000000" w:rsidRPr="00000000" w14:paraId="000000BC">
      <w:pPr>
        <w:pStyle w:val="Heading2"/>
        <w:spacing w:after="200" w:line="360" w:lineRule="auto"/>
        <w:jc w:val="both"/>
        <w:rPr/>
      </w:pPr>
      <w:bookmarkStart w:colFirst="0" w:colLast="0" w:name="_heading=h.59leg4s7d067" w:id="16"/>
      <w:bookmarkEnd w:id="16"/>
      <w:r w:rsidDel="00000000" w:rsidR="00000000" w:rsidRPr="00000000">
        <w:rPr>
          <w:rtl w:val="0"/>
        </w:rPr>
        <w:t xml:space="preserve">5.2 Triple Bottom Line (TBL)</w:t>
      </w:r>
    </w:p>
    <w:p w:rsidR="00000000" w:rsidDel="00000000" w:rsidP="00000000" w:rsidRDefault="00000000" w:rsidRPr="00000000" w14:paraId="000000B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Triple Bottom Theory is the accounting model where three significant pillars are utilized, namely, People, Planet, and Profit. This model is used to measure the performance of a business in terms of its economics, environment, and society (Jonker, 2023). The company applies this framework in Vietnam to include sustainable strategies in its operations. Although the metrics that are applied to the Vietnam arm might not be publicly elaborated, the Group strategy can be seen to how the three pillars are implemented both at the global and the local level, such as its responsible sourcing program, decarbonization objectives, and community investments.</w:t>
      </w:r>
    </w:p>
    <w:p w:rsidR="00000000" w:rsidDel="00000000" w:rsidP="00000000" w:rsidRDefault="00000000" w:rsidRPr="00000000" w14:paraId="000000BE">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Pr>
        <w:drawing>
          <wp:inline distB="114300" distT="114300" distL="114300" distR="114300">
            <wp:extent cx="4166701" cy="3852863"/>
            <wp:effectExtent b="25400" l="25400" r="25400" t="25400"/>
            <wp:docPr id="15"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4166701" cy="385286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0">
      <w:pPr>
        <w:spacing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Triple Bottom Line Theory</w:t>
      </w:r>
    </w:p>
    <w:p w:rsidR="00000000" w:rsidDel="00000000" w:rsidP="00000000" w:rsidRDefault="00000000" w:rsidRPr="00000000" w14:paraId="000000C1">
      <w:pPr>
        <w:spacing w:before="20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Gillis and Stedman, 2023)</w:t>
      </w:r>
    </w:p>
    <w:p w:rsidR="00000000" w:rsidDel="00000000" w:rsidP="00000000" w:rsidRDefault="00000000" w:rsidRPr="00000000" w14:paraId="000000C2">
      <w:pPr>
        <w:spacing w:before="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People</w:t>
      </w:r>
    </w:p>
    <w:p w:rsidR="00000000" w:rsidDel="00000000" w:rsidP="00000000" w:rsidRDefault="00000000" w:rsidRPr="00000000" w14:paraId="000000C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social aspect of the company is the people, and the company is considerate of employees according to human rights and diversified culture. This pillar is concerned with the social responsibility of a company and its effects on the stakeholders. This encompasses fair labor, community interactions, and provisions of the welfare of the employees and the consumers. BMW should pay attention to creativity and innovation of the employees and the development of business (Ismail, 2025). It must also choose fair labour laws to implement employees in a fair working environment and social standards. In its intent to establish a good economic prosperity, it must have a community to work with.</w:t>
      </w:r>
    </w:p>
    <w:p w:rsidR="00000000" w:rsidDel="00000000" w:rsidP="00000000" w:rsidRDefault="00000000" w:rsidRPr="00000000" w14:paraId="000000C4">
      <w:pPr>
        <w:spacing w:before="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Planet</w:t>
      </w:r>
    </w:p>
    <w:p w:rsidR="00000000" w:rsidDel="00000000" w:rsidP="00000000" w:rsidRDefault="00000000" w:rsidRPr="00000000" w14:paraId="000000C5">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pillar is concerned with the social responsibility of a company, the effect on the stakeholders and the environment. It entails quantifying and decreasing such aspects as carbon footprint, conservation of resources, and utilization of ethically sourced materials. By 2050, the company intends to reach net zero through the emission of CO 2 per vehicle, but the company plans to decrease this by 50 percent by 2030. It also desires to realize a higher degree of sales through electrification to attain a higher level of sales by the year 2030 (Toffel, Hill, and Mcelhaney, 2025). Recycled materials will help the company to prevent environmental damage and attain a circular economy.</w:t>
      </w:r>
    </w:p>
    <w:p w:rsidR="00000000" w:rsidDel="00000000" w:rsidP="00000000" w:rsidRDefault="00000000" w:rsidRPr="00000000" w14:paraId="000000C6">
      <w:pPr>
        <w:spacing w:before="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Profit</w:t>
      </w:r>
    </w:p>
    <w:p w:rsidR="00000000" w:rsidDel="00000000" w:rsidP="00000000" w:rsidRDefault="00000000" w:rsidRPr="00000000" w14:paraId="000000C7">
      <w:pPr>
        <w:spacing w:before="20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sz w:val="24"/>
          <w:szCs w:val="24"/>
          <w:rtl w:val="0"/>
        </w:rPr>
        <w:t xml:space="preserve">Profit is the most significant and traditional pillar of the framework, focusing on the profitability, economic health, and revenue of the company. BMW needs to consider the ethical operations of itself to include responsible and financial, and employee management. With long-term value, the company can align its sustainability goals and focus on short-term profits for the time being (BMW, 2023). BMW needs to demonstrate its resilience by mitigating challenges and investing in future technologies, such as electromobility and digitalization. The financial performance of the company determines the social and environmental considerations of the company. It can also mitigate risks, including climate change and water shortages. </w:t>
      </w:r>
      <w:r w:rsidDel="00000000" w:rsidR="00000000" w:rsidRPr="00000000">
        <w:rPr>
          <w:rtl w:val="0"/>
        </w:rPr>
      </w:r>
    </w:p>
    <w:p w:rsidR="00000000" w:rsidDel="00000000" w:rsidP="00000000" w:rsidRDefault="00000000" w:rsidRPr="00000000" w14:paraId="000000C8">
      <w:pPr>
        <w:pStyle w:val="Heading1"/>
        <w:spacing w:after="200" w:line="360" w:lineRule="auto"/>
        <w:jc w:val="both"/>
        <w:rPr/>
      </w:pPr>
      <w:bookmarkStart w:colFirst="0" w:colLast="0" w:name="_heading=h.i5hzrwo4zr9k" w:id="17"/>
      <w:bookmarkEnd w:id="17"/>
      <w:r w:rsidDel="00000000" w:rsidR="00000000" w:rsidRPr="00000000">
        <w:rPr>
          <w:b w:val="1"/>
          <w:bCs w:val="1"/>
          <w:rtl w:val="0"/>
        </w:rPr>
        <w:t xml:space="preserve">6. Conclusion </w:t>
      </w:r>
      <w:r w:rsidDel="00000000" w:rsidR="00000000" w:rsidRPr="00000000">
        <w:rPr>
          <w:rtl w:val="0"/>
        </w:rPr>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illustrated that Vietnam is a strategically very attractive market for BMW due to the growing middle- and upper-income segments, rapid EV transition and increasing demand for premium mobility solutions. A detailed strategic analysis using PESTLE, Porter's Five Forces, competitor assessment and VRIO has identified external opportunities as well as internal capabilities that can shape BMW's potential for market entry. The results indicate that BMW's brand equity, leading EV technologies and global operational capabilities are a strong basis for competitive advantage. However, there is a limited situation in local assembly and dealership presence. The recommended market entry plan is a joint-venture route, which is in harmony with both the market circumstances and BMW's long-term growth goals. The Balanced Scorecard model, in the end, provides a thorough tool for performance measurement, thus, financial, customer, operational, and learning results being under continuous review. The move to Vietnam, in sum, is both practically possible and strategically sound.</w:t>
      </w:r>
    </w:p>
    <w:p w:rsidR="00000000" w:rsidDel="00000000" w:rsidP="00000000" w:rsidRDefault="00000000" w:rsidRPr="00000000" w14:paraId="000000CA">
      <w:pPr>
        <w:spacing w:after="20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B">
      <w:pPr>
        <w:pStyle w:val="Heading1"/>
        <w:spacing w:after="200" w:line="360" w:lineRule="auto"/>
        <w:jc w:val="both"/>
        <w:rPr/>
      </w:pPr>
      <w:bookmarkStart w:colFirst="0" w:colLast="0" w:name="_heading=h.rfiitb4gnj0m" w:id="18"/>
      <w:bookmarkEnd w:id="18"/>
      <w:r w:rsidDel="00000000" w:rsidR="00000000" w:rsidRPr="00000000">
        <w:rPr>
          <w:rtl w:val="0"/>
        </w:rPr>
        <w:t xml:space="preserve">References</w:t>
      </w:r>
    </w:p>
    <w:p w:rsidR="00000000" w:rsidDel="00000000" w:rsidP="00000000" w:rsidRDefault="00000000" w:rsidRPr="00000000" w14:paraId="000000C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Balanced Scorecard Institute (2024). Balanced scorecard basics. [online] Balanced Scorecard Institute.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https://balancedscorecard.org/bsc-basics-overview/</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C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(2023). BMW Group Report 2023. [online]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https://www.bmwgroup.com/en/report/2023/downloads/BMW-Group-Report-2023-en.pdf</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C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BMW Group (2023). Responsibility and Sustainability. [online] BMW Group.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https://www.bmwgroup.com/en/sustainability.html</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CF">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BMW Group (2024). </w:t>
      </w:r>
      <w:r w:rsidDel="00000000" w:rsidR="00000000" w:rsidRPr="00000000">
        <w:rPr>
          <w:rFonts w:ascii="Times New Roman" w:cs="Times New Roman" w:eastAsia="Times New Roman" w:hAnsi="Times New Roman"/>
          <w:i w:val="1"/>
          <w:iCs w:val="1"/>
          <w:color w:val="222222"/>
          <w:sz w:val="24"/>
          <w:szCs w:val="24"/>
          <w:highlight w:val="white"/>
          <w:rtl w:val="0"/>
        </w:rPr>
        <w:t xml:space="preserve">Locations</w:t>
      </w:r>
      <w:r w:rsidDel="00000000" w:rsidR="00000000" w:rsidRPr="00000000">
        <w:rPr>
          <w:rFonts w:ascii="Times New Roman" w:cs="Times New Roman" w:eastAsia="Times New Roman" w:hAnsi="Times New Roman"/>
          <w:color w:val="222222"/>
          <w:sz w:val="24"/>
          <w:szCs w:val="24"/>
          <w:highlight w:val="white"/>
          <w:rtl w:val="0"/>
        </w:rPr>
        <w:t xml:space="preserve">. [online] Bmwgroup.com. Available at: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https://www.bmwgroup.com/en/company/locations.html</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Nov. 2025].</w:t>
      </w:r>
    </w:p>
    <w:p w:rsidR="00000000" w:rsidDel="00000000" w:rsidP="00000000" w:rsidRDefault="00000000" w:rsidRPr="00000000" w14:paraId="000000D0">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BMW Group (2025). </w:t>
      </w:r>
      <w:r w:rsidDel="00000000" w:rsidR="00000000" w:rsidRPr="00000000">
        <w:rPr>
          <w:rFonts w:ascii="Times New Roman" w:cs="Times New Roman" w:eastAsia="Times New Roman" w:hAnsi="Times New Roman"/>
          <w:i w:val="1"/>
          <w:iCs w:val="1"/>
          <w:color w:val="222222"/>
          <w:sz w:val="24"/>
          <w:szCs w:val="24"/>
          <w:highlight w:val="white"/>
          <w:rtl w:val="0"/>
        </w:rPr>
        <w:t xml:space="preserve">BMW Group History</w:t>
      </w:r>
      <w:r w:rsidDel="00000000" w:rsidR="00000000" w:rsidRPr="00000000">
        <w:rPr>
          <w:rFonts w:ascii="Times New Roman" w:cs="Times New Roman" w:eastAsia="Times New Roman" w:hAnsi="Times New Roman"/>
          <w:color w:val="222222"/>
          <w:sz w:val="24"/>
          <w:szCs w:val="24"/>
          <w:highlight w:val="white"/>
          <w:rtl w:val="0"/>
        </w:rPr>
        <w:t xml:space="preserve">. [online] BMW Group. Available at: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https://www.bmwgroup.com/en/company/history.html</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Nov. 2025].</w:t>
      </w:r>
    </w:p>
    <w:p w:rsidR="00000000" w:rsidDel="00000000" w:rsidP="00000000" w:rsidRDefault="00000000" w:rsidRPr="00000000" w14:paraId="000000D1">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Damon, C. (2023). What Is a Sustainable Competitive Advantage? [online] AchieveIt.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https://www.achieveit.com/resources/blog/what-is-a-sustainable-competitive-advantage/</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Das, D.D. (2024). Unveiling BMW’s Automotive Sourcing Strategy. [online] Dragon Sourcing.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https://www.dragonsourcing.com/bmw-automotive-sourcing-strategy/</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Estanislao, J. (2025). BMW Group CSR. [online] Scribd.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https://www.scribd.com/presentation/716995444/BMW-Group-CSR</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4">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Gillis, A. and Stedman, C. (2023). What is Triple Bottom Line (TBL) and Why is it Important? [online] TechTarget.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https://www.techtarget.com/whatis/definition/triple-bottom-line-3BL</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5">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Grieco, P.L., Murry, C. and Yurukoglu, A., (2024). The evolution of market power in the us automobile industry. </w:t>
      </w:r>
      <w:r w:rsidDel="00000000" w:rsidR="00000000" w:rsidRPr="00000000">
        <w:rPr>
          <w:rFonts w:ascii="Times New Roman" w:cs="Times New Roman" w:eastAsia="Times New Roman" w:hAnsi="Times New Roman"/>
          <w:i w:val="1"/>
          <w:iCs w:val="1"/>
          <w:color w:val="222222"/>
          <w:sz w:val="24"/>
          <w:szCs w:val="24"/>
          <w:highlight w:val="white"/>
          <w:rtl w:val="0"/>
        </w:rPr>
        <w:t xml:space="preserve">The Quarterly Journal of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139</w:t>
      </w:r>
      <w:r w:rsidDel="00000000" w:rsidR="00000000" w:rsidRPr="00000000">
        <w:rPr>
          <w:rFonts w:ascii="Times New Roman" w:cs="Times New Roman" w:eastAsia="Times New Roman" w:hAnsi="Times New Roman"/>
          <w:color w:val="222222"/>
          <w:sz w:val="24"/>
          <w:szCs w:val="24"/>
          <w:highlight w:val="white"/>
          <w:rtl w:val="0"/>
        </w:rPr>
        <w:t xml:space="preserve">(2), pp.1201-1253.</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https://academic.oup.com/qje/article-abstract/139/2/1201/7276495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D6">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 T.T., Nguyen, T.C., Tu, S.S. and Nguyen, M.H., (2023). Investigation of influential factors of intention to adopt electric vehicles for motorcyclists in vietnam. </w:t>
      </w:r>
      <w:r w:rsidDel="00000000" w:rsidR="00000000" w:rsidRPr="00000000">
        <w:rPr>
          <w:rFonts w:ascii="Times New Roman" w:cs="Times New Roman" w:eastAsia="Times New Roman" w:hAnsi="Times New Roman"/>
          <w:i w:val="1"/>
          <w:iCs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(11), p.8765.</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https://www.mdpi.com/2071-1050/15/11/8765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D7">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Hong, J. (2024). Competitive Strategies and Market Positions of Global Automotive Giants: Toyota, Tesla, and BMW. Modern Management Science &amp; Engineering, [online] 6(2), pp.p53–p53. doi:</w:t>
      </w:r>
      <w:hyperlink r:id="rId26">
        <w:r w:rsidDel="00000000" w:rsidR="00000000" w:rsidRPr="00000000">
          <w:rPr>
            <w:rFonts w:ascii="Times New Roman" w:cs="Times New Roman" w:eastAsia="Times New Roman" w:hAnsi="Times New Roman"/>
            <w:color w:val="1155cc"/>
            <w:sz w:val="24"/>
            <w:szCs w:val="24"/>
            <w:u w:val="single"/>
            <w:rtl w:val="0"/>
          </w:rPr>
          <w:t xml:space="preserve">https://doi.org/10.22158/mmse.v6n2p53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D8">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Hyun, H., Park, J., Hawkins, M.A. and Kim, D., (2024). How luxury brands build customer-based brand equity through phygital experience.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Strategic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(8), pp.1195-1219.</w:t>
      </w:r>
      <w:hyperlink r:id="rId27">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https://www.tandfonline.com/doi/abs/10.1080/0965254X.2022.2052937</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D9">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IMARC Group (2025).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Vietnam Luxury Car Market Size, Share, Report 2024-32</w:t>
      </w:r>
      <w:r w:rsidDel="00000000" w:rsidR="00000000" w:rsidRPr="00000000">
        <w:rPr>
          <w:rFonts w:ascii="Times New Roman" w:cs="Times New Roman" w:eastAsia="Times New Roman" w:hAnsi="Times New Roman"/>
          <w:color w:val="222222"/>
          <w:sz w:val="24"/>
          <w:szCs w:val="24"/>
          <w:highlight w:val="white"/>
          <w:rtl w:val="0"/>
        </w:rPr>
        <w:t xml:space="preserve">. [online] www.imarcgroup.com. Available at: </w:t>
      </w:r>
      <w:hyperlink r:id="rId28">
        <w:r w:rsidDel="00000000" w:rsidR="00000000" w:rsidRPr="00000000">
          <w:rPr>
            <w:rFonts w:ascii="Times New Roman" w:cs="Times New Roman" w:eastAsia="Times New Roman" w:hAnsi="Times New Roman"/>
            <w:color w:val="1155cc"/>
            <w:sz w:val="24"/>
            <w:szCs w:val="24"/>
            <w:highlight w:val="white"/>
            <w:u w:val="single"/>
            <w:rtl w:val="0"/>
          </w:rPr>
          <w:t xml:space="preserve">https://www.imarcgroup.com/vietnam-luxury-car-market</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Nov. 2025].</w:t>
      </w:r>
    </w:p>
    <w:p w:rsidR="00000000" w:rsidDel="00000000" w:rsidP="00000000" w:rsidRDefault="00000000" w:rsidRPr="00000000" w14:paraId="000000DA">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InfluenceMap (2025). BMW Scorecard. [online] @influencemap. Available at: </w:t>
      </w:r>
      <w:hyperlink r:id="rId29">
        <w:r w:rsidDel="00000000" w:rsidR="00000000" w:rsidRPr="00000000">
          <w:rPr>
            <w:rFonts w:ascii="Times New Roman" w:cs="Times New Roman" w:eastAsia="Times New Roman" w:hAnsi="Times New Roman"/>
            <w:color w:val="1155cc"/>
            <w:sz w:val="24"/>
            <w:szCs w:val="24"/>
            <w:u w:val="single"/>
            <w:rtl w:val="0"/>
          </w:rPr>
          <w:t xml:space="preserve">https://ca100.influencemap.org/livescorecard/BMW-Scorecard-37270</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B">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Ismail, N.B. (2025). BMW Product Design and Sustainability. [online] Scribd.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https://www.scribd.com/document/438510938/BMW-Product-Design-and-Sustainability</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Jain, A. (2025). Strategic Management On BMW | PDF | Bmw | Volkswagen Group. [online] Scribd. Available at: </w:t>
      </w:r>
      <w:hyperlink r:id="rId31">
        <w:r w:rsidDel="00000000" w:rsidR="00000000" w:rsidRPr="00000000">
          <w:rPr>
            <w:rFonts w:ascii="Times New Roman" w:cs="Times New Roman" w:eastAsia="Times New Roman" w:hAnsi="Times New Roman"/>
            <w:color w:val="1155cc"/>
            <w:sz w:val="24"/>
            <w:szCs w:val="24"/>
            <w:u w:val="single"/>
            <w:rtl w:val="0"/>
          </w:rPr>
          <w:t xml:space="preserve">https://www.scribd.com/document/174074975/strategic-management-on-BMW</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Jonker, A. (2023). Triple Bottom Line. [online] IBM.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https://www.ibm.com/think/topics/triple-bottom-line</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JOSHI, M. (2025). BMW. [online] Scribd. Available at: </w:t>
      </w:r>
      <w:hyperlink r:id="rId33">
        <w:r w:rsidDel="00000000" w:rsidR="00000000" w:rsidRPr="00000000">
          <w:rPr>
            <w:rFonts w:ascii="Times New Roman" w:cs="Times New Roman" w:eastAsia="Times New Roman" w:hAnsi="Times New Roman"/>
            <w:color w:val="1155cc"/>
            <w:sz w:val="24"/>
            <w:szCs w:val="24"/>
            <w:u w:val="single"/>
            <w:rtl w:val="0"/>
          </w:rPr>
          <w:t xml:space="preserve">https://www.scribd.com/document/50060289/bmw</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DF">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Kim, H.J., Shrestha, S. and Pranawengkapti, K., (2025). Capacity and market potential for local production and distribution of electric two-wheelers in Southeast Asia, focused on Thailand, Indonesia and Vietnam. </w:t>
      </w:r>
      <w:r w:rsidDel="00000000" w:rsidR="00000000" w:rsidRPr="00000000">
        <w:rPr>
          <w:rFonts w:ascii="Times New Roman" w:cs="Times New Roman" w:eastAsia="Times New Roman" w:hAnsi="Times New Roman"/>
          <w:i w:val="1"/>
          <w:iCs w:val="1"/>
          <w:color w:val="222222"/>
          <w:sz w:val="24"/>
          <w:szCs w:val="24"/>
          <w:highlight w:val="white"/>
          <w:rtl w:val="0"/>
        </w:rPr>
        <w:t xml:space="preserve">Sustainable Earth Reviews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(1), p.3.</w:t>
      </w:r>
      <w:hyperlink r:id="rId34">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https://link.springer.com/article/10.1186/s42055-025-00104-2</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0">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Kuraś, P. (2023). Entry modes used in the internationalization process of automotive enterprises. Zeszyty Naukowe, 2023(180). doi:</w:t>
      </w:r>
      <w:hyperlink r:id="rId35">
        <w:r w:rsidDel="00000000" w:rsidR="00000000" w:rsidRPr="00000000">
          <w:rPr>
            <w:rFonts w:ascii="Times New Roman" w:cs="Times New Roman" w:eastAsia="Times New Roman" w:hAnsi="Times New Roman"/>
            <w:color w:val="1155cc"/>
            <w:sz w:val="24"/>
            <w:szCs w:val="24"/>
            <w:u w:val="single"/>
            <w:rtl w:val="0"/>
          </w:rPr>
          <w:t xml:space="preserve">https://doi.org/10.29119/1641-3466.2023.180.16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E1">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Lan, T.T.N., (2023). Market development strategy of renewable energy industry in Vietnam.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journal of business and globalisation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 pp.1-9.</w:t>
      </w:r>
      <w:hyperlink r:id="rId36">
        <w:r w:rsidDel="00000000" w:rsidR="00000000" w:rsidRPr="00000000">
          <w:rPr>
            <w:rFonts w:ascii="Times New Roman" w:cs="Times New Roman" w:eastAsia="Times New Roman" w:hAnsi="Times New Roman"/>
            <w:color w:val="1155cc"/>
            <w:sz w:val="24"/>
            <w:szCs w:val="24"/>
            <w:highlight w:val="white"/>
            <w:u w:val="single"/>
            <w:rtl w:val="0"/>
          </w:rPr>
          <w:t xml:space="preserve">https://www.researchgate.net/profile/Tony-Ng-29/publication/368987885_Market_development_strategy_of_renewable_energy_industry_in_Vietnam/links/65d89e27adf2362b6352e292/Market-development-strategy-of-renewable-energy-industry-in-Vietnam.pdf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2">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 H., Posada, F. and Yang, Z., 2022. Electric two-wheeler market growth in Vietnam: An overview. </w:t>
      </w:r>
      <w:r w:rsidDel="00000000" w:rsidR="00000000" w:rsidRPr="00000000">
        <w:rPr>
          <w:rFonts w:ascii="Times New Roman" w:cs="Times New Roman" w:eastAsia="Times New Roman" w:hAnsi="Times New Roman"/>
          <w:i w:val="1"/>
          <w:iCs w:val="1"/>
          <w:color w:val="222222"/>
          <w:sz w:val="24"/>
          <w:szCs w:val="24"/>
          <w:highlight w:val="white"/>
          <w:rtl w:val="0"/>
        </w:rPr>
        <w:t xml:space="preserve">International Council on Clean Transportation</w:t>
      </w:r>
      <w:r w:rsidDel="00000000" w:rsidR="00000000" w:rsidRPr="00000000">
        <w:rPr>
          <w:rFonts w:ascii="Times New Roman" w:cs="Times New Roman" w:eastAsia="Times New Roman" w:hAnsi="Times New Roman"/>
          <w:color w:val="222222"/>
          <w:sz w:val="24"/>
          <w:szCs w:val="24"/>
          <w:highlight w:val="white"/>
          <w:rtl w:val="0"/>
        </w:rPr>
        <w:t xml:space="preserve">, p.20.</w:t>
      </w:r>
      <w:hyperlink r:id="rId37">
        <w:r w:rsidDel="00000000" w:rsidR="00000000" w:rsidRPr="00000000">
          <w:rPr>
            <w:rFonts w:ascii="Times New Roman" w:cs="Times New Roman" w:eastAsia="Times New Roman" w:hAnsi="Times New Roman"/>
            <w:color w:val="1155cc"/>
            <w:sz w:val="24"/>
            <w:szCs w:val="24"/>
            <w:highlight w:val="white"/>
            <w:u w:val="single"/>
            <w:rtl w:val="0"/>
          </w:rPr>
          <w:t xml:space="preserve">https://theicct.org/wp-content/uploads/2022/10/asia-pacific-lvs-NDC-TIA-E2W-mkt-growth-Vietnam-nov22.pdf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3">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 Q. and Qamruzzaman, M., (2023). Innovation-led environmental sustainability in Vietnam—Towards a green future. </w:t>
      </w:r>
      <w:r w:rsidDel="00000000" w:rsidR="00000000" w:rsidRPr="00000000">
        <w:rPr>
          <w:rFonts w:ascii="Times New Roman" w:cs="Times New Roman" w:eastAsia="Times New Roman" w:hAnsi="Times New Roman"/>
          <w:i w:val="1"/>
          <w:iCs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(16), p.12109.</w:t>
      </w:r>
      <w:hyperlink r:id="rId38">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https://www.mdpi.com/2071-1050/15/16/12109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4">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 S., 2025, June. BMW Electric Vehicles Transition and Future Market.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2025 3rd International Conference on Digital Economy and Management Science (CDEMS 2025)</w:t>
      </w:r>
      <w:r w:rsidDel="00000000" w:rsidR="00000000" w:rsidRPr="00000000">
        <w:rPr>
          <w:rFonts w:ascii="Times New Roman" w:cs="Times New Roman" w:eastAsia="Times New Roman" w:hAnsi="Times New Roman"/>
          <w:color w:val="222222"/>
          <w:sz w:val="24"/>
          <w:szCs w:val="24"/>
          <w:highlight w:val="white"/>
          <w:rtl w:val="0"/>
        </w:rPr>
        <w:t xml:space="preserve"> (pp. 723-733). Atlantis Press.</w:t>
      </w:r>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https://www.atlantis-press.com/proceedings/cdems-25/126012755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5">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 S., 2025, June. BMW Electric Vehicles Transition and Future Market.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2025 3rd International Conference on Digital Economy and Management Science (CDEMS 2025)</w:t>
      </w:r>
      <w:r w:rsidDel="00000000" w:rsidR="00000000" w:rsidRPr="00000000">
        <w:rPr>
          <w:rFonts w:ascii="Times New Roman" w:cs="Times New Roman" w:eastAsia="Times New Roman" w:hAnsi="Times New Roman"/>
          <w:color w:val="222222"/>
          <w:sz w:val="24"/>
          <w:szCs w:val="24"/>
          <w:highlight w:val="white"/>
          <w:rtl w:val="0"/>
        </w:rPr>
        <w:t xml:space="preserve"> (pp. 723-733). Atlantis Press.</w:t>
      </w:r>
      <w:hyperlink r:id="rId40">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https://www.atlantis-press.com/proceedings/cdems-25/126012755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6">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Linh Le, T. (2024). Why is Vietnam a motorcycle nation? A transport psychology study. </w:t>
      </w:r>
      <w:r w:rsidDel="00000000" w:rsidR="00000000" w:rsidRPr="00000000">
        <w:rPr>
          <w:rFonts w:ascii="Times New Roman" w:cs="Times New Roman" w:eastAsia="Times New Roman" w:hAnsi="Times New Roman"/>
          <w:i w:val="1"/>
          <w:iCs w:val="1"/>
          <w:color w:val="222222"/>
          <w:sz w:val="24"/>
          <w:szCs w:val="24"/>
          <w:highlight w:val="white"/>
          <w:rtl w:val="0"/>
        </w:rPr>
        <w:t xml:space="preserve">European Transport/Trasporti Europei</w:t>
      </w:r>
      <w:r w:rsidDel="00000000" w:rsidR="00000000" w:rsidRPr="00000000">
        <w:rPr>
          <w:rFonts w:ascii="Times New Roman" w:cs="Times New Roman" w:eastAsia="Times New Roman" w:hAnsi="Times New Roman"/>
          <w:color w:val="222222"/>
          <w:sz w:val="24"/>
          <w:szCs w:val="24"/>
          <w:highlight w:val="white"/>
          <w:rtl w:val="0"/>
        </w:rPr>
        <w:t xml:space="preserve">, [online] (99), pp.1–17. doi:</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https://doi.org/10.48295/et.(2024).99.6</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7">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 Y., Lu, J. and Qi, G., 2021, December. A Summary of the Marketing Strategies of Luxury Cosmetics Brands.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2021 3rd International Conference on Economic Management and Cultural Industry (ICEMCI 2021)</w:t>
      </w:r>
      <w:r w:rsidDel="00000000" w:rsidR="00000000" w:rsidRPr="00000000">
        <w:rPr>
          <w:rFonts w:ascii="Times New Roman" w:cs="Times New Roman" w:eastAsia="Times New Roman" w:hAnsi="Times New Roman"/>
          <w:color w:val="222222"/>
          <w:sz w:val="24"/>
          <w:szCs w:val="24"/>
          <w:highlight w:val="white"/>
          <w:rtl w:val="0"/>
        </w:rPr>
        <w:t xml:space="preserve"> (pp. 790-800). Atlantis Press.</w:t>
      </w:r>
      <w:hyperlink r:id="rId42">
        <w:r w:rsidDel="00000000" w:rsidR="00000000" w:rsidRPr="00000000">
          <w:rPr>
            <w:rFonts w:ascii="Times New Roman" w:cs="Times New Roman" w:eastAsia="Times New Roman" w:hAnsi="Times New Roman"/>
            <w:color w:val="1155cc"/>
            <w:sz w:val="24"/>
            <w:szCs w:val="24"/>
            <w:highlight w:val="white"/>
            <w:u w:val="single"/>
            <w:rtl w:val="0"/>
          </w:rPr>
          <w:t xml:space="preserve">https://www.atlantis-press.com/proceedings/icemci-21/125965805</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8">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Marslev, K. and Staritz, C., (2023). Towards a stronger EU approach on the trade-labor nexus? The EU-Vietnam Free Trade Agreement, social struggles and labor reforms in Vietnam. </w:t>
      </w:r>
      <w:r w:rsidDel="00000000" w:rsidR="00000000" w:rsidRPr="00000000">
        <w:rPr>
          <w:rFonts w:ascii="Times New Roman" w:cs="Times New Roman" w:eastAsia="Times New Roman" w:hAnsi="Times New Roman"/>
          <w:i w:val="1"/>
          <w:iCs w:val="1"/>
          <w:color w:val="222222"/>
          <w:sz w:val="24"/>
          <w:szCs w:val="24"/>
          <w:highlight w:val="white"/>
          <w:rtl w:val="0"/>
        </w:rPr>
        <w:t xml:space="preserve">Review of International Political Economy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30</w:t>
      </w:r>
      <w:r w:rsidDel="00000000" w:rsidR="00000000" w:rsidRPr="00000000">
        <w:rPr>
          <w:rFonts w:ascii="Times New Roman" w:cs="Times New Roman" w:eastAsia="Times New Roman" w:hAnsi="Times New Roman"/>
          <w:color w:val="222222"/>
          <w:sz w:val="24"/>
          <w:szCs w:val="24"/>
          <w:highlight w:val="white"/>
          <w:rtl w:val="0"/>
        </w:rPr>
        <w:t xml:space="preserve">(3), pp.1125-1150.</w:t>
      </w:r>
      <w:hyperlink r:id="rId43">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https://www.tandfonline.com/doi/abs/10.1080/09692290.2022.2056903</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Martin, V. (2023). BMW’s Competitive Strategies &amp; Growth Strategies. [online] Panmore Institute. Available at: </w:t>
      </w:r>
      <w:hyperlink r:id="rId44">
        <w:r w:rsidDel="00000000" w:rsidR="00000000" w:rsidRPr="00000000">
          <w:rPr>
            <w:rFonts w:ascii="Times New Roman" w:cs="Times New Roman" w:eastAsia="Times New Roman" w:hAnsi="Times New Roman"/>
            <w:color w:val="1155cc"/>
            <w:sz w:val="24"/>
            <w:szCs w:val="24"/>
            <w:u w:val="single"/>
            <w:rtl w:val="0"/>
          </w:rPr>
          <w:t xml:space="preserve">https://panmore.com/bmw-competitive-strategy-growth-strategies-case-study</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EA">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Nakajima, S., Kobayashi, H. and Ueki, Y., (2023). Viet Nam 2045: Automobile Industry.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 Nam 2045: Development Issues and Challenges</w:t>
      </w:r>
      <w:r w:rsidDel="00000000" w:rsidR="00000000" w:rsidRPr="00000000">
        <w:rPr>
          <w:rFonts w:ascii="Times New Roman" w:cs="Times New Roman" w:eastAsia="Times New Roman" w:hAnsi="Times New Roman"/>
          <w:color w:val="222222"/>
          <w:sz w:val="24"/>
          <w:szCs w:val="24"/>
          <w:highlight w:val="white"/>
          <w:rtl w:val="0"/>
        </w:rPr>
        <w:t xml:space="preserve">, pp.253-80.</w:t>
      </w:r>
      <w:hyperlink r:id="rId45">
        <w:r w:rsidDel="00000000" w:rsidR="00000000" w:rsidRPr="00000000">
          <w:rPr>
            <w:rFonts w:ascii="Times New Roman" w:cs="Times New Roman" w:eastAsia="Times New Roman" w:hAnsi="Times New Roman"/>
            <w:color w:val="1155cc"/>
            <w:sz w:val="24"/>
            <w:szCs w:val="24"/>
            <w:highlight w:val="white"/>
            <w:u w:val="single"/>
            <w:rtl w:val="0"/>
          </w:rPr>
          <w:t xml:space="preserve">https://www.eria.org/uploads/media/Books/2023-VietNam-2045/13_ch.9-Automobile-Industry.pdf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B">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Nakajima, S., Kobayashi, H. and Ueki, Y., (2023). Viet Nam 2045: Automobile Industry.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 Nam 2045: Development Issues and Challenges</w:t>
      </w:r>
      <w:r w:rsidDel="00000000" w:rsidR="00000000" w:rsidRPr="00000000">
        <w:rPr>
          <w:rFonts w:ascii="Times New Roman" w:cs="Times New Roman" w:eastAsia="Times New Roman" w:hAnsi="Times New Roman"/>
          <w:color w:val="222222"/>
          <w:sz w:val="24"/>
          <w:szCs w:val="24"/>
          <w:highlight w:val="white"/>
          <w:rtl w:val="0"/>
        </w:rPr>
        <w:t xml:space="preserve">, pp.253-80.</w:t>
      </w:r>
      <w:hyperlink r:id="rId46">
        <w:r w:rsidDel="00000000" w:rsidR="00000000" w:rsidRPr="00000000">
          <w:rPr>
            <w:rFonts w:ascii="Times New Roman" w:cs="Times New Roman" w:eastAsia="Times New Roman" w:hAnsi="Times New Roman"/>
            <w:color w:val="1155cc"/>
            <w:sz w:val="24"/>
            <w:szCs w:val="24"/>
            <w:highlight w:val="white"/>
            <w:u w:val="single"/>
            <w:rtl w:val="0"/>
          </w:rPr>
          <w:t xml:space="preserve">https://www.eria.org/uploads/media/Books/2023-VietNam-2045/13_ch.9-Automobile-Industry.pdf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C">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Ngo, T.T.A., An, G.K., Dao, D.K., Nguyen, N.Q.N., Nguyen, N.Y.V. and Phong, B.H., (2025). Roles of logistics service quality in shaping generation Z customers’ repurchase intention and electronic word of mouth in E-commerce industry. </w:t>
      </w:r>
      <w:r w:rsidDel="00000000" w:rsidR="00000000" w:rsidRPr="00000000">
        <w:rPr>
          <w:rFonts w:ascii="Times New Roman" w:cs="Times New Roman" w:eastAsia="Times New Roman" w:hAnsi="Times New Roman"/>
          <w:i w:val="1"/>
          <w:iCs w:val="1"/>
          <w:color w:val="222222"/>
          <w:sz w:val="24"/>
          <w:szCs w:val="24"/>
          <w:highlight w:val="white"/>
          <w:rtl w:val="0"/>
        </w:rPr>
        <w:t xml:space="preserve">PLoS One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(5), p.e0323962.</w:t>
      </w:r>
      <w:hyperlink r:id="rId47">
        <w:r w:rsidDel="00000000" w:rsidR="00000000" w:rsidRPr="00000000">
          <w:rPr>
            <w:rFonts w:ascii="Times New Roman" w:cs="Times New Roman" w:eastAsia="Times New Roman" w:hAnsi="Times New Roman"/>
            <w:color w:val="1155cc"/>
            <w:sz w:val="24"/>
            <w:szCs w:val="24"/>
            <w:highlight w:val="white"/>
            <w:u w:val="single"/>
            <w:rtl w:val="0"/>
          </w:rPr>
          <w:t xml:space="preserve">https://journals.plos.org/plosone/article?id=10.1371/journal.pone.0323962</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D">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Nguyen, H.T., (2023). Digital Transformation in Vietnam–Trends and Solutions in the Coming Time. </w:t>
      </w:r>
      <w:r w:rsidDel="00000000" w:rsidR="00000000" w:rsidRPr="00000000">
        <w:rPr>
          <w:rFonts w:ascii="Times New Roman" w:cs="Times New Roman" w:eastAsia="Times New Roman" w:hAnsi="Times New Roman"/>
          <w:i w:val="1"/>
          <w:iCs w:val="1"/>
          <w:color w:val="222222"/>
          <w:sz w:val="24"/>
          <w:szCs w:val="24"/>
          <w:highlight w:val="white"/>
          <w:rtl w:val="0"/>
        </w:rPr>
        <w:t xml:space="preserve">Communications</w:t>
      </w:r>
      <w:r w:rsidDel="00000000" w:rsidR="00000000" w:rsidRPr="00000000">
        <w:rPr>
          <w:rFonts w:ascii="Times New Roman" w:cs="Times New Roman" w:eastAsia="Times New Roman" w:hAnsi="Times New Roman"/>
          <w:color w:val="222222"/>
          <w:sz w:val="24"/>
          <w:szCs w:val="24"/>
          <w:highlight w:val="white"/>
          <w:rtl w:val="0"/>
        </w:rPr>
        <w:t xml:space="preserve">, p.1.</w:t>
      </w:r>
      <w:hyperlink r:id="rId48">
        <w:r w:rsidDel="00000000" w:rsidR="00000000" w:rsidRPr="00000000">
          <w:rPr>
            <w:rFonts w:ascii="Times New Roman" w:cs="Times New Roman" w:eastAsia="Times New Roman" w:hAnsi="Times New Roman"/>
            <w:color w:val="1155cc"/>
            <w:sz w:val="24"/>
            <w:szCs w:val="24"/>
            <w:highlight w:val="white"/>
            <w:u w:val="single"/>
            <w:rtl w:val="0"/>
          </w:rPr>
          <w:t xml:space="preserve">https://www.multiresearchjournal.com/admin/uploads/archives/archive-1716464188.pdf</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EE">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Nguyen, M.-N. (2024).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Vietnam: share of urban population 2024| Statista</w:t>
      </w:r>
      <w:r w:rsidDel="00000000" w:rsidR="00000000" w:rsidRPr="00000000">
        <w:rPr>
          <w:rFonts w:ascii="Times New Roman" w:cs="Times New Roman" w:eastAsia="Times New Roman" w:hAnsi="Times New Roman"/>
          <w:color w:val="222222"/>
          <w:sz w:val="24"/>
          <w:szCs w:val="24"/>
          <w:highlight w:val="white"/>
          <w:rtl w:val="0"/>
        </w:rPr>
        <w:t xml:space="preserve">. [online] Statista. Available at: </w:t>
      </w:r>
      <w:hyperlink r:id="rId49">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https://www.statista.com/statistics/761134/share-of-urban-population-vietnam/?srsltid=AfmBOoqFH3-pvoWQPnlPDk2phg0UtSzCXACSYa2f4fL9ehl0mLPH8CGS</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Nov. 2025].</w:t>
      </w:r>
    </w:p>
    <w:p w:rsidR="00000000" w:rsidDel="00000000" w:rsidP="00000000" w:rsidRDefault="00000000" w:rsidRPr="00000000" w14:paraId="000000EF">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Nguyen, N.T. and Pham, T.N., (2024). Vietnamese Car (VinFast): Building a Global Brand. In </w:t>
      </w:r>
      <w:r w:rsidDel="00000000" w:rsidR="00000000" w:rsidRPr="00000000">
        <w:rPr>
          <w:rFonts w:ascii="Times New Roman" w:cs="Times New Roman" w:eastAsia="Times New Roman" w:hAnsi="Times New Roman"/>
          <w:i w:val="1"/>
          <w:iCs w:val="1"/>
          <w:color w:val="222222"/>
          <w:sz w:val="24"/>
          <w:szCs w:val="24"/>
          <w:highlight w:val="white"/>
          <w:rtl w:val="0"/>
        </w:rPr>
        <w:t xml:space="preserve">Marketing Cases from Emerging Multinational Enterprises (eMNEs) National Brands Asserting Themselves on the Global Stage</w:t>
      </w:r>
      <w:r w:rsidDel="00000000" w:rsidR="00000000" w:rsidRPr="00000000">
        <w:rPr>
          <w:rFonts w:ascii="Times New Roman" w:cs="Times New Roman" w:eastAsia="Times New Roman" w:hAnsi="Times New Roman"/>
          <w:color w:val="222222"/>
          <w:sz w:val="24"/>
          <w:szCs w:val="24"/>
          <w:highlight w:val="white"/>
          <w:rtl w:val="0"/>
        </w:rPr>
        <w:t xml:space="preserve"> (pp. 185-220). Cham: Springer Nature Switzerland.</w:t>
      </w:r>
      <w:hyperlink r:id="rId50">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https://link.springer.com/chapter/10.1007/978-3-031-63394-2_10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0">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Oxford Impact Lab (2023). Research Results: Corporate Social Responsibility (CSR) Framework | Oxford SDG Impact Lab. [online] Sdglab.uk. Available at: </w:t>
      </w:r>
      <w:hyperlink r:id="rId51">
        <w:r w:rsidDel="00000000" w:rsidR="00000000" w:rsidRPr="00000000">
          <w:rPr>
            <w:rFonts w:ascii="Times New Roman" w:cs="Times New Roman" w:eastAsia="Times New Roman" w:hAnsi="Times New Roman"/>
            <w:color w:val="1155cc"/>
            <w:sz w:val="24"/>
            <w:szCs w:val="24"/>
            <w:u w:val="single"/>
            <w:rtl w:val="0"/>
          </w:rPr>
          <w:t xml:space="preserve">https://www.sdglab.uk/case-study/research-results-corporate-social-responsibility-csr-framework</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1">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O’Neil, A. (2025).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Vietnam: GDP 1987-2030| Statista</w:t>
      </w:r>
      <w:r w:rsidDel="00000000" w:rsidR="00000000" w:rsidRPr="00000000">
        <w:rPr>
          <w:rFonts w:ascii="Times New Roman" w:cs="Times New Roman" w:eastAsia="Times New Roman" w:hAnsi="Times New Roman"/>
          <w:color w:val="222222"/>
          <w:sz w:val="24"/>
          <w:szCs w:val="24"/>
          <w:highlight w:val="white"/>
          <w:rtl w:val="0"/>
        </w:rPr>
        <w:t xml:space="preserve">. [online] Statista. Available at: </w:t>
      </w:r>
      <w:hyperlink r:id="rId52">
        <w:r w:rsidDel="00000000" w:rsidR="00000000" w:rsidRPr="00000000">
          <w:rPr>
            <w:rFonts w:ascii="Times New Roman" w:cs="Times New Roman" w:eastAsia="Times New Roman" w:hAnsi="Times New Roman"/>
            <w:color w:val="1155cc"/>
            <w:sz w:val="24"/>
            <w:szCs w:val="24"/>
            <w:highlight w:val="white"/>
            <w:u w:val="single"/>
            <w:rtl w:val="0"/>
          </w:rPr>
          <w:t xml:space="preserve">https://www.statista.com/statistics/444733/gross-domestic-product-gdp-in-vietnam/?srsltid=AfmBOopHg8iwlrQiuL3SHKAksdld5UUvV_FgUOsK6oJpb_89PFjYZA-o</w:t>
        </w:r>
      </w:hyperlink>
      <w:r w:rsidDel="00000000" w:rsidR="00000000" w:rsidRPr="00000000">
        <w:rPr>
          <w:rFonts w:ascii="Times New Roman" w:cs="Times New Roman" w:eastAsia="Times New Roman" w:hAnsi="Times New Roman"/>
          <w:color w:val="222222"/>
          <w:sz w:val="24"/>
          <w:szCs w:val="24"/>
          <w:highlight w:val="white"/>
          <w:rtl w:val="0"/>
        </w:rPr>
        <w:t xml:space="preserve"> [Accessed 14 Nov. 2025].</w:t>
      </w:r>
    </w:p>
    <w:p w:rsidR="00000000" w:rsidDel="00000000" w:rsidP="00000000" w:rsidRDefault="00000000" w:rsidRPr="00000000" w14:paraId="000000F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Pereira, D. (2025). BMW Generic Competitive Strategy and Growth Strategies. [online] Business Model Analyst. Available at: </w:t>
      </w:r>
      <w:hyperlink r:id="rId53">
        <w:r w:rsidDel="00000000" w:rsidR="00000000" w:rsidRPr="00000000">
          <w:rPr>
            <w:rFonts w:ascii="Times New Roman" w:cs="Times New Roman" w:eastAsia="Times New Roman" w:hAnsi="Times New Roman"/>
            <w:color w:val="1155cc"/>
            <w:sz w:val="24"/>
            <w:szCs w:val="24"/>
            <w:u w:val="single"/>
            <w:rtl w:val="0"/>
          </w:rPr>
          <w:t xml:space="preserve">https://businessmodelanalyst.com/bmw-generic-competitive-strategy-and-growth-strategies/?srsltid=AfmBOor57KzjRjSl_J_3Ue2oOj24TLuPE2W4H7jfa8NKFAZlomRHIYdF</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3">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Pham, T.T., Tang, T.K.H. and Lowe, A., (2025). Policy forum: Opportunities and challenges for Vietnamese companies to source sustainable timber from Africa, and implications for future implementation of the EU deforestation regulation. </w:t>
      </w:r>
      <w:r w:rsidDel="00000000" w:rsidR="00000000" w:rsidRPr="00000000">
        <w:rPr>
          <w:rFonts w:ascii="Times New Roman" w:cs="Times New Roman" w:eastAsia="Times New Roman" w:hAnsi="Times New Roman"/>
          <w:i w:val="1"/>
          <w:iCs w:val="1"/>
          <w:color w:val="222222"/>
          <w:sz w:val="24"/>
          <w:szCs w:val="24"/>
          <w:highlight w:val="white"/>
          <w:rtl w:val="0"/>
        </w:rPr>
        <w:t xml:space="preserve">Forest Policy and Economics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170</w:t>
      </w:r>
      <w:r w:rsidDel="00000000" w:rsidR="00000000" w:rsidRPr="00000000">
        <w:rPr>
          <w:rFonts w:ascii="Times New Roman" w:cs="Times New Roman" w:eastAsia="Times New Roman" w:hAnsi="Times New Roman"/>
          <w:color w:val="222222"/>
          <w:sz w:val="24"/>
          <w:szCs w:val="24"/>
          <w:highlight w:val="white"/>
          <w:rtl w:val="0"/>
        </w:rPr>
        <w:t xml:space="preserve">, p.103387.</w:t>
      </w:r>
      <w:hyperlink r:id="rId54">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https://www.sciencedirect.com/science/article/pii/S1389934124002417</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4">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Pisano, A., Saba, M. and Baldovino, J.A., (2023). A critical review of NIO’s business model. </w:t>
      </w:r>
      <w:r w:rsidDel="00000000" w:rsidR="00000000" w:rsidRPr="00000000">
        <w:rPr>
          <w:rFonts w:ascii="Times New Roman" w:cs="Times New Roman" w:eastAsia="Times New Roman" w:hAnsi="Times New Roman"/>
          <w:i w:val="1"/>
          <w:iCs w:val="1"/>
          <w:color w:val="222222"/>
          <w:sz w:val="24"/>
          <w:szCs w:val="24"/>
          <w:highlight w:val="white"/>
          <w:rtl w:val="0"/>
        </w:rPr>
        <w:t xml:space="preserve">World Electric Vehicle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(9), p.251.</w:t>
      </w:r>
      <w:hyperlink r:id="rId55">
        <w:r w:rsidDel="00000000" w:rsidR="00000000" w:rsidRPr="00000000">
          <w:rPr>
            <w:rFonts w:ascii="Times New Roman" w:cs="Times New Roman" w:eastAsia="Times New Roman" w:hAnsi="Times New Roman"/>
            <w:color w:val="1155cc"/>
            <w:sz w:val="24"/>
            <w:szCs w:val="24"/>
            <w:highlight w:val="white"/>
            <w:u w:val="single"/>
            <w:rtl w:val="0"/>
          </w:rPr>
          <w:t xml:space="preserve">https://www.mdpi.com/2032-6653/14/9/251</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5">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Small, I.V., (2023). ‘Driving is terrifying’: auto-mobility horizons, projections and networks in Vietnam and ASEAN.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Cultural Economy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 pp.62-80.</w:t>
      </w:r>
      <w:hyperlink r:id="rId56">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https://www.tandfonline.com/doi/abs/10.1080/17530350.2022.2058060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6">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Small, I.V., (2023). ‘Driving is terrifying’: auto-mobility horizons, projections and networks in Vietnam and ASEAN.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Cultural Economy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16</w:t>
      </w:r>
      <w:r w:rsidDel="00000000" w:rsidR="00000000" w:rsidRPr="00000000">
        <w:rPr>
          <w:rFonts w:ascii="Times New Roman" w:cs="Times New Roman" w:eastAsia="Times New Roman" w:hAnsi="Times New Roman"/>
          <w:color w:val="222222"/>
          <w:sz w:val="24"/>
          <w:szCs w:val="24"/>
          <w:highlight w:val="white"/>
          <w:rtl w:val="0"/>
        </w:rPr>
        <w:t xml:space="preserve">(1), pp.62-80.</w:t>
      </w:r>
      <w:hyperlink r:id="rId57">
        <w:r w:rsidDel="00000000" w:rsidR="00000000" w:rsidRPr="00000000">
          <w:rPr>
            <w:rFonts w:ascii="Times New Roman" w:cs="Times New Roman" w:eastAsia="Times New Roman" w:hAnsi="Times New Roman"/>
            <w:color w:val="1155cc"/>
            <w:sz w:val="24"/>
            <w:szCs w:val="24"/>
            <w:highlight w:val="white"/>
            <w:u w:val="single"/>
            <w:rtl w:val="0"/>
          </w:rPr>
          <w:t xml:space="preserve">https://www.tandfonline.com/doi/abs/10.1080/17530350.2022.2058060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7">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Swotandpestle.com. (2025). Bayerische Motoren Werke AG Ansoff Matrix 2025 | Report + Sample. [online] Available at: </w:t>
      </w:r>
      <w:hyperlink r:id="rId58">
        <w:r w:rsidDel="00000000" w:rsidR="00000000" w:rsidRPr="00000000">
          <w:rPr>
            <w:rFonts w:ascii="Times New Roman" w:cs="Times New Roman" w:eastAsia="Times New Roman" w:hAnsi="Times New Roman"/>
            <w:color w:val="1155cc"/>
            <w:sz w:val="24"/>
            <w:szCs w:val="24"/>
            <w:u w:val="single"/>
            <w:rtl w:val="0"/>
          </w:rPr>
          <w:t xml:space="preserve">https://www.swotandpestle.com/bmw-ansoff-analysis</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8">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THACO Group. (2023). THACO AUTO organizes customer appreciation and launches BMW new Luxury Class. [online] Available at: </w:t>
      </w:r>
      <w:hyperlink r:id="rId59">
        <w:r w:rsidDel="00000000" w:rsidR="00000000" w:rsidRPr="00000000">
          <w:rPr>
            <w:rFonts w:ascii="Times New Roman" w:cs="Times New Roman" w:eastAsia="Times New Roman" w:hAnsi="Times New Roman"/>
            <w:color w:val="1155cc"/>
            <w:sz w:val="24"/>
            <w:szCs w:val="24"/>
            <w:u w:val="single"/>
            <w:rtl w:val="0"/>
          </w:rPr>
          <w:t xml:space="preserve">https://www.thacogroup.vn/en/thaco-auto-organizes-customer-appreciation-and-launches-bmw-new-luxury-class</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Strategy Institute (2024). A Comprehensive Guide to Implementing the Balanced Scorecard Framework. [online] www.thestrategyinstitute.org. Available at: </w:t>
      </w:r>
      <w:hyperlink r:id="rId60">
        <w:r w:rsidDel="00000000" w:rsidR="00000000" w:rsidRPr="00000000">
          <w:rPr>
            <w:rFonts w:ascii="Times New Roman" w:cs="Times New Roman" w:eastAsia="Times New Roman" w:hAnsi="Times New Roman"/>
            <w:color w:val="1155cc"/>
            <w:sz w:val="24"/>
            <w:szCs w:val="24"/>
            <w:u w:val="single"/>
            <w:rtl w:val="0"/>
          </w:rPr>
          <w:t xml:space="preserve">https://www.thestrategyinstitute.org/insights/a-comprehensive-guide-to-implementing-the-balanced-scorecard-framework</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A">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Toffel, M., Hill, N. and Mcelhaney, K. (2025). Designing sustainability at BMW Group: The Designworks/ USA experience. [online] Available at: </w:t>
      </w:r>
      <w:hyperlink r:id="rId61">
        <w:r w:rsidDel="00000000" w:rsidR="00000000" w:rsidRPr="00000000">
          <w:rPr>
            <w:rFonts w:ascii="Times New Roman" w:cs="Times New Roman" w:eastAsia="Times New Roman" w:hAnsi="Times New Roman"/>
            <w:color w:val="1155cc"/>
            <w:sz w:val="24"/>
            <w:szCs w:val="24"/>
            <w:u w:val="single"/>
            <w:rtl w:val="0"/>
          </w:rPr>
          <w:t xml:space="preserve">https://www.hbs.edu/ris/download.aspx?name=Toffel_Hill_McElhaney_2003_chapter.pdf</w:t>
        </w:r>
      </w:hyperlink>
      <w:r w:rsidDel="00000000" w:rsidR="00000000" w:rsidRPr="00000000">
        <w:rPr>
          <w:rFonts w:ascii="Times New Roman" w:cs="Times New Roman" w:eastAsia="Times New Roman" w:hAnsi="Times New Roman"/>
          <w:sz w:val="24"/>
          <w:szCs w:val="24"/>
          <w:rtl w:val="0"/>
        </w:rPr>
        <w:t xml:space="preserve"> [Accessed 14 Nov. 2025].</w:t>
      </w:r>
    </w:p>
    <w:p w:rsidR="00000000" w:rsidDel="00000000" w:rsidP="00000000" w:rsidRDefault="00000000" w:rsidRPr="00000000" w14:paraId="000000FB">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Tram, P.N., (2024). Lifestyle education for young people in Vietnam: situation and solutions. </w:t>
      </w:r>
      <w:r w:rsidDel="00000000" w:rsidR="00000000" w:rsidRPr="00000000">
        <w:rPr>
          <w:rFonts w:ascii="Times New Roman" w:cs="Times New Roman" w:eastAsia="Times New Roman" w:hAnsi="Times New Roman"/>
          <w:i w:val="1"/>
          <w:iCs w:val="1"/>
          <w:color w:val="222222"/>
          <w:sz w:val="24"/>
          <w:szCs w:val="24"/>
          <w:highlight w:val="white"/>
          <w:rtl w:val="0"/>
        </w:rPr>
        <w:t xml:space="preserve">Cadernos de Educação Tecnologia e Sociedade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(se2), pp.57-67.</w:t>
      </w:r>
      <w:hyperlink r:id="rId62">
        <w:r w:rsidDel="00000000" w:rsidR="00000000" w:rsidRPr="00000000">
          <w:rPr>
            <w:rFonts w:ascii="Times New Roman" w:cs="Times New Roman" w:eastAsia="Times New Roman" w:hAnsi="Times New Roman"/>
            <w:color w:val="1155cc"/>
            <w:sz w:val="24"/>
            <w:szCs w:val="24"/>
            <w:highlight w:val="white"/>
            <w:u w:val="single"/>
            <w:rtl w:val="0"/>
          </w:rPr>
          <w:t xml:space="preserve">https://brajets.com/brajets/article/view/1579</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C">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Trichur, G., (2025). Working-Class Politics and Identity Politics: An Engagement with Michael Zweig.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Working-Class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pp.159-172.</w:t>
      </w:r>
      <w:hyperlink r:id="rId63">
        <w:r w:rsidDel="00000000" w:rsidR="00000000" w:rsidRPr="00000000">
          <w:rPr>
            <w:rFonts w:ascii="Times New Roman" w:cs="Times New Roman" w:eastAsia="Times New Roman" w:hAnsi="Times New Roman"/>
            <w:color w:val="1155cc"/>
            <w:sz w:val="24"/>
            <w:szCs w:val="24"/>
            <w:highlight w:val="white"/>
            <w:u w:val="single"/>
            <w:rtl w:val="0"/>
          </w:rPr>
          <w:t xml:space="preserve">https://journals.uwyo.edu/index.php/workingclassstudies/article/download/9829/7133</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Vinh, H.X., Van, L.H., Thao, N.T., Thao, N.T.P., Giang, L.T.H. and Nga, D.T., (2024). Middle-income traps: Experiences of Asian countries and lessons for Vietnam. </w:t>
      </w:r>
      <w:r w:rsidDel="00000000" w:rsidR="00000000" w:rsidRPr="00000000">
        <w:rPr>
          <w:rFonts w:ascii="Times New Roman" w:cs="Times New Roman" w:eastAsia="Times New Roman" w:hAnsi="Times New Roman"/>
          <w:i w:val="1"/>
          <w:iCs w:val="1"/>
          <w:color w:val="222222"/>
          <w:sz w:val="24"/>
          <w:szCs w:val="24"/>
          <w:highlight w:val="white"/>
          <w:rtl w:val="0"/>
        </w:rPr>
        <w:t xml:space="preserve">Multidisciplinary Reviews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7</w:t>
      </w:r>
      <w:r w:rsidDel="00000000" w:rsidR="00000000" w:rsidRPr="00000000">
        <w:rPr>
          <w:rFonts w:ascii="Times New Roman" w:cs="Times New Roman" w:eastAsia="Times New Roman" w:hAnsi="Times New Roman"/>
          <w:color w:val="222222"/>
          <w:sz w:val="24"/>
          <w:szCs w:val="24"/>
          <w:highlight w:val="white"/>
          <w:rtl w:val="0"/>
        </w:rPr>
        <w:t xml:space="preserve">(5), pp.2024100-2024100.</w:t>
      </w:r>
      <w:hyperlink r:id="rId64">
        <w:r w:rsidDel="00000000" w:rsidR="00000000" w:rsidRPr="00000000">
          <w:rPr>
            <w:rFonts w:ascii="Times New Roman" w:cs="Times New Roman" w:eastAsia="Times New Roman" w:hAnsi="Times New Roman"/>
            <w:color w:val="1155cc"/>
            <w:sz w:val="24"/>
            <w:szCs w:val="24"/>
            <w:highlight w:val="white"/>
            <w:u w:val="single"/>
            <w:rtl w:val="0"/>
          </w:rPr>
          <w:t xml:space="preserve">https://malque.pub/ojs/index.php/mr/article/view/1942</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FE">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World Bank (2025). </w:t>
      </w:r>
      <w:r w:rsidDel="00000000" w:rsidR="00000000" w:rsidRPr="00000000">
        <w:rPr>
          <w:rFonts w:ascii="Times New Roman" w:cs="Times New Roman" w:eastAsia="Times New Roman" w:hAnsi="Times New Roman"/>
          <w:i w:val="1"/>
          <w:iCs w:val="1"/>
          <w:color w:val="222222"/>
          <w:sz w:val="24"/>
          <w:szCs w:val="24"/>
          <w:highlight w:val="white"/>
          <w:rtl w:val="0"/>
        </w:rPr>
        <w:t xml:space="preserve">Vietnam Overview</w:t>
      </w:r>
      <w:r w:rsidDel="00000000" w:rsidR="00000000" w:rsidRPr="00000000">
        <w:rPr>
          <w:rFonts w:ascii="Times New Roman" w:cs="Times New Roman" w:eastAsia="Times New Roman" w:hAnsi="Times New Roman"/>
          <w:color w:val="222222"/>
          <w:sz w:val="24"/>
          <w:szCs w:val="24"/>
          <w:highlight w:val="white"/>
          <w:rtl w:val="0"/>
        </w:rPr>
        <w:t xml:space="preserve">. [online] World Bank. Available at: https://www.worldbank.org/en/country/vietnam/overview [Accessed 14 Nov. 2025].</w:t>
      </w:r>
    </w:p>
    <w:p w:rsidR="00000000" w:rsidDel="00000000" w:rsidP="00000000" w:rsidRDefault="00000000" w:rsidRPr="00000000" w14:paraId="000000FF">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Yaprak, Ü. and Şahinöz, S., (2025). Butterfly Effect of Natural Disasters on the Economy: The Case of the 2011 Van Earthquake. </w:t>
      </w:r>
      <w:r w:rsidDel="00000000" w:rsidR="00000000" w:rsidRPr="00000000">
        <w:rPr>
          <w:rFonts w:ascii="Times New Roman" w:cs="Times New Roman" w:eastAsia="Times New Roman" w:hAnsi="Times New Roman"/>
          <w:i w:val="1"/>
          <w:iCs w:val="1"/>
          <w:color w:val="222222"/>
          <w:sz w:val="24"/>
          <w:szCs w:val="24"/>
          <w:highlight w:val="white"/>
          <w:rtl w:val="0"/>
        </w:rPr>
        <w:t xml:space="preserve">Journal of International Health Sciences and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(21), pp.34-51.</w:t>
      </w:r>
      <w:hyperlink r:id="rId65">
        <w:r w:rsidDel="00000000" w:rsidR="00000000" w:rsidRPr="00000000">
          <w:rPr>
            <w:rFonts w:ascii="Times New Roman" w:cs="Times New Roman" w:eastAsia="Times New Roman" w:hAnsi="Times New Roman"/>
            <w:color w:val="1155cc"/>
            <w:sz w:val="24"/>
            <w:szCs w:val="24"/>
            <w:highlight w:val="white"/>
            <w:u w:val="single"/>
            <w:rtl w:val="0"/>
          </w:rPr>
          <w:t xml:space="preserve">https://dergipark.org.tr/en/pub/jihsam/issue/91557/1666860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00">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Yeung, G., (2024). Competitive dynamics of lead firms and their systems suppliers in the automotive industry. </w:t>
      </w:r>
      <w:r w:rsidDel="00000000" w:rsidR="00000000" w:rsidRPr="00000000">
        <w:rPr>
          <w:rFonts w:ascii="Times New Roman" w:cs="Times New Roman" w:eastAsia="Times New Roman" w:hAnsi="Times New Roman"/>
          <w:i w:val="1"/>
          <w:iCs w:val="1"/>
          <w:color w:val="222222"/>
          <w:sz w:val="24"/>
          <w:szCs w:val="24"/>
          <w:highlight w:val="white"/>
          <w:rtl w:val="0"/>
        </w:rPr>
        <w:t xml:space="preserve">Environment and Planning A: Economy and Space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iCs w:val="1"/>
          <w:color w:val="222222"/>
          <w:sz w:val="24"/>
          <w:szCs w:val="24"/>
          <w:highlight w:val="white"/>
          <w:rtl w:val="0"/>
        </w:rPr>
        <w:t xml:space="preserve">56</w:t>
      </w:r>
      <w:r w:rsidDel="00000000" w:rsidR="00000000" w:rsidRPr="00000000">
        <w:rPr>
          <w:rFonts w:ascii="Times New Roman" w:cs="Times New Roman" w:eastAsia="Times New Roman" w:hAnsi="Times New Roman"/>
          <w:color w:val="222222"/>
          <w:sz w:val="24"/>
          <w:szCs w:val="24"/>
          <w:highlight w:val="white"/>
          <w:rtl w:val="0"/>
        </w:rPr>
        <w:t xml:space="preserve">(2), pp.454-475.</w:t>
      </w:r>
      <w:hyperlink r:id="rId66">
        <w:r w:rsidDel="00000000" w:rsidR="00000000" w:rsidRPr="00000000">
          <w:rPr>
            <w:rFonts w:ascii="Times New Roman" w:cs="Times New Roman" w:eastAsia="Times New Roman" w:hAnsi="Times New Roman"/>
            <w:color w:val="1155cc"/>
            <w:sz w:val="24"/>
            <w:szCs w:val="24"/>
            <w:highlight w:val="white"/>
            <w:u w:val="single"/>
            <w:rtl w:val="0"/>
          </w:rPr>
          <w:t xml:space="preserve">https://journals.sagepub.com/doi/abs/10.1177/0308518X231202390</w:t>
        </w:r>
      </w:hyperlink>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101">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02">
      <w:pPr>
        <w:spacing w:after="240"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0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0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0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06">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after="20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6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8">
    <w:pPr>
      <w:spacing w:line="360" w:lineRule="auto"/>
      <w:jc w:val="righ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00" w:line="360" w:lineRule="auto"/>
      <w:jc w:val="both"/>
    </w:pPr>
    <w:rPr>
      <w:rFonts w:ascii="Times New Roman" w:cs="Times New Roman" w:eastAsia="Times New Roman" w:hAnsi="Times New Roman"/>
      <w:b w:val="1"/>
      <w:bCs w:val="1"/>
      <w:sz w:val="24"/>
      <w:szCs w:val="24"/>
    </w:rPr>
  </w:style>
  <w:style w:type="paragraph" w:styleId="Heading2">
    <w:name w:val="heading 2"/>
    <w:basedOn w:val="Normal"/>
    <w:next w:val="Normal"/>
    <w:pPr>
      <w:keepNext w:val="1"/>
      <w:keepLines w:val="1"/>
      <w:spacing w:after="200"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atlantis-press.com/proceedings/cdems-25/126012755" TargetMode="External"/><Relationship Id="rId42" Type="http://schemas.openxmlformats.org/officeDocument/2006/relationships/hyperlink" Target="https://www.atlantis-press.com/proceedings/icemci-21/125965805" TargetMode="External"/><Relationship Id="rId41" Type="http://schemas.openxmlformats.org/officeDocument/2006/relationships/hyperlink" Target="https://doi.org/10.48295/et.2024.99.6" TargetMode="External"/><Relationship Id="rId44" Type="http://schemas.openxmlformats.org/officeDocument/2006/relationships/hyperlink" Target="https://panmore.com/bmw-competitive-strategy-growth-strategies-case-study" TargetMode="External"/><Relationship Id="rId43" Type="http://schemas.openxmlformats.org/officeDocument/2006/relationships/hyperlink" Target="https://www.tandfonline.com/doi/abs/10.1080/09692290.2022.2056903" TargetMode="External"/><Relationship Id="rId46" Type="http://schemas.openxmlformats.org/officeDocument/2006/relationships/hyperlink" Target="https://www.eria.org/uploads/media/Books/2023-VietNam-2045/13_ch.9-Automobile-Industry.pdf" TargetMode="External"/><Relationship Id="rId45" Type="http://schemas.openxmlformats.org/officeDocument/2006/relationships/hyperlink" Target="https://www.eria.org/uploads/media/Books/2023-VietNam-2045/13_ch.9-Automobile-Industry.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www.multiresearchjournal.com/admin/uploads/archives/archive-1716464188.pdf" TargetMode="External"/><Relationship Id="rId47" Type="http://schemas.openxmlformats.org/officeDocument/2006/relationships/hyperlink" Target="https://journals.plos.org/plosone/article?id=10.1371/journal.pone.0323962" TargetMode="External"/><Relationship Id="rId49" Type="http://schemas.openxmlformats.org/officeDocument/2006/relationships/hyperlink" Target="https://www.statista.com/statistics/761134/share-of-urban-population-vietnam/?srsltid=AfmBOoqFH3-pvoWQPnlPDk2phg0UtSzCXACSYa2f4fL9ehl0mLPH8CG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8.png"/><Relationship Id="rId31" Type="http://schemas.openxmlformats.org/officeDocument/2006/relationships/hyperlink" Target="https://www.scribd.com/document/174074975/strategic-management-on-BMW" TargetMode="External"/><Relationship Id="rId30" Type="http://schemas.openxmlformats.org/officeDocument/2006/relationships/hyperlink" Target="https://www.scribd.com/document/438510938/BMW-Product-Design-and-Sustainability" TargetMode="External"/><Relationship Id="rId33" Type="http://schemas.openxmlformats.org/officeDocument/2006/relationships/hyperlink" Target="https://www.scribd.com/document/50060289/bmw" TargetMode="External"/><Relationship Id="rId32" Type="http://schemas.openxmlformats.org/officeDocument/2006/relationships/hyperlink" Target="https://www.ibm.com/think/topics/triple-bottom-line" TargetMode="External"/><Relationship Id="rId35" Type="http://schemas.openxmlformats.org/officeDocument/2006/relationships/hyperlink" Target="https://doi.org/10.29119/1641-3466.2023.180.16" TargetMode="External"/><Relationship Id="rId34" Type="http://schemas.openxmlformats.org/officeDocument/2006/relationships/hyperlink" Target="https://link.springer.com/article/10.1186/s42055-025-00104-2" TargetMode="External"/><Relationship Id="rId37" Type="http://schemas.openxmlformats.org/officeDocument/2006/relationships/hyperlink" Target="https://theicct.org/wp-content/uploads/2022/10/asia-pacific-lvs-NDC-TIA-E2W-mkt-growth-Vietnam-nov22.pdf" TargetMode="External"/><Relationship Id="rId36" Type="http://schemas.openxmlformats.org/officeDocument/2006/relationships/hyperlink" Target="https://www.researchgate.net/profile/Tony-Ng-29/publication/368987885_Market_development_strategy_of_renewable_energy_industry_in_Vietnam/links/65d89e27adf2362b6352e292/Market-development-strategy-of-renewable-energy-industry-in-Vietnam.pdf" TargetMode="External"/><Relationship Id="rId39" Type="http://schemas.openxmlformats.org/officeDocument/2006/relationships/hyperlink" Target="https://www.atlantis-press.com/proceedings/cdems-25/126012755" TargetMode="External"/><Relationship Id="rId38" Type="http://schemas.openxmlformats.org/officeDocument/2006/relationships/hyperlink" Target="https://www.mdpi.com/2071-1050/15/16/12109" TargetMode="External"/><Relationship Id="rId62" Type="http://schemas.openxmlformats.org/officeDocument/2006/relationships/hyperlink" Target="https://brajets.com/brajets/article/view/1579" TargetMode="External"/><Relationship Id="rId61" Type="http://schemas.openxmlformats.org/officeDocument/2006/relationships/hyperlink" Target="https://www.hbs.edu/ris/download.aspx?name=Toffel_Hill_McElhaney_2003_chapter.pdf" TargetMode="External"/><Relationship Id="rId20" Type="http://schemas.openxmlformats.org/officeDocument/2006/relationships/hyperlink" Target="https://www.achieveit.com/resources/blog/what-is-a-sustainable-competitive-advantage/" TargetMode="External"/><Relationship Id="rId64" Type="http://schemas.openxmlformats.org/officeDocument/2006/relationships/hyperlink" Target="https://malque.pub/ojs/index.php/mr/article/view/1942" TargetMode="External"/><Relationship Id="rId63" Type="http://schemas.openxmlformats.org/officeDocument/2006/relationships/hyperlink" Target="https://journals.uwyo.edu/index.php/workingclassstudies/article/download/9829/7133" TargetMode="External"/><Relationship Id="rId22" Type="http://schemas.openxmlformats.org/officeDocument/2006/relationships/hyperlink" Target="https://www.scribd.com/presentation/716995444/BMW-Group-CSR" TargetMode="External"/><Relationship Id="rId66" Type="http://schemas.openxmlformats.org/officeDocument/2006/relationships/hyperlink" Target="https://journals.sagepub.com/doi/abs/10.1177/0308518X231202390" TargetMode="External"/><Relationship Id="rId21" Type="http://schemas.openxmlformats.org/officeDocument/2006/relationships/hyperlink" Target="https://www.dragonsourcing.com/bmw-automotive-sourcing-strategy/" TargetMode="External"/><Relationship Id="rId65" Type="http://schemas.openxmlformats.org/officeDocument/2006/relationships/hyperlink" Target="https://dergipark.org.tr/en/pub/jihsam/issue/91557/1666860" TargetMode="External"/><Relationship Id="rId24" Type="http://schemas.openxmlformats.org/officeDocument/2006/relationships/hyperlink" Target="https://academic.oup.com/qje/article-abstract/139/2/1201/7276495" TargetMode="External"/><Relationship Id="rId23" Type="http://schemas.openxmlformats.org/officeDocument/2006/relationships/hyperlink" Target="https://www.techtarget.com/whatis/definition/triple-bottom-line-3BL" TargetMode="External"/><Relationship Id="rId67" Type="http://schemas.openxmlformats.org/officeDocument/2006/relationships/footer" Target="footer1.xml"/><Relationship Id="rId60" Type="http://schemas.openxmlformats.org/officeDocument/2006/relationships/hyperlink" Target="https://www.thestrategyinstitute.org/insights/a-comprehensive-guide-to-implementing-the-balanced-scorecard-framework" TargetMode="External"/><Relationship Id="rId26" Type="http://schemas.openxmlformats.org/officeDocument/2006/relationships/hyperlink" Target="https://doi.org/10.22158/mmse.v6n2p53" TargetMode="External"/><Relationship Id="rId25" Type="http://schemas.openxmlformats.org/officeDocument/2006/relationships/hyperlink" Target="https://www.mdpi.com/2071-1050/15/11/8765" TargetMode="External"/><Relationship Id="rId28" Type="http://schemas.openxmlformats.org/officeDocument/2006/relationships/hyperlink" Target="https://www.imarcgroup.com/vietnam-luxury-car-market" TargetMode="External"/><Relationship Id="rId27" Type="http://schemas.openxmlformats.org/officeDocument/2006/relationships/hyperlink" Target="https://www.tandfonline.com/doi/abs/10.1080/0965254X.2022.2052937" TargetMode="External"/><Relationship Id="rId29" Type="http://schemas.openxmlformats.org/officeDocument/2006/relationships/hyperlink" Target="https://ca100.influencemap.org/livescorecard/BMW-Scorecard-37270" TargetMode="External"/><Relationship Id="rId51" Type="http://schemas.openxmlformats.org/officeDocument/2006/relationships/hyperlink" Target="https://www.sdglab.uk/case-study/research-results-corporate-social-responsibility-csr-framework" TargetMode="External"/><Relationship Id="rId50" Type="http://schemas.openxmlformats.org/officeDocument/2006/relationships/hyperlink" Target="https://link.springer.com/chapter/10.1007/978-3-031-63394-2_10" TargetMode="External"/><Relationship Id="rId53" Type="http://schemas.openxmlformats.org/officeDocument/2006/relationships/hyperlink" Target="https://businessmodelanalyst.com/bmw-generic-competitive-strategy-and-growth-strategies/?srsltid=AfmBOor57KzjRjSl_J_3Ue2oOj24TLuPE2W4H7jfa8NKFAZlomRHIYdF" TargetMode="External"/><Relationship Id="rId52" Type="http://schemas.openxmlformats.org/officeDocument/2006/relationships/hyperlink" Target="https://www.statista.com/statistics/444733/gross-domestic-product-gdp-in-vietnam/?srsltid=AfmBOopHg8iwlrQiuL3SHKAksdld5UUvV_FgUOsK6oJpb_89PFjYZA-o" TargetMode="External"/><Relationship Id="rId11" Type="http://schemas.openxmlformats.org/officeDocument/2006/relationships/image" Target="media/image2.png"/><Relationship Id="rId55" Type="http://schemas.openxmlformats.org/officeDocument/2006/relationships/hyperlink" Target="https://www.mdpi.com/2032-6653/14/9/251" TargetMode="External"/><Relationship Id="rId10" Type="http://schemas.openxmlformats.org/officeDocument/2006/relationships/image" Target="media/image1.png"/><Relationship Id="rId54" Type="http://schemas.openxmlformats.org/officeDocument/2006/relationships/hyperlink" Target="https://www.sciencedirect.com/science/article/pii/S1389934124002417" TargetMode="External"/><Relationship Id="rId13" Type="http://schemas.openxmlformats.org/officeDocument/2006/relationships/image" Target="media/image6.png"/><Relationship Id="rId57" Type="http://schemas.openxmlformats.org/officeDocument/2006/relationships/hyperlink" Target="https://www.tandfonline.com/doi/abs/10.1080/17530350.2022.2058060" TargetMode="External"/><Relationship Id="rId12" Type="http://schemas.openxmlformats.org/officeDocument/2006/relationships/image" Target="media/image3.png"/><Relationship Id="rId56" Type="http://schemas.openxmlformats.org/officeDocument/2006/relationships/hyperlink" Target="https://www.tandfonline.com/doi/abs/10.1080/17530350.2022.2058060" TargetMode="External"/><Relationship Id="rId15" Type="http://schemas.openxmlformats.org/officeDocument/2006/relationships/hyperlink" Target="https://balancedscorecard.org/bsc-basics-overview/" TargetMode="External"/><Relationship Id="rId59" Type="http://schemas.openxmlformats.org/officeDocument/2006/relationships/hyperlink" Target="https://www.thacogroup.vn/en/thaco-auto-organizes-customer-appreciation-and-launches-bmw-new-luxury-class" TargetMode="External"/><Relationship Id="rId14" Type="http://schemas.openxmlformats.org/officeDocument/2006/relationships/image" Target="media/image4.png"/><Relationship Id="rId58" Type="http://schemas.openxmlformats.org/officeDocument/2006/relationships/hyperlink" Target="https://www.swotandpestle.com/bmw-ansoff-analysis" TargetMode="External"/><Relationship Id="rId17" Type="http://schemas.openxmlformats.org/officeDocument/2006/relationships/hyperlink" Target="https://www.bmwgroup.com/en/sustainability.html" TargetMode="External"/><Relationship Id="rId16" Type="http://schemas.openxmlformats.org/officeDocument/2006/relationships/hyperlink" Target="https://www.bmwgroup.com/en/report/2023/downloads/BMW-Group-Report-2023-en.pdf" TargetMode="External"/><Relationship Id="rId19" Type="http://schemas.openxmlformats.org/officeDocument/2006/relationships/hyperlink" Target="https://www.bmwgroup.com/en/company/history.html" TargetMode="External"/><Relationship Id="rId18" Type="http://schemas.openxmlformats.org/officeDocument/2006/relationships/hyperlink" Target="https://www.bmwgroup.com/en/company/loca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agS3N1/bDwmBXc7emPbkTzFdoQ==">CgMxLjAyDmguczc2bHJsZ2k4dXhrMg5oLnZndHZ1Y3B5dWczajIOaC54dngzOGdsMWx6cm0yDmgubWRkN2s5dGw0cmwzMg5oLnB5MjFnbDdrcDFoOTINaC5idDJnbWVseW9kZDIOaC5yMHEyNGM0ZXJtN2EyDmgucno4ZmVqNjI2eTE5Mg5oLjFqaWZ2ZG52eDB4ZTIOaC5yMGFndmp2ZTloa2QyDmguamFyYTFrZmwyb3RxMg5oLmN6aDRjZWVmNXl1bjIOaC5uaTB6MHh4OGllbWwyDmguYzdrdXRwZG41bGpzMg5oLjZ0N3gxOWZlbm5tNDIOaC41ZXE2MTdrY2J2am4yDmguNTlsZWc0czdkMDY3Mg5oLmk1aHpyd280enI5azIOaC5yZmlpdGI0Z25qMG04AHIhMVVPdldwY1REY2d4UlJ5VTBFR3huRERMdlhXMFd2UWJ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