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492C0" w14:textId="77777777" w:rsidR="00291DDF" w:rsidRPr="00D23C43" w:rsidRDefault="00291DDF" w:rsidP="00D23C43">
      <w:pPr>
        <w:spacing w:before="240" w:after="240"/>
        <w:jc w:val="center"/>
        <w:rPr>
          <w:rFonts w:cs="Times New Roman"/>
          <w:b/>
          <w:bCs/>
        </w:rPr>
      </w:pPr>
    </w:p>
    <w:p w14:paraId="6FFE635E" w14:textId="77777777" w:rsidR="00291DDF" w:rsidRPr="00D23C43" w:rsidRDefault="00291DDF" w:rsidP="00D23C43">
      <w:pPr>
        <w:spacing w:before="240" w:after="240"/>
        <w:jc w:val="center"/>
        <w:rPr>
          <w:rFonts w:cs="Times New Roman"/>
          <w:b/>
          <w:bCs/>
        </w:rPr>
      </w:pPr>
    </w:p>
    <w:p w14:paraId="109B4EF7" w14:textId="77777777" w:rsidR="00291DDF" w:rsidRPr="00D23C43" w:rsidRDefault="00291DDF" w:rsidP="00D23C43">
      <w:pPr>
        <w:spacing w:before="240" w:after="240"/>
        <w:jc w:val="center"/>
        <w:rPr>
          <w:rFonts w:cs="Times New Roman"/>
          <w:b/>
          <w:bCs/>
        </w:rPr>
      </w:pPr>
    </w:p>
    <w:p w14:paraId="427E144C" w14:textId="77777777" w:rsidR="00291DDF" w:rsidRPr="00D23C43" w:rsidRDefault="00291DDF" w:rsidP="00D23C43">
      <w:pPr>
        <w:spacing w:before="240" w:after="240"/>
        <w:jc w:val="center"/>
        <w:rPr>
          <w:rFonts w:cs="Times New Roman"/>
          <w:b/>
          <w:bCs/>
        </w:rPr>
      </w:pPr>
    </w:p>
    <w:p w14:paraId="3FB96199" w14:textId="57FDB7D0" w:rsidR="00291DDF" w:rsidRPr="002F383C" w:rsidRDefault="00BF6C20" w:rsidP="00D23C43">
      <w:pPr>
        <w:spacing w:before="240" w:after="240"/>
        <w:jc w:val="center"/>
        <w:rPr>
          <w:rFonts w:cs="Times New Roman"/>
          <w:b/>
          <w:bCs/>
        </w:rPr>
      </w:pPr>
      <w:r w:rsidRPr="002F383C">
        <w:rPr>
          <w:noProof/>
          <w:lang w:eastAsia="en-GB"/>
        </w:rPr>
        <w:drawing>
          <wp:inline distT="0" distB="0" distL="0" distR="0" wp14:anchorId="3B817D68" wp14:editId="71B4C643">
            <wp:extent cx="4933950" cy="1066800"/>
            <wp:effectExtent l="19050" t="19050" r="19050"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33950" cy="1066800"/>
                    </a:xfrm>
                    <a:prstGeom prst="rect">
                      <a:avLst/>
                    </a:prstGeom>
                    <a:ln>
                      <a:solidFill>
                        <a:schemeClr val="accent1"/>
                      </a:solidFill>
                    </a:ln>
                  </pic:spPr>
                </pic:pic>
              </a:graphicData>
            </a:graphic>
          </wp:inline>
        </w:drawing>
      </w:r>
    </w:p>
    <w:p w14:paraId="0A155BDD" w14:textId="77777777" w:rsidR="00BF6C20" w:rsidRPr="002F383C" w:rsidRDefault="00BF6C20" w:rsidP="00BF6C20">
      <w:pPr>
        <w:jc w:val="center"/>
        <w:rPr>
          <w:b/>
          <w:bCs/>
          <w:sz w:val="40"/>
          <w:szCs w:val="40"/>
        </w:rPr>
      </w:pPr>
      <w:r w:rsidRPr="002F383C">
        <w:rPr>
          <w:b/>
          <w:bCs/>
          <w:sz w:val="40"/>
          <w:szCs w:val="40"/>
        </w:rPr>
        <w:t>Master of Business Administration</w:t>
      </w:r>
    </w:p>
    <w:p w14:paraId="0C12666D" w14:textId="372341F1" w:rsidR="00291DDF" w:rsidRPr="002F383C" w:rsidRDefault="00BF6C20" w:rsidP="00BF6C20">
      <w:pPr>
        <w:jc w:val="center"/>
        <w:rPr>
          <w:b/>
          <w:bCs/>
          <w:sz w:val="40"/>
          <w:szCs w:val="40"/>
        </w:rPr>
      </w:pPr>
      <w:r w:rsidRPr="002F383C">
        <w:rPr>
          <w:b/>
          <w:bCs/>
          <w:sz w:val="40"/>
          <w:szCs w:val="40"/>
        </w:rPr>
        <w:t xml:space="preserve">LCMB7035 </w:t>
      </w:r>
      <w:r w:rsidR="000745CA" w:rsidRPr="002F383C">
        <w:rPr>
          <w:b/>
          <w:bCs/>
          <w:sz w:val="40"/>
          <w:szCs w:val="40"/>
        </w:rPr>
        <w:t>-</w:t>
      </w:r>
      <w:r w:rsidRPr="002F383C">
        <w:rPr>
          <w:b/>
          <w:bCs/>
          <w:sz w:val="40"/>
          <w:szCs w:val="40"/>
        </w:rPr>
        <w:t xml:space="preserve"> Dissertation</w:t>
      </w:r>
    </w:p>
    <w:p w14:paraId="700D582E" w14:textId="18C2312A" w:rsidR="00C22EA8" w:rsidRPr="002F383C" w:rsidRDefault="00C22EA8" w:rsidP="00D23C43">
      <w:pPr>
        <w:spacing w:before="240" w:after="240"/>
        <w:jc w:val="center"/>
        <w:rPr>
          <w:rFonts w:cs="Times New Roman"/>
          <w:b/>
          <w:bCs/>
          <w:i/>
          <w:iCs/>
          <w:sz w:val="40"/>
          <w:szCs w:val="40"/>
        </w:rPr>
      </w:pPr>
      <w:r w:rsidRPr="002F383C">
        <w:rPr>
          <w:rFonts w:cs="Times New Roman"/>
          <w:b/>
          <w:bCs/>
          <w:i/>
          <w:iCs/>
          <w:sz w:val="40"/>
          <w:szCs w:val="40"/>
        </w:rPr>
        <w:t>The Role of Supply Chain Resilience in Supporting the International Expansion of UK Food Manufacturing Companies</w:t>
      </w:r>
    </w:p>
    <w:p w14:paraId="259DDE44" w14:textId="5144A2AA" w:rsidR="00075A9D" w:rsidRPr="002F383C" w:rsidRDefault="00075A9D" w:rsidP="00D23C43">
      <w:pPr>
        <w:spacing w:before="240" w:after="240"/>
        <w:rPr>
          <w:rFonts w:cs="Times New Roman"/>
        </w:rPr>
      </w:pPr>
    </w:p>
    <w:p w14:paraId="21265DC4" w14:textId="77777777" w:rsidR="00075A9D" w:rsidRPr="002F383C" w:rsidRDefault="00075A9D"/>
    <w:p w14:paraId="780E0F69" w14:textId="77777777" w:rsidR="00075A9D" w:rsidRPr="002F383C" w:rsidRDefault="00075A9D"/>
    <w:p w14:paraId="15D4B710" w14:textId="464C3631" w:rsidR="00075A9D" w:rsidRPr="002F383C" w:rsidRDefault="00075A9D">
      <w:pPr>
        <w:rPr>
          <w:b/>
          <w:highlight w:val="yellow"/>
        </w:rPr>
      </w:pPr>
      <w:r w:rsidRPr="002F383C">
        <w:rPr>
          <w:b/>
          <w:highlight w:val="yellow"/>
        </w:rPr>
        <w:t>Student Name:</w:t>
      </w:r>
      <w:r w:rsidR="00E73043">
        <w:rPr>
          <w:b/>
          <w:highlight w:val="yellow"/>
        </w:rPr>
        <w:t xml:space="preserve"> DHRUMILKUMAR  KETANKUMAR  PATEL </w:t>
      </w:r>
    </w:p>
    <w:p w14:paraId="25CF80E1" w14:textId="13E71BBE" w:rsidR="00075A9D" w:rsidRPr="002F383C" w:rsidRDefault="00075A9D">
      <w:pPr>
        <w:rPr>
          <w:b/>
          <w:highlight w:val="yellow"/>
        </w:rPr>
      </w:pPr>
      <w:r w:rsidRPr="002F383C">
        <w:rPr>
          <w:b/>
          <w:highlight w:val="yellow"/>
        </w:rPr>
        <w:t>Student ID:</w:t>
      </w:r>
      <w:r w:rsidR="00E73043">
        <w:rPr>
          <w:b/>
          <w:highlight w:val="yellow"/>
        </w:rPr>
        <w:t xml:space="preserve"> 2510610</w:t>
      </w:r>
    </w:p>
    <w:p w14:paraId="6F08BDBA" w14:textId="2F9E40EC" w:rsidR="00075A9D" w:rsidRPr="002F383C" w:rsidRDefault="00075A9D">
      <w:pPr>
        <w:rPr>
          <w:b/>
          <w:highlight w:val="yellow"/>
        </w:rPr>
      </w:pPr>
      <w:r w:rsidRPr="002F383C">
        <w:rPr>
          <w:b/>
          <w:highlight w:val="yellow"/>
        </w:rPr>
        <w:t>Supervisor Name:</w:t>
      </w:r>
      <w:r w:rsidR="00E73043">
        <w:rPr>
          <w:b/>
          <w:highlight w:val="yellow"/>
        </w:rPr>
        <w:t xml:space="preserve"> DR. Jean Wang</w:t>
      </w:r>
    </w:p>
    <w:p w14:paraId="29AA1E00" w14:textId="4E5CD9CD" w:rsidR="007B0736" w:rsidRDefault="00075A9D">
      <w:pPr>
        <w:rPr>
          <w:b/>
        </w:rPr>
      </w:pPr>
      <w:r w:rsidRPr="002F383C">
        <w:rPr>
          <w:b/>
          <w:highlight w:val="yellow"/>
        </w:rPr>
        <w:t>Submission Date</w:t>
      </w:r>
      <w:r w:rsidRPr="002F383C">
        <w:rPr>
          <w:rFonts w:cs="Times New Roman"/>
          <w:highlight w:val="yellow"/>
        </w:rPr>
        <w:t xml:space="preserve"> </w:t>
      </w:r>
      <w:r w:rsidRPr="002F383C">
        <w:rPr>
          <w:b/>
          <w:highlight w:val="yellow"/>
        </w:rPr>
        <w:t>:</w:t>
      </w:r>
      <w:r w:rsidR="00E73043">
        <w:rPr>
          <w:b/>
        </w:rPr>
        <w:t>22 September 2026</w:t>
      </w:r>
    </w:p>
    <w:p w14:paraId="1BF70FE7" w14:textId="77777777" w:rsidR="007B0736" w:rsidRDefault="007B0736">
      <w:pPr>
        <w:rPr>
          <w:b/>
        </w:rPr>
      </w:pPr>
      <w:r>
        <w:rPr>
          <w:b/>
        </w:rPr>
        <w:t>Words: 14564</w:t>
      </w:r>
    </w:p>
    <w:p w14:paraId="0288851E" w14:textId="5485616A" w:rsidR="00075A9D" w:rsidRPr="002F383C" w:rsidRDefault="00075A9D">
      <w:pPr>
        <w:rPr>
          <w:rFonts w:eastAsiaTheme="majorEastAsia" w:cs="Times New Roman"/>
          <w:b/>
        </w:rPr>
      </w:pPr>
      <w:r w:rsidRPr="002F383C">
        <w:rPr>
          <w:rFonts w:cs="Times New Roman"/>
        </w:rPr>
        <w:br w:type="page"/>
      </w:r>
    </w:p>
    <w:p w14:paraId="4913561A" w14:textId="6E7EA81F" w:rsidR="00BB6D81" w:rsidRPr="00BB6D81" w:rsidRDefault="00075A9D" w:rsidP="00BB6D81">
      <w:pPr>
        <w:pStyle w:val="Heading1"/>
      </w:pPr>
      <w:bookmarkStart w:id="0" w:name="_Toc241251999"/>
      <w:r w:rsidRPr="002F383C">
        <w:t>Declaration</w:t>
      </w:r>
      <w:bookmarkEnd w:id="0"/>
    </w:p>
    <w:p w14:paraId="05DB059B" w14:textId="7F5D3779" w:rsidR="00BB6D81" w:rsidRPr="009356C2" w:rsidRDefault="00BB6D81" w:rsidP="00BB6D81">
      <w:pPr>
        <w:pBdr>
          <w:top w:val="single" w:sz="4" w:space="1" w:color="auto"/>
          <w:left w:val="single" w:sz="4" w:space="4" w:color="auto"/>
          <w:bottom w:val="single" w:sz="4" w:space="1" w:color="auto"/>
          <w:right w:val="single" w:sz="4" w:space="4" w:color="auto"/>
        </w:pBdr>
        <w:jc w:val="center"/>
        <w:rPr>
          <w:rFonts w:ascii="Arial" w:hAnsi="Arial" w:cs="Arial"/>
        </w:rPr>
      </w:pPr>
      <w:r w:rsidRPr="009356C2">
        <w:rPr>
          <w:rFonts w:ascii="Arial" w:hAnsi="Arial" w:cs="Arial"/>
          <w:noProof/>
          <w:lang w:eastAsia="en-GB"/>
        </w:rPr>
        <w:drawing>
          <wp:inline distT="0" distB="0" distL="0" distR="0" wp14:anchorId="4D68D07E" wp14:editId="6ACAB837">
            <wp:extent cx="2847975" cy="1162050"/>
            <wp:effectExtent l="0" t="0" r="0" b="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7975" cy="1162050"/>
                    </a:xfrm>
                    <a:prstGeom prst="rect">
                      <a:avLst/>
                    </a:prstGeom>
                    <a:noFill/>
                    <a:ln>
                      <a:noFill/>
                    </a:ln>
                  </pic:spPr>
                </pic:pic>
              </a:graphicData>
            </a:graphic>
          </wp:inline>
        </w:drawing>
      </w:r>
    </w:p>
    <w:p w14:paraId="3E72BCD6" w14:textId="77777777" w:rsidR="00BB6D81" w:rsidRPr="00BB6D81" w:rsidRDefault="00BB6D81" w:rsidP="00BB6D81">
      <w:pPr>
        <w:pBdr>
          <w:top w:val="single" w:sz="4" w:space="1" w:color="auto"/>
          <w:left w:val="single" w:sz="4" w:space="4" w:color="auto"/>
          <w:bottom w:val="single" w:sz="4" w:space="1" w:color="auto"/>
          <w:right w:val="single" w:sz="4" w:space="4" w:color="auto"/>
        </w:pBdr>
        <w:jc w:val="center"/>
        <w:rPr>
          <w:rFonts w:cs="Times New Roman"/>
          <w:b/>
          <w:sz w:val="28"/>
          <w:szCs w:val="28"/>
        </w:rPr>
      </w:pPr>
    </w:p>
    <w:p w14:paraId="52C33A0E" w14:textId="77777777" w:rsidR="00BB6D81" w:rsidRPr="00BB6D81" w:rsidRDefault="00BB6D81" w:rsidP="00BB6D81">
      <w:pPr>
        <w:pBdr>
          <w:top w:val="single" w:sz="4" w:space="1" w:color="auto"/>
          <w:left w:val="single" w:sz="4" w:space="4" w:color="auto"/>
          <w:bottom w:val="single" w:sz="4" w:space="1" w:color="auto"/>
          <w:right w:val="single" w:sz="4" w:space="4" w:color="auto"/>
        </w:pBdr>
        <w:jc w:val="center"/>
        <w:rPr>
          <w:rFonts w:cs="Times New Roman"/>
          <w:sz w:val="28"/>
          <w:szCs w:val="28"/>
        </w:rPr>
      </w:pPr>
      <w:r w:rsidRPr="00BB6D81">
        <w:rPr>
          <w:rFonts w:cs="Times New Roman"/>
          <w:b/>
          <w:sz w:val="28"/>
          <w:szCs w:val="28"/>
        </w:rPr>
        <w:t>Master’s Degrees by Examination and Dissertation</w:t>
      </w:r>
    </w:p>
    <w:p w14:paraId="2696FC89" w14:textId="77777777" w:rsidR="00BB6D81" w:rsidRPr="00BB6D81" w:rsidRDefault="00BB6D81" w:rsidP="00BB6D81">
      <w:pPr>
        <w:pBdr>
          <w:top w:val="single" w:sz="4" w:space="1" w:color="auto"/>
          <w:left w:val="single" w:sz="4" w:space="4" w:color="auto"/>
          <w:bottom w:val="single" w:sz="4" w:space="1" w:color="auto"/>
          <w:right w:val="single" w:sz="4" w:space="4" w:color="auto"/>
        </w:pBdr>
        <w:jc w:val="center"/>
        <w:rPr>
          <w:rFonts w:cs="Times New Roman"/>
          <w:sz w:val="28"/>
          <w:szCs w:val="28"/>
        </w:rPr>
      </w:pPr>
      <w:r w:rsidRPr="00BB6D81">
        <w:rPr>
          <w:rFonts w:cs="Times New Roman"/>
          <w:b/>
          <w:sz w:val="28"/>
          <w:szCs w:val="28"/>
        </w:rPr>
        <w:t>Declaration Form</w:t>
      </w:r>
      <w:r w:rsidRPr="00BB6D81">
        <w:rPr>
          <w:rFonts w:cs="Times New Roman"/>
          <w:sz w:val="28"/>
          <w:szCs w:val="28"/>
        </w:rPr>
        <w:t>.</w:t>
      </w:r>
    </w:p>
    <w:p w14:paraId="0962D842" w14:textId="77777777" w:rsidR="00BB6D81" w:rsidRPr="00BB6D81" w:rsidRDefault="00BB6D81" w:rsidP="00BB6D81">
      <w:pPr>
        <w:pBdr>
          <w:top w:val="single" w:sz="4" w:space="1" w:color="auto"/>
          <w:left w:val="single" w:sz="4" w:space="4" w:color="auto"/>
          <w:bottom w:val="single" w:sz="4" w:space="1" w:color="auto"/>
          <w:right w:val="single" w:sz="4" w:space="4" w:color="auto"/>
        </w:pBdr>
        <w:spacing w:line="480" w:lineRule="auto"/>
        <w:rPr>
          <w:rFonts w:cs="Times New Roman"/>
        </w:rPr>
      </w:pPr>
    </w:p>
    <w:p w14:paraId="300F1034" w14:textId="43172154" w:rsidR="00BB6D81" w:rsidRPr="00BB6D81" w:rsidRDefault="00BB6D81" w:rsidP="00BB6D81">
      <w:pPr>
        <w:pBdr>
          <w:top w:val="single" w:sz="4" w:space="1" w:color="auto"/>
          <w:left w:val="single" w:sz="4" w:space="4" w:color="auto"/>
          <w:bottom w:val="single" w:sz="4" w:space="1" w:color="auto"/>
          <w:right w:val="single" w:sz="4" w:space="4" w:color="auto"/>
        </w:pBdr>
        <w:spacing w:line="480" w:lineRule="auto"/>
        <w:rPr>
          <w:rFonts w:cs="Times New Roman"/>
        </w:rPr>
      </w:pPr>
      <w:r w:rsidRPr="00BB6D81">
        <w:rPr>
          <w:rFonts w:cs="Times New Roman"/>
        </w:rPr>
        <w:t>I, [</w:t>
      </w:r>
      <w:r w:rsidR="00E73043">
        <w:rPr>
          <w:rFonts w:cs="Times New Roman"/>
          <w:highlight w:val="yellow"/>
        </w:rPr>
        <w:t>DHRUMILKUMAR KETANKUMAR PATEL</w:t>
      </w:r>
      <w:r w:rsidRPr="00BB6D81">
        <w:rPr>
          <w:rFonts w:cs="Times New Roman"/>
          <w:highlight w:val="yellow"/>
        </w:rPr>
        <w:t>],</w:t>
      </w:r>
      <w:r w:rsidRPr="00BB6D81">
        <w:rPr>
          <w:rFonts w:cs="Times New Roman"/>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4CED6585" w14:textId="77777777" w:rsidR="00BB6D81" w:rsidRPr="00BB6D81" w:rsidRDefault="00BB6D81" w:rsidP="00BB6D81">
      <w:pPr>
        <w:pBdr>
          <w:top w:val="single" w:sz="4" w:space="1" w:color="auto"/>
          <w:left w:val="single" w:sz="4" w:space="4" w:color="auto"/>
          <w:bottom w:val="single" w:sz="4" w:space="1" w:color="auto"/>
          <w:right w:val="single" w:sz="4" w:space="4" w:color="auto"/>
        </w:pBdr>
        <w:spacing w:line="480" w:lineRule="auto"/>
        <w:rPr>
          <w:rFonts w:cs="Times New Roman"/>
        </w:rPr>
      </w:pPr>
      <w:r w:rsidRPr="00BB6D81">
        <w:rPr>
          <w:rFonts w:cs="Times New Roman"/>
        </w:rPr>
        <w:t xml:space="preserve"> </w:t>
      </w:r>
    </w:p>
    <w:p w14:paraId="4A5C75DC" w14:textId="37C95196" w:rsidR="00BB6D81" w:rsidRPr="00BB6D81" w:rsidRDefault="00BB6D81" w:rsidP="00BB6D81">
      <w:pPr>
        <w:pBdr>
          <w:top w:val="single" w:sz="4" w:space="1" w:color="auto"/>
          <w:left w:val="single" w:sz="4" w:space="4" w:color="auto"/>
          <w:bottom w:val="single" w:sz="4" w:space="1" w:color="auto"/>
          <w:right w:val="single" w:sz="4" w:space="4" w:color="auto"/>
        </w:pBdr>
        <w:spacing w:line="480" w:lineRule="auto"/>
        <w:rPr>
          <w:rFonts w:cs="Times New Roman"/>
          <w:highlight w:val="yellow"/>
        </w:rPr>
      </w:pPr>
      <w:r w:rsidRPr="00BB6D81">
        <w:rPr>
          <w:rFonts w:cs="Times New Roman"/>
          <w:highlight w:val="yellow"/>
        </w:rPr>
        <w:t xml:space="preserve">Signature: </w:t>
      </w:r>
      <w:r w:rsidR="00E73043">
        <w:rPr>
          <w:rFonts w:cs="Times New Roman"/>
          <w:highlight w:val="yellow"/>
        </w:rPr>
        <w:t>DHRUMILKUMAR KETANKUMAR PATEL</w:t>
      </w:r>
    </w:p>
    <w:p w14:paraId="58224AE4" w14:textId="77777777" w:rsidR="00BB6D81" w:rsidRPr="00BB6D81" w:rsidRDefault="00BB6D81" w:rsidP="00BB6D81">
      <w:pPr>
        <w:pBdr>
          <w:top w:val="single" w:sz="4" w:space="1" w:color="auto"/>
          <w:left w:val="single" w:sz="4" w:space="4" w:color="auto"/>
          <w:bottom w:val="single" w:sz="4" w:space="1" w:color="auto"/>
          <w:right w:val="single" w:sz="4" w:space="4" w:color="auto"/>
        </w:pBdr>
        <w:spacing w:line="480" w:lineRule="auto"/>
        <w:rPr>
          <w:rFonts w:cs="Times New Roman"/>
          <w:highlight w:val="yellow"/>
        </w:rPr>
      </w:pPr>
      <w:r w:rsidRPr="00BB6D81">
        <w:rPr>
          <w:rFonts w:cs="Times New Roman"/>
          <w:highlight w:val="yellow"/>
        </w:rPr>
        <w:t xml:space="preserve"> </w:t>
      </w:r>
    </w:p>
    <w:p w14:paraId="36A00217" w14:textId="3AF7E61B" w:rsidR="00BB6D81" w:rsidRPr="00BB6D81" w:rsidRDefault="00BB6D81" w:rsidP="00BB6D81">
      <w:pPr>
        <w:pBdr>
          <w:top w:val="single" w:sz="4" w:space="1" w:color="auto"/>
          <w:left w:val="single" w:sz="4" w:space="4" w:color="auto"/>
          <w:bottom w:val="single" w:sz="4" w:space="1" w:color="auto"/>
          <w:right w:val="single" w:sz="4" w:space="4" w:color="auto"/>
        </w:pBdr>
        <w:spacing w:line="480" w:lineRule="auto"/>
        <w:rPr>
          <w:rFonts w:cs="Times New Roman"/>
        </w:rPr>
      </w:pPr>
      <w:r w:rsidRPr="00BB6D81">
        <w:rPr>
          <w:rFonts w:cs="Times New Roman"/>
          <w:highlight w:val="yellow"/>
        </w:rPr>
        <w:t xml:space="preserve">Date:         </w:t>
      </w:r>
      <w:r w:rsidR="00E73043">
        <w:rPr>
          <w:rFonts w:cs="Times New Roman"/>
        </w:rPr>
        <w:t>18 SEPTEMBER 2026</w:t>
      </w:r>
    </w:p>
    <w:p w14:paraId="337D1076" w14:textId="77777777" w:rsidR="00BB6D81" w:rsidRPr="009356C2" w:rsidRDefault="00BB6D81" w:rsidP="00BB6D81">
      <w:pPr>
        <w:pBdr>
          <w:top w:val="single" w:sz="4" w:space="1" w:color="auto"/>
          <w:left w:val="single" w:sz="4" w:space="4" w:color="auto"/>
          <w:bottom w:val="single" w:sz="4" w:space="1" w:color="auto"/>
          <w:right w:val="single" w:sz="4" w:space="4" w:color="auto"/>
        </w:pBdr>
        <w:rPr>
          <w:rFonts w:ascii="Arial" w:hAnsi="Arial" w:cs="Arial"/>
        </w:rPr>
      </w:pPr>
    </w:p>
    <w:p w14:paraId="4B3247DC" w14:textId="6D0D1AF7" w:rsidR="00075A9D" w:rsidRPr="002F383C" w:rsidRDefault="00075A9D" w:rsidP="00075A9D">
      <w:pPr>
        <w:rPr>
          <w:rFonts w:eastAsiaTheme="majorEastAsia"/>
        </w:rPr>
      </w:pPr>
      <w:r w:rsidRPr="002F383C">
        <w:br w:type="page"/>
      </w:r>
    </w:p>
    <w:p w14:paraId="62105C18" w14:textId="30F1E6DC" w:rsidR="00947DC0" w:rsidRPr="002F383C" w:rsidRDefault="00947DC0" w:rsidP="00D23C43">
      <w:pPr>
        <w:pStyle w:val="Heading1"/>
        <w:spacing w:before="240" w:after="240"/>
        <w:rPr>
          <w:rFonts w:cs="Times New Roman"/>
          <w:szCs w:val="24"/>
        </w:rPr>
      </w:pPr>
      <w:bookmarkStart w:id="1" w:name="_Toc241252000"/>
      <w:r w:rsidRPr="002F383C">
        <w:rPr>
          <w:rFonts w:cs="Times New Roman"/>
          <w:szCs w:val="24"/>
        </w:rPr>
        <w:t>AI Declaration</w:t>
      </w:r>
      <w:bookmarkEnd w:id="1"/>
      <w:r w:rsidRPr="002F383C">
        <w:rPr>
          <w:rFonts w:cs="Times New Roman"/>
          <w:szCs w:val="24"/>
        </w:rPr>
        <w:t xml:space="preserve"> </w:t>
      </w:r>
    </w:p>
    <w:p w14:paraId="3BF4F21E" w14:textId="5ED54C36" w:rsidR="00947DC0" w:rsidRPr="002F383C" w:rsidRDefault="00947DC0" w:rsidP="00D23C43">
      <w:pPr>
        <w:spacing w:before="240" w:after="240"/>
        <w:rPr>
          <w:rFonts w:cs="Times New Roman"/>
        </w:rPr>
      </w:pPr>
      <w:r w:rsidRPr="002F383C">
        <w:rPr>
          <w:rFonts w:cs="Times New Roman"/>
        </w:rPr>
        <w:t xml:space="preserve">It is hereby declared that I have not used any artificial intelligence software for creating, writing, or even editing this dissertation. </w:t>
      </w:r>
      <w:r w:rsidR="00675A4E" w:rsidRPr="002F383C">
        <w:rPr>
          <w:rFonts w:cs="Times New Roman"/>
        </w:rPr>
        <w:t>The AI tools such as Chat GPT was used to generate images only.</w:t>
      </w:r>
    </w:p>
    <w:p w14:paraId="4E0FC1AA" w14:textId="77777777" w:rsidR="009228A9" w:rsidRPr="002F383C" w:rsidRDefault="009228A9" w:rsidP="00D23C43">
      <w:pPr>
        <w:spacing w:before="240" w:after="240"/>
        <w:rPr>
          <w:rFonts w:eastAsiaTheme="majorEastAsia" w:cs="Times New Roman"/>
          <w:b/>
        </w:rPr>
      </w:pPr>
      <w:r w:rsidRPr="002F383C">
        <w:rPr>
          <w:rFonts w:cs="Times New Roman"/>
        </w:rPr>
        <w:br w:type="page"/>
      </w:r>
    </w:p>
    <w:p w14:paraId="06975451" w14:textId="05955CA4" w:rsidR="00753CAE" w:rsidRPr="002F383C" w:rsidRDefault="00753CAE" w:rsidP="00D23C43">
      <w:pPr>
        <w:pStyle w:val="Heading1"/>
        <w:spacing w:before="240" w:after="240"/>
        <w:rPr>
          <w:rFonts w:cs="Times New Roman"/>
          <w:szCs w:val="24"/>
        </w:rPr>
      </w:pPr>
      <w:bookmarkStart w:id="2" w:name="_Toc241252001"/>
      <w:r w:rsidRPr="002F383C">
        <w:rPr>
          <w:rFonts w:cs="Times New Roman"/>
          <w:szCs w:val="24"/>
        </w:rPr>
        <w:t>Acknowle</w:t>
      </w:r>
      <w:r w:rsidR="00B947D4" w:rsidRPr="002F383C">
        <w:rPr>
          <w:rFonts w:cs="Times New Roman"/>
          <w:szCs w:val="24"/>
        </w:rPr>
        <w:t>gement</w:t>
      </w:r>
      <w:bookmarkEnd w:id="2"/>
    </w:p>
    <w:p w14:paraId="5B0AE9FF" w14:textId="2947D97D" w:rsidR="00B947D4" w:rsidRPr="002F383C" w:rsidRDefault="00B947D4" w:rsidP="00D23C43">
      <w:pPr>
        <w:spacing w:before="240" w:after="240"/>
        <w:rPr>
          <w:rFonts w:cs="Times New Roman"/>
        </w:rPr>
      </w:pPr>
      <w:r w:rsidRPr="002F383C">
        <w:rPr>
          <w:rFonts w:cs="Times New Roman"/>
        </w:rPr>
        <w:t xml:space="preserve">I would like to extend my sincere appreciation to my supervisor for all the valuable advice that </w:t>
      </w:r>
      <w:r w:rsidR="00D9621B" w:rsidRPr="002F383C">
        <w:rPr>
          <w:rFonts w:cs="Times New Roman"/>
        </w:rPr>
        <w:t xml:space="preserve">their </w:t>
      </w:r>
      <w:r w:rsidRPr="002F383C">
        <w:rPr>
          <w:rFonts w:cs="Times New Roman"/>
        </w:rPr>
        <w:t>has provided me during this study. I would also like to thank my university and all the lecturers involved.</w:t>
      </w:r>
    </w:p>
    <w:p w14:paraId="632F5871" w14:textId="77777777" w:rsidR="008C79E8" w:rsidRPr="002F383C" w:rsidRDefault="008C79E8" w:rsidP="00D23C43">
      <w:pPr>
        <w:spacing w:before="240" w:after="240"/>
        <w:rPr>
          <w:rFonts w:eastAsiaTheme="majorEastAsia" w:cs="Times New Roman"/>
          <w:b/>
        </w:rPr>
      </w:pPr>
      <w:r w:rsidRPr="002F383C">
        <w:rPr>
          <w:rFonts w:cs="Times New Roman"/>
        </w:rPr>
        <w:br w:type="page"/>
      </w:r>
    </w:p>
    <w:p w14:paraId="1EC3BBDC" w14:textId="01A99E6C" w:rsidR="00AB1C80" w:rsidRPr="002F383C" w:rsidRDefault="00AB1C80" w:rsidP="00D23C43">
      <w:pPr>
        <w:pStyle w:val="Heading1"/>
        <w:spacing w:before="240" w:after="240"/>
        <w:rPr>
          <w:rFonts w:cs="Times New Roman"/>
          <w:szCs w:val="24"/>
        </w:rPr>
      </w:pPr>
      <w:bookmarkStart w:id="3" w:name="_Toc241252002"/>
      <w:r w:rsidRPr="002F383C">
        <w:rPr>
          <w:rFonts w:cs="Times New Roman"/>
          <w:szCs w:val="24"/>
        </w:rPr>
        <w:t>Abstract</w:t>
      </w:r>
      <w:bookmarkEnd w:id="3"/>
    </w:p>
    <w:p w14:paraId="560AA3EA" w14:textId="24FEBE59" w:rsidR="00AB1C80" w:rsidRPr="002F383C" w:rsidRDefault="00AB1C80" w:rsidP="00D23C43">
      <w:pPr>
        <w:pStyle w:val="NormalWeb"/>
        <w:spacing w:before="240" w:after="240"/>
      </w:pPr>
      <w:r w:rsidRPr="002F383C">
        <w:t xml:space="preserve">This study focuses on how supply chain resilience contributes to </w:t>
      </w:r>
      <w:r w:rsidR="006E35BC" w:rsidRPr="002F383C">
        <w:t xml:space="preserve">the </w:t>
      </w:r>
      <w:r w:rsidRPr="002F383C">
        <w:t>internationalisation of UK food manufacturing companies. It will seek to determine the applicability of resilience, define key resilience competences, analyse their role in determining international expansion choices and discuss strategies that can facilitate sustainable international expansion. Research methodology was based on interpretivism philosophy, inductive method and qualitative secondary design. Data were gathered through academic literature, government, parliamentary, statistical and industry reports and analysed through thematic analysis. The results revealed that supplier diversification, flexibility, collaboration, visibility and adaptability were significant capabilities in supply chain disruption management. Diversified sourcing may lessen reliance on individual suppliers and locations, where as flexibility enables the firms to modify sourcing and production arrangements. Information sharing and coordinated responses are enhanced through collaboration, and visibility influences timely decision making. The results also state that resilience can be used in international market and supply network decision-making by enabling firms to deal with uncertainty in international operations. Long term resilience is also enhanced by innovation, contingency planning and continuous adaptation. It advises UK food producers to increase supplier diversification, collaborative relationships, digital visibility and resilience planning to enable sustainable and stable international expansion.</w:t>
      </w:r>
    </w:p>
    <w:p w14:paraId="713F1C4D" w14:textId="77777777" w:rsidR="00AB1C80" w:rsidRPr="002F383C" w:rsidRDefault="00AB1C80" w:rsidP="00D23C43">
      <w:pPr>
        <w:pStyle w:val="NormalWeb"/>
        <w:spacing w:before="240" w:after="240"/>
      </w:pPr>
      <w:r w:rsidRPr="002F383C">
        <w:rPr>
          <w:b/>
        </w:rPr>
        <w:t>Keywords</w:t>
      </w:r>
      <w:r w:rsidRPr="002F383C">
        <w:t>: Supply chain resilience, UK food manufacturing, international expansion, supplier diversification, flexibility, collaboration, supply chain visibility, adaptability.</w:t>
      </w:r>
    </w:p>
    <w:p w14:paraId="4B51DE23" w14:textId="77777777" w:rsidR="00AB1C80" w:rsidRPr="002F383C" w:rsidRDefault="00AB1C80" w:rsidP="00D23C43">
      <w:pPr>
        <w:spacing w:before="240" w:after="240"/>
        <w:rPr>
          <w:rFonts w:cs="Times New Roman"/>
        </w:rPr>
      </w:pPr>
    </w:p>
    <w:p w14:paraId="20BEF917" w14:textId="77777777" w:rsidR="00604420" w:rsidRPr="002F383C" w:rsidRDefault="00604420" w:rsidP="00D23C43">
      <w:pPr>
        <w:spacing w:before="240" w:after="240"/>
        <w:jc w:val="center"/>
        <w:rPr>
          <w:rFonts w:cs="Times New Roman"/>
          <w:b/>
          <w:bCs/>
        </w:rPr>
      </w:pPr>
    </w:p>
    <w:p w14:paraId="54B57C5B" w14:textId="51708440" w:rsidR="00604420" w:rsidRPr="002F383C" w:rsidRDefault="00604420" w:rsidP="00D23C43">
      <w:pPr>
        <w:spacing w:before="240" w:after="240"/>
        <w:rPr>
          <w:rFonts w:cs="Times New Roman"/>
          <w:b/>
          <w:bCs/>
        </w:rPr>
      </w:pPr>
      <w:r w:rsidRPr="002F383C">
        <w:rPr>
          <w:rFonts w:cs="Times New Roman"/>
          <w:b/>
          <w:bCs/>
        </w:rPr>
        <w:br w:type="page"/>
      </w:r>
    </w:p>
    <w:sdt>
      <w:sdtPr>
        <w:rPr>
          <w:rFonts w:ascii="Times New Roman" w:eastAsiaTheme="minorHAnsi" w:hAnsi="Times New Roman" w:cs="Times New Roman"/>
          <w:b/>
          <w:bCs/>
          <w:i/>
          <w:iCs/>
          <w:color w:val="000000" w:themeColor="text1"/>
          <w:kern w:val="2"/>
          <w:sz w:val="24"/>
          <w:szCs w:val="24"/>
          <w:lang w:val="en-GB"/>
          <w14:ligatures w14:val="standardContextual"/>
        </w:rPr>
        <w:id w:val="-526485523"/>
        <w:docPartObj>
          <w:docPartGallery w:val="Table of Contents"/>
          <w:docPartUnique/>
        </w:docPartObj>
      </w:sdtPr>
      <w:sdtEndPr>
        <w:rPr>
          <w:i w:val="0"/>
          <w:iCs w:val="0"/>
          <w:noProof/>
        </w:rPr>
      </w:sdtEndPr>
      <w:sdtContent>
        <w:p w14:paraId="7B84A98F" w14:textId="3B7F1ECF" w:rsidR="00604420" w:rsidRPr="002F383C" w:rsidRDefault="00604420" w:rsidP="00D23C43">
          <w:pPr>
            <w:pStyle w:val="TOCHeading"/>
            <w:spacing w:after="240" w:line="360" w:lineRule="auto"/>
            <w:rPr>
              <w:rFonts w:ascii="Times New Roman" w:hAnsi="Times New Roman" w:cs="Times New Roman"/>
              <w:b/>
              <w:bCs/>
              <w:iCs/>
              <w:color w:val="000000" w:themeColor="text1"/>
              <w:sz w:val="24"/>
              <w:szCs w:val="24"/>
            </w:rPr>
          </w:pPr>
          <w:r w:rsidRPr="002F383C">
            <w:rPr>
              <w:rFonts w:ascii="Times New Roman" w:hAnsi="Times New Roman" w:cs="Times New Roman"/>
              <w:b/>
              <w:bCs/>
              <w:iCs/>
              <w:color w:val="000000" w:themeColor="text1"/>
              <w:sz w:val="24"/>
              <w:szCs w:val="24"/>
            </w:rPr>
            <w:t>Table of Contents</w:t>
          </w:r>
        </w:p>
        <w:p w14:paraId="08699814" w14:textId="2F9A2010" w:rsidR="001F2ED9" w:rsidRDefault="00604420">
          <w:pPr>
            <w:pStyle w:val="TOC1"/>
            <w:tabs>
              <w:tab w:val="right" w:leader="dot" w:pos="9020"/>
            </w:tabs>
            <w:rPr>
              <w:rFonts w:asciiTheme="minorHAnsi" w:eastAsiaTheme="minorEastAsia" w:hAnsiTheme="minorHAnsi"/>
              <w:noProof/>
              <w:color w:val="auto"/>
              <w:lang w:val="en-IN" w:eastAsia="en-IN"/>
            </w:rPr>
          </w:pPr>
          <w:r w:rsidRPr="002F383C">
            <w:rPr>
              <w:rFonts w:cs="Times New Roman"/>
            </w:rPr>
            <w:fldChar w:fldCharType="begin"/>
          </w:r>
          <w:r w:rsidRPr="002F383C">
            <w:rPr>
              <w:rFonts w:cs="Times New Roman"/>
            </w:rPr>
            <w:instrText xml:space="preserve"> TOC \o "1-3" \h \z \u </w:instrText>
          </w:r>
          <w:r w:rsidRPr="002F383C">
            <w:rPr>
              <w:rFonts w:cs="Times New Roman"/>
            </w:rPr>
            <w:fldChar w:fldCharType="separate"/>
          </w:r>
          <w:hyperlink w:anchor="_Toc241251999" w:history="1">
            <w:r w:rsidR="001F2ED9" w:rsidRPr="00D70D64">
              <w:rPr>
                <w:rStyle w:val="Hyperlink"/>
                <w:noProof/>
              </w:rPr>
              <w:t>Declaration</w:t>
            </w:r>
            <w:r w:rsidR="001F2ED9">
              <w:rPr>
                <w:noProof/>
                <w:webHidden/>
              </w:rPr>
              <w:tab/>
            </w:r>
            <w:r w:rsidR="001F2ED9">
              <w:rPr>
                <w:noProof/>
                <w:webHidden/>
              </w:rPr>
              <w:fldChar w:fldCharType="begin"/>
            </w:r>
            <w:r w:rsidR="001F2ED9">
              <w:rPr>
                <w:noProof/>
                <w:webHidden/>
              </w:rPr>
              <w:instrText xml:space="preserve"> PAGEREF _Toc241251999 \h </w:instrText>
            </w:r>
            <w:r w:rsidR="001F2ED9">
              <w:rPr>
                <w:noProof/>
                <w:webHidden/>
              </w:rPr>
            </w:r>
            <w:r w:rsidR="001F2ED9">
              <w:rPr>
                <w:noProof/>
                <w:webHidden/>
              </w:rPr>
              <w:fldChar w:fldCharType="separate"/>
            </w:r>
            <w:r w:rsidR="001F2ED9">
              <w:rPr>
                <w:noProof/>
                <w:webHidden/>
              </w:rPr>
              <w:t>2</w:t>
            </w:r>
            <w:r w:rsidR="001F2ED9">
              <w:rPr>
                <w:noProof/>
                <w:webHidden/>
              </w:rPr>
              <w:fldChar w:fldCharType="end"/>
            </w:r>
          </w:hyperlink>
        </w:p>
        <w:p w14:paraId="55FBDF5A" w14:textId="38E706CB" w:rsidR="001F2ED9" w:rsidRDefault="001F2ED9">
          <w:pPr>
            <w:pStyle w:val="TOC1"/>
            <w:tabs>
              <w:tab w:val="right" w:leader="dot" w:pos="9020"/>
            </w:tabs>
            <w:rPr>
              <w:rFonts w:asciiTheme="minorHAnsi" w:eastAsiaTheme="minorEastAsia" w:hAnsiTheme="minorHAnsi"/>
              <w:noProof/>
              <w:color w:val="auto"/>
              <w:lang w:val="en-IN" w:eastAsia="en-IN"/>
            </w:rPr>
          </w:pPr>
          <w:hyperlink w:anchor="_Toc241252000" w:history="1">
            <w:r w:rsidRPr="00D70D64">
              <w:rPr>
                <w:rStyle w:val="Hyperlink"/>
                <w:rFonts w:cs="Times New Roman"/>
                <w:noProof/>
              </w:rPr>
              <w:t>AI Declaration</w:t>
            </w:r>
            <w:r>
              <w:rPr>
                <w:noProof/>
                <w:webHidden/>
              </w:rPr>
              <w:tab/>
            </w:r>
            <w:r>
              <w:rPr>
                <w:noProof/>
                <w:webHidden/>
              </w:rPr>
              <w:fldChar w:fldCharType="begin"/>
            </w:r>
            <w:r>
              <w:rPr>
                <w:noProof/>
                <w:webHidden/>
              </w:rPr>
              <w:instrText xml:space="preserve"> PAGEREF _Toc241252000 \h </w:instrText>
            </w:r>
            <w:r>
              <w:rPr>
                <w:noProof/>
                <w:webHidden/>
              </w:rPr>
            </w:r>
            <w:r>
              <w:rPr>
                <w:noProof/>
                <w:webHidden/>
              </w:rPr>
              <w:fldChar w:fldCharType="separate"/>
            </w:r>
            <w:r>
              <w:rPr>
                <w:noProof/>
                <w:webHidden/>
              </w:rPr>
              <w:t>3</w:t>
            </w:r>
            <w:r>
              <w:rPr>
                <w:noProof/>
                <w:webHidden/>
              </w:rPr>
              <w:fldChar w:fldCharType="end"/>
            </w:r>
          </w:hyperlink>
        </w:p>
        <w:p w14:paraId="3AB4605A" w14:textId="1D63CDBC" w:rsidR="001F2ED9" w:rsidRDefault="001F2ED9">
          <w:pPr>
            <w:pStyle w:val="TOC1"/>
            <w:tabs>
              <w:tab w:val="right" w:leader="dot" w:pos="9020"/>
            </w:tabs>
            <w:rPr>
              <w:rFonts w:asciiTheme="minorHAnsi" w:eastAsiaTheme="minorEastAsia" w:hAnsiTheme="minorHAnsi"/>
              <w:noProof/>
              <w:color w:val="auto"/>
              <w:lang w:val="en-IN" w:eastAsia="en-IN"/>
            </w:rPr>
          </w:pPr>
          <w:hyperlink w:anchor="_Toc241252001" w:history="1">
            <w:r w:rsidRPr="00D70D64">
              <w:rPr>
                <w:rStyle w:val="Hyperlink"/>
                <w:rFonts w:cs="Times New Roman"/>
                <w:noProof/>
              </w:rPr>
              <w:t>Acknowlegement</w:t>
            </w:r>
            <w:r>
              <w:rPr>
                <w:noProof/>
                <w:webHidden/>
              </w:rPr>
              <w:tab/>
            </w:r>
            <w:r>
              <w:rPr>
                <w:noProof/>
                <w:webHidden/>
              </w:rPr>
              <w:fldChar w:fldCharType="begin"/>
            </w:r>
            <w:r>
              <w:rPr>
                <w:noProof/>
                <w:webHidden/>
              </w:rPr>
              <w:instrText xml:space="preserve"> PAGEREF _Toc241252001 \h </w:instrText>
            </w:r>
            <w:r>
              <w:rPr>
                <w:noProof/>
                <w:webHidden/>
              </w:rPr>
            </w:r>
            <w:r>
              <w:rPr>
                <w:noProof/>
                <w:webHidden/>
              </w:rPr>
              <w:fldChar w:fldCharType="separate"/>
            </w:r>
            <w:r>
              <w:rPr>
                <w:noProof/>
                <w:webHidden/>
              </w:rPr>
              <w:t>4</w:t>
            </w:r>
            <w:r>
              <w:rPr>
                <w:noProof/>
                <w:webHidden/>
              </w:rPr>
              <w:fldChar w:fldCharType="end"/>
            </w:r>
          </w:hyperlink>
        </w:p>
        <w:p w14:paraId="34E142AC" w14:textId="418FD60C" w:rsidR="001F2ED9" w:rsidRDefault="001F2ED9">
          <w:pPr>
            <w:pStyle w:val="TOC1"/>
            <w:tabs>
              <w:tab w:val="right" w:leader="dot" w:pos="9020"/>
            </w:tabs>
            <w:rPr>
              <w:rFonts w:asciiTheme="minorHAnsi" w:eastAsiaTheme="minorEastAsia" w:hAnsiTheme="minorHAnsi"/>
              <w:noProof/>
              <w:color w:val="auto"/>
              <w:lang w:val="en-IN" w:eastAsia="en-IN"/>
            </w:rPr>
          </w:pPr>
          <w:hyperlink w:anchor="_Toc241252002" w:history="1">
            <w:r w:rsidRPr="00D70D64">
              <w:rPr>
                <w:rStyle w:val="Hyperlink"/>
                <w:rFonts w:cs="Times New Roman"/>
                <w:noProof/>
              </w:rPr>
              <w:t>Abstract</w:t>
            </w:r>
            <w:r>
              <w:rPr>
                <w:noProof/>
                <w:webHidden/>
              </w:rPr>
              <w:tab/>
            </w:r>
            <w:r>
              <w:rPr>
                <w:noProof/>
                <w:webHidden/>
              </w:rPr>
              <w:fldChar w:fldCharType="begin"/>
            </w:r>
            <w:r>
              <w:rPr>
                <w:noProof/>
                <w:webHidden/>
              </w:rPr>
              <w:instrText xml:space="preserve"> PAGEREF _Toc241252002 \h </w:instrText>
            </w:r>
            <w:r>
              <w:rPr>
                <w:noProof/>
                <w:webHidden/>
              </w:rPr>
            </w:r>
            <w:r>
              <w:rPr>
                <w:noProof/>
                <w:webHidden/>
              </w:rPr>
              <w:fldChar w:fldCharType="separate"/>
            </w:r>
            <w:r>
              <w:rPr>
                <w:noProof/>
                <w:webHidden/>
              </w:rPr>
              <w:t>5</w:t>
            </w:r>
            <w:r>
              <w:rPr>
                <w:noProof/>
                <w:webHidden/>
              </w:rPr>
              <w:fldChar w:fldCharType="end"/>
            </w:r>
          </w:hyperlink>
        </w:p>
        <w:p w14:paraId="40C7A27E" w14:textId="6FB018F1" w:rsidR="001F2ED9" w:rsidRDefault="001F2ED9">
          <w:pPr>
            <w:pStyle w:val="TOC1"/>
            <w:tabs>
              <w:tab w:val="right" w:leader="dot" w:pos="9020"/>
            </w:tabs>
            <w:rPr>
              <w:rFonts w:asciiTheme="minorHAnsi" w:eastAsiaTheme="minorEastAsia" w:hAnsiTheme="minorHAnsi"/>
              <w:noProof/>
              <w:color w:val="auto"/>
              <w:lang w:val="en-IN" w:eastAsia="en-IN"/>
            </w:rPr>
          </w:pPr>
          <w:hyperlink w:anchor="_Toc241252003" w:history="1">
            <w:r w:rsidRPr="00D70D64">
              <w:rPr>
                <w:rStyle w:val="Hyperlink"/>
                <w:rFonts w:cs="Times New Roman"/>
                <w:noProof/>
              </w:rPr>
              <w:t>Chapter 1: Introduction</w:t>
            </w:r>
            <w:r>
              <w:rPr>
                <w:noProof/>
                <w:webHidden/>
              </w:rPr>
              <w:tab/>
            </w:r>
            <w:r>
              <w:rPr>
                <w:noProof/>
                <w:webHidden/>
              </w:rPr>
              <w:fldChar w:fldCharType="begin"/>
            </w:r>
            <w:r>
              <w:rPr>
                <w:noProof/>
                <w:webHidden/>
              </w:rPr>
              <w:instrText xml:space="preserve"> PAGEREF _Toc241252003 \h </w:instrText>
            </w:r>
            <w:r>
              <w:rPr>
                <w:noProof/>
                <w:webHidden/>
              </w:rPr>
            </w:r>
            <w:r>
              <w:rPr>
                <w:noProof/>
                <w:webHidden/>
              </w:rPr>
              <w:fldChar w:fldCharType="separate"/>
            </w:r>
            <w:r>
              <w:rPr>
                <w:noProof/>
                <w:webHidden/>
              </w:rPr>
              <w:t>12</w:t>
            </w:r>
            <w:r>
              <w:rPr>
                <w:noProof/>
                <w:webHidden/>
              </w:rPr>
              <w:fldChar w:fldCharType="end"/>
            </w:r>
          </w:hyperlink>
        </w:p>
        <w:p w14:paraId="45B185BA" w14:textId="5CE3518E" w:rsidR="001F2ED9" w:rsidRDefault="001F2ED9">
          <w:pPr>
            <w:pStyle w:val="TOC2"/>
            <w:tabs>
              <w:tab w:val="left" w:pos="960"/>
              <w:tab w:val="right" w:leader="dot" w:pos="9020"/>
            </w:tabs>
            <w:rPr>
              <w:rFonts w:asciiTheme="minorHAnsi" w:eastAsiaTheme="minorEastAsia" w:hAnsiTheme="minorHAnsi"/>
              <w:noProof/>
              <w:color w:val="auto"/>
              <w:lang w:val="en-IN" w:eastAsia="en-IN"/>
            </w:rPr>
          </w:pPr>
          <w:hyperlink w:anchor="_Toc241252004" w:history="1">
            <w:r w:rsidRPr="00D70D64">
              <w:rPr>
                <w:rStyle w:val="Hyperlink"/>
                <w:rFonts w:cs="Times New Roman"/>
                <w:noProof/>
              </w:rPr>
              <w:t>1.1</w:t>
            </w:r>
            <w:r>
              <w:rPr>
                <w:rFonts w:asciiTheme="minorHAnsi" w:eastAsiaTheme="minorEastAsia" w:hAnsiTheme="minorHAnsi"/>
                <w:noProof/>
                <w:color w:val="auto"/>
                <w:lang w:val="en-IN" w:eastAsia="en-IN"/>
              </w:rPr>
              <w:tab/>
            </w:r>
            <w:r w:rsidRPr="00D70D64">
              <w:rPr>
                <w:rStyle w:val="Hyperlink"/>
                <w:rFonts w:cs="Times New Roman"/>
                <w:noProof/>
              </w:rPr>
              <w:t>Research Background</w:t>
            </w:r>
            <w:r>
              <w:rPr>
                <w:noProof/>
                <w:webHidden/>
              </w:rPr>
              <w:tab/>
            </w:r>
            <w:r>
              <w:rPr>
                <w:noProof/>
                <w:webHidden/>
              </w:rPr>
              <w:fldChar w:fldCharType="begin"/>
            </w:r>
            <w:r>
              <w:rPr>
                <w:noProof/>
                <w:webHidden/>
              </w:rPr>
              <w:instrText xml:space="preserve"> PAGEREF _Toc241252004 \h </w:instrText>
            </w:r>
            <w:r>
              <w:rPr>
                <w:noProof/>
                <w:webHidden/>
              </w:rPr>
            </w:r>
            <w:r>
              <w:rPr>
                <w:noProof/>
                <w:webHidden/>
              </w:rPr>
              <w:fldChar w:fldCharType="separate"/>
            </w:r>
            <w:r>
              <w:rPr>
                <w:noProof/>
                <w:webHidden/>
              </w:rPr>
              <w:t>12</w:t>
            </w:r>
            <w:r>
              <w:rPr>
                <w:noProof/>
                <w:webHidden/>
              </w:rPr>
              <w:fldChar w:fldCharType="end"/>
            </w:r>
          </w:hyperlink>
        </w:p>
        <w:p w14:paraId="46641520" w14:textId="394BCAC7"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05" w:history="1">
            <w:r w:rsidRPr="00D70D64">
              <w:rPr>
                <w:rStyle w:val="Hyperlink"/>
                <w:rFonts w:cs="Times New Roman"/>
                <w:noProof/>
              </w:rPr>
              <w:t>1.2 Research Problem</w:t>
            </w:r>
            <w:r>
              <w:rPr>
                <w:noProof/>
                <w:webHidden/>
              </w:rPr>
              <w:tab/>
            </w:r>
            <w:r>
              <w:rPr>
                <w:noProof/>
                <w:webHidden/>
              </w:rPr>
              <w:fldChar w:fldCharType="begin"/>
            </w:r>
            <w:r>
              <w:rPr>
                <w:noProof/>
                <w:webHidden/>
              </w:rPr>
              <w:instrText xml:space="preserve"> PAGEREF _Toc241252005 \h </w:instrText>
            </w:r>
            <w:r>
              <w:rPr>
                <w:noProof/>
                <w:webHidden/>
              </w:rPr>
            </w:r>
            <w:r>
              <w:rPr>
                <w:noProof/>
                <w:webHidden/>
              </w:rPr>
              <w:fldChar w:fldCharType="separate"/>
            </w:r>
            <w:r>
              <w:rPr>
                <w:noProof/>
                <w:webHidden/>
              </w:rPr>
              <w:t>14</w:t>
            </w:r>
            <w:r>
              <w:rPr>
                <w:noProof/>
                <w:webHidden/>
              </w:rPr>
              <w:fldChar w:fldCharType="end"/>
            </w:r>
          </w:hyperlink>
        </w:p>
        <w:p w14:paraId="088B3D54" w14:textId="7398F8B9"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06" w:history="1">
            <w:r w:rsidRPr="00D70D64">
              <w:rPr>
                <w:rStyle w:val="Hyperlink"/>
                <w:rFonts w:cs="Times New Roman"/>
                <w:noProof/>
              </w:rPr>
              <w:t>1.3 Research Rationale</w:t>
            </w:r>
            <w:r>
              <w:rPr>
                <w:noProof/>
                <w:webHidden/>
              </w:rPr>
              <w:tab/>
            </w:r>
            <w:r>
              <w:rPr>
                <w:noProof/>
                <w:webHidden/>
              </w:rPr>
              <w:fldChar w:fldCharType="begin"/>
            </w:r>
            <w:r>
              <w:rPr>
                <w:noProof/>
                <w:webHidden/>
              </w:rPr>
              <w:instrText xml:space="preserve"> PAGEREF _Toc241252006 \h </w:instrText>
            </w:r>
            <w:r>
              <w:rPr>
                <w:noProof/>
                <w:webHidden/>
              </w:rPr>
            </w:r>
            <w:r>
              <w:rPr>
                <w:noProof/>
                <w:webHidden/>
              </w:rPr>
              <w:fldChar w:fldCharType="separate"/>
            </w:r>
            <w:r>
              <w:rPr>
                <w:noProof/>
                <w:webHidden/>
              </w:rPr>
              <w:t>14</w:t>
            </w:r>
            <w:r>
              <w:rPr>
                <w:noProof/>
                <w:webHidden/>
              </w:rPr>
              <w:fldChar w:fldCharType="end"/>
            </w:r>
          </w:hyperlink>
        </w:p>
        <w:p w14:paraId="60BC64AE" w14:textId="3BB93BB0"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07" w:history="1">
            <w:r w:rsidRPr="00D70D64">
              <w:rPr>
                <w:rStyle w:val="Hyperlink"/>
                <w:rFonts w:cs="Times New Roman"/>
                <w:noProof/>
              </w:rPr>
              <w:t>1.4 Research Aim and Objectives</w:t>
            </w:r>
            <w:r>
              <w:rPr>
                <w:noProof/>
                <w:webHidden/>
              </w:rPr>
              <w:tab/>
            </w:r>
            <w:r>
              <w:rPr>
                <w:noProof/>
                <w:webHidden/>
              </w:rPr>
              <w:fldChar w:fldCharType="begin"/>
            </w:r>
            <w:r>
              <w:rPr>
                <w:noProof/>
                <w:webHidden/>
              </w:rPr>
              <w:instrText xml:space="preserve"> PAGEREF _Toc241252007 \h </w:instrText>
            </w:r>
            <w:r>
              <w:rPr>
                <w:noProof/>
                <w:webHidden/>
              </w:rPr>
            </w:r>
            <w:r>
              <w:rPr>
                <w:noProof/>
                <w:webHidden/>
              </w:rPr>
              <w:fldChar w:fldCharType="separate"/>
            </w:r>
            <w:r>
              <w:rPr>
                <w:noProof/>
                <w:webHidden/>
              </w:rPr>
              <w:t>15</w:t>
            </w:r>
            <w:r>
              <w:rPr>
                <w:noProof/>
                <w:webHidden/>
              </w:rPr>
              <w:fldChar w:fldCharType="end"/>
            </w:r>
          </w:hyperlink>
        </w:p>
        <w:p w14:paraId="366F44A6" w14:textId="7229EB21" w:rsidR="001F2ED9" w:rsidRDefault="001F2ED9">
          <w:pPr>
            <w:pStyle w:val="TOC3"/>
            <w:tabs>
              <w:tab w:val="right" w:leader="dot" w:pos="9020"/>
            </w:tabs>
            <w:rPr>
              <w:rFonts w:asciiTheme="minorHAnsi" w:eastAsiaTheme="minorEastAsia" w:hAnsiTheme="minorHAnsi"/>
              <w:noProof/>
              <w:color w:val="auto"/>
              <w:lang w:val="en-IN" w:eastAsia="en-IN"/>
            </w:rPr>
          </w:pPr>
          <w:hyperlink w:anchor="_Toc241252008" w:history="1">
            <w:r w:rsidRPr="00D70D64">
              <w:rPr>
                <w:rStyle w:val="Hyperlink"/>
                <w:rFonts w:cs="Times New Roman"/>
                <w:noProof/>
              </w:rPr>
              <w:t>1.4.1 Research Aim</w:t>
            </w:r>
            <w:r>
              <w:rPr>
                <w:noProof/>
                <w:webHidden/>
              </w:rPr>
              <w:tab/>
            </w:r>
            <w:r>
              <w:rPr>
                <w:noProof/>
                <w:webHidden/>
              </w:rPr>
              <w:fldChar w:fldCharType="begin"/>
            </w:r>
            <w:r>
              <w:rPr>
                <w:noProof/>
                <w:webHidden/>
              </w:rPr>
              <w:instrText xml:space="preserve"> PAGEREF _Toc241252008 \h </w:instrText>
            </w:r>
            <w:r>
              <w:rPr>
                <w:noProof/>
                <w:webHidden/>
              </w:rPr>
            </w:r>
            <w:r>
              <w:rPr>
                <w:noProof/>
                <w:webHidden/>
              </w:rPr>
              <w:fldChar w:fldCharType="separate"/>
            </w:r>
            <w:r>
              <w:rPr>
                <w:noProof/>
                <w:webHidden/>
              </w:rPr>
              <w:t>15</w:t>
            </w:r>
            <w:r>
              <w:rPr>
                <w:noProof/>
                <w:webHidden/>
              </w:rPr>
              <w:fldChar w:fldCharType="end"/>
            </w:r>
          </w:hyperlink>
        </w:p>
        <w:p w14:paraId="65A95B2F" w14:textId="04387EA0" w:rsidR="001F2ED9" w:rsidRDefault="001F2ED9">
          <w:pPr>
            <w:pStyle w:val="TOC3"/>
            <w:tabs>
              <w:tab w:val="right" w:leader="dot" w:pos="9020"/>
            </w:tabs>
            <w:rPr>
              <w:rFonts w:asciiTheme="minorHAnsi" w:eastAsiaTheme="minorEastAsia" w:hAnsiTheme="minorHAnsi"/>
              <w:noProof/>
              <w:color w:val="auto"/>
              <w:lang w:val="en-IN" w:eastAsia="en-IN"/>
            </w:rPr>
          </w:pPr>
          <w:hyperlink w:anchor="_Toc241252009" w:history="1">
            <w:r w:rsidRPr="00D70D64">
              <w:rPr>
                <w:rStyle w:val="Hyperlink"/>
                <w:rFonts w:cs="Times New Roman"/>
                <w:noProof/>
              </w:rPr>
              <w:t>1.4.2 Research Objectives</w:t>
            </w:r>
            <w:r>
              <w:rPr>
                <w:noProof/>
                <w:webHidden/>
              </w:rPr>
              <w:tab/>
            </w:r>
            <w:r>
              <w:rPr>
                <w:noProof/>
                <w:webHidden/>
              </w:rPr>
              <w:fldChar w:fldCharType="begin"/>
            </w:r>
            <w:r>
              <w:rPr>
                <w:noProof/>
                <w:webHidden/>
              </w:rPr>
              <w:instrText xml:space="preserve"> PAGEREF _Toc241252009 \h </w:instrText>
            </w:r>
            <w:r>
              <w:rPr>
                <w:noProof/>
                <w:webHidden/>
              </w:rPr>
            </w:r>
            <w:r>
              <w:rPr>
                <w:noProof/>
                <w:webHidden/>
              </w:rPr>
              <w:fldChar w:fldCharType="separate"/>
            </w:r>
            <w:r>
              <w:rPr>
                <w:noProof/>
                <w:webHidden/>
              </w:rPr>
              <w:t>15</w:t>
            </w:r>
            <w:r>
              <w:rPr>
                <w:noProof/>
                <w:webHidden/>
              </w:rPr>
              <w:fldChar w:fldCharType="end"/>
            </w:r>
          </w:hyperlink>
        </w:p>
        <w:p w14:paraId="2D1C13D6" w14:textId="6F1E5CC8"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10" w:history="1">
            <w:r w:rsidRPr="00D70D64">
              <w:rPr>
                <w:rStyle w:val="Hyperlink"/>
                <w:rFonts w:cs="Times New Roman"/>
                <w:noProof/>
              </w:rPr>
              <w:t>1.5 Research Question</w:t>
            </w:r>
            <w:r>
              <w:rPr>
                <w:noProof/>
                <w:webHidden/>
              </w:rPr>
              <w:tab/>
            </w:r>
            <w:r>
              <w:rPr>
                <w:noProof/>
                <w:webHidden/>
              </w:rPr>
              <w:fldChar w:fldCharType="begin"/>
            </w:r>
            <w:r>
              <w:rPr>
                <w:noProof/>
                <w:webHidden/>
              </w:rPr>
              <w:instrText xml:space="preserve"> PAGEREF _Toc241252010 \h </w:instrText>
            </w:r>
            <w:r>
              <w:rPr>
                <w:noProof/>
                <w:webHidden/>
              </w:rPr>
            </w:r>
            <w:r>
              <w:rPr>
                <w:noProof/>
                <w:webHidden/>
              </w:rPr>
              <w:fldChar w:fldCharType="separate"/>
            </w:r>
            <w:r>
              <w:rPr>
                <w:noProof/>
                <w:webHidden/>
              </w:rPr>
              <w:t>15</w:t>
            </w:r>
            <w:r>
              <w:rPr>
                <w:noProof/>
                <w:webHidden/>
              </w:rPr>
              <w:fldChar w:fldCharType="end"/>
            </w:r>
          </w:hyperlink>
        </w:p>
        <w:p w14:paraId="2931B297" w14:textId="2400A444"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11" w:history="1">
            <w:r w:rsidRPr="00D70D64">
              <w:rPr>
                <w:rStyle w:val="Hyperlink"/>
                <w:rFonts w:cs="Times New Roman"/>
                <w:noProof/>
              </w:rPr>
              <w:t>1.6 Research Significance</w:t>
            </w:r>
            <w:r>
              <w:rPr>
                <w:noProof/>
                <w:webHidden/>
              </w:rPr>
              <w:tab/>
            </w:r>
            <w:r>
              <w:rPr>
                <w:noProof/>
                <w:webHidden/>
              </w:rPr>
              <w:fldChar w:fldCharType="begin"/>
            </w:r>
            <w:r>
              <w:rPr>
                <w:noProof/>
                <w:webHidden/>
              </w:rPr>
              <w:instrText xml:space="preserve"> PAGEREF _Toc241252011 \h </w:instrText>
            </w:r>
            <w:r>
              <w:rPr>
                <w:noProof/>
                <w:webHidden/>
              </w:rPr>
            </w:r>
            <w:r>
              <w:rPr>
                <w:noProof/>
                <w:webHidden/>
              </w:rPr>
              <w:fldChar w:fldCharType="separate"/>
            </w:r>
            <w:r>
              <w:rPr>
                <w:noProof/>
                <w:webHidden/>
              </w:rPr>
              <w:t>15</w:t>
            </w:r>
            <w:r>
              <w:rPr>
                <w:noProof/>
                <w:webHidden/>
              </w:rPr>
              <w:fldChar w:fldCharType="end"/>
            </w:r>
          </w:hyperlink>
        </w:p>
        <w:p w14:paraId="729D0705" w14:textId="72724723"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12" w:history="1">
            <w:r w:rsidRPr="00D70D64">
              <w:rPr>
                <w:rStyle w:val="Hyperlink"/>
                <w:rFonts w:cs="Times New Roman"/>
                <w:noProof/>
              </w:rPr>
              <w:t>1.7 Research Structure</w:t>
            </w:r>
            <w:r>
              <w:rPr>
                <w:noProof/>
                <w:webHidden/>
              </w:rPr>
              <w:tab/>
            </w:r>
            <w:r>
              <w:rPr>
                <w:noProof/>
                <w:webHidden/>
              </w:rPr>
              <w:fldChar w:fldCharType="begin"/>
            </w:r>
            <w:r>
              <w:rPr>
                <w:noProof/>
                <w:webHidden/>
              </w:rPr>
              <w:instrText xml:space="preserve"> PAGEREF _Toc241252012 \h </w:instrText>
            </w:r>
            <w:r>
              <w:rPr>
                <w:noProof/>
                <w:webHidden/>
              </w:rPr>
            </w:r>
            <w:r>
              <w:rPr>
                <w:noProof/>
                <w:webHidden/>
              </w:rPr>
              <w:fldChar w:fldCharType="separate"/>
            </w:r>
            <w:r>
              <w:rPr>
                <w:noProof/>
                <w:webHidden/>
              </w:rPr>
              <w:t>16</w:t>
            </w:r>
            <w:r>
              <w:rPr>
                <w:noProof/>
                <w:webHidden/>
              </w:rPr>
              <w:fldChar w:fldCharType="end"/>
            </w:r>
          </w:hyperlink>
        </w:p>
        <w:p w14:paraId="0D23458D" w14:textId="59010FED" w:rsidR="001F2ED9" w:rsidRDefault="001F2ED9">
          <w:pPr>
            <w:pStyle w:val="TOC1"/>
            <w:tabs>
              <w:tab w:val="right" w:leader="dot" w:pos="9020"/>
            </w:tabs>
            <w:rPr>
              <w:rFonts w:asciiTheme="minorHAnsi" w:eastAsiaTheme="minorEastAsia" w:hAnsiTheme="minorHAnsi"/>
              <w:noProof/>
              <w:color w:val="auto"/>
              <w:lang w:val="en-IN" w:eastAsia="en-IN"/>
            </w:rPr>
          </w:pPr>
          <w:hyperlink w:anchor="_Toc241252013" w:history="1">
            <w:r w:rsidRPr="00D70D64">
              <w:rPr>
                <w:rStyle w:val="Hyperlink"/>
                <w:rFonts w:cs="Times New Roman"/>
                <w:noProof/>
              </w:rPr>
              <w:t>Chapter 2: Literature Review</w:t>
            </w:r>
            <w:r>
              <w:rPr>
                <w:noProof/>
                <w:webHidden/>
              </w:rPr>
              <w:tab/>
            </w:r>
            <w:r>
              <w:rPr>
                <w:noProof/>
                <w:webHidden/>
              </w:rPr>
              <w:fldChar w:fldCharType="begin"/>
            </w:r>
            <w:r>
              <w:rPr>
                <w:noProof/>
                <w:webHidden/>
              </w:rPr>
              <w:instrText xml:space="preserve"> PAGEREF _Toc241252013 \h </w:instrText>
            </w:r>
            <w:r>
              <w:rPr>
                <w:noProof/>
                <w:webHidden/>
              </w:rPr>
            </w:r>
            <w:r>
              <w:rPr>
                <w:noProof/>
                <w:webHidden/>
              </w:rPr>
              <w:fldChar w:fldCharType="separate"/>
            </w:r>
            <w:r>
              <w:rPr>
                <w:noProof/>
                <w:webHidden/>
              </w:rPr>
              <w:t>17</w:t>
            </w:r>
            <w:r>
              <w:rPr>
                <w:noProof/>
                <w:webHidden/>
              </w:rPr>
              <w:fldChar w:fldCharType="end"/>
            </w:r>
          </w:hyperlink>
        </w:p>
        <w:p w14:paraId="1D2FFA15" w14:textId="08580C3F"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14" w:history="1">
            <w:r w:rsidRPr="00D70D64">
              <w:rPr>
                <w:rStyle w:val="Hyperlink"/>
                <w:rFonts w:cs="Times New Roman"/>
                <w:noProof/>
              </w:rPr>
              <w:t>2.1 Introduction</w:t>
            </w:r>
            <w:r>
              <w:rPr>
                <w:noProof/>
                <w:webHidden/>
              </w:rPr>
              <w:tab/>
            </w:r>
            <w:r>
              <w:rPr>
                <w:noProof/>
                <w:webHidden/>
              </w:rPr>
              <w:fldChar w:fldCharType="begin"/>
            </w:r>
            <w:r>
              <w:rPr>
                <w:noProof/>
                <w:webHidden/>
              </w:rPr>
              <w:instrText xml:space="preserve"> PAGEREF _Toc241252014 \h </w:instrText>
            </w:r>
            <w:r>
              <w:rPr>
                <w:noProof/>
                <w:webHidden/>
              </w:rPr>
            </w:r>
            <w:r>
              <w:rPr>
                <w:noProof/>
                <w:webHidden/>
              </w:rPr>
              <w:fldChar w:fldCharType="separate"/>
            </w:r>
            <w:r>
              <w:rPr>
                <w:noProof/>
                <w:webHidden/>
              </w:rPr>
              <w:t>17</w:t>
            </w:r>
            <w:r>
              <w:rPr>
                <w:noProof/>
                <w:webHidden/>
              </w:rPr>
              <w:fldChar w:fldCharType="end"/>
            </w:r>
          </w:hyperlink>
        </w:p>
        <w:p w14:paraId="5499B286" w14:textId="3D10E63E"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15" w:history="1">
            <w:r w:rsidRPr="00D70D64">
              <w:rPr>
                <w:rStyle w:val="Hyperlink"/>
                <w:rFonts w:cs="Times New Roman"/>
                <w:noProof/>
              </w:rPr>
              <w:t>2.2 Concepts and Theories</w:t>
            </w:r>
            <w:r>
              <w:rPr>
                <w:noProof/>
                <w:webHidden/>
              </w:rPr>
              <w:tab/>
            </w:r>
            <w:r>
              <w:rPr>
                <w:noProof/>
                <w:webHidden/>
              </w:rPr>
              <w:fldChar w:fldCharType="begin"/>
            </w:r>
            <w:r>
              <w:rPr>
                <w:noProof/>
                <w:webHidden/>
              </w:rPr>
              <w:instrText xml:space="preserve"> PAGEREF _Toc241252015 \h </w:instrText>
            </w:r>
            <w:r>
              <w:rPr>
                <w:noProof/>
                <w:webHidden/>
              </w:rPr>
            </w:r>
            <w:r>
              <w:rPr>
                <w:noProof/>
                <w:webHidden/>
              </w:rPr>
              <w:fldChar w:fldCharType="separate"/>
            </w:r>
            <w:r>
              <w:rPr>
                <w:noProof/>
                <w:webHidden/>
              </w:rPr>
              <w:t>17</w:t>
            </w:r>
            <w:r>
              <w:rPr>
                <w:noProof/>
                <w:webHidden/>
              </w:rPr>
              <w:fldChar w:fldCharType="end"/>
            </w:r>
          </w:hyperlink>
        </w:p>
        <w:p w14:paraId="27628FAE" w14:textId="4159CDEA"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16" w:history="1">
            <w:r w:rsidRPr="00D70D64">
              <w:rPr>
                <w:rStyle w:val="Hyperlink"/>
                <w:rFonts w:cs="Times New Roman"/>
                <w:noProof/>
              </w:rPr>
              <w:t>2.3 Supply chain resilience and its relevance to the international expansion of food manufacturing companies</w:t>
            </w:r>
            <w:r>
              <w:rPr>
                <w:noProof/>
                <w:webHidden/>
              </w:rPr>
              <w:tab/>
            </w:r>
            <w:r>
              <w:rPr>
                <w:noProof/>
                <w:webHidden/>
              </w:rPr>
              <w:fldChar w:fldCharType="begin"/>
            </w:r>
            <w:r>
              <w:rPr>
                <w:noProof/>
                <w:webHidden/>
              </w:rPr>
              <w:instrText xml:space="preserve"> PAGEREF _Toc241252016 \h </w:instrText>
            </w:r>
            <w:r>
              <w:rPr>
                <w:noProof/>
                <w:webHidden/>
              </w:rPr>
            </w:r>
            <w:r>
              <w:rPr>
                <w:noProof/>
                <w:webHidden/>
              </w:rPr>
              <w:fldChar w:fldCharType="separate"/>
            </w:r>
            <w:r>
              <w:rPr>
                <w:noProof/>
                <w:webHidden/>
              </w:rPr>
              <w:t>18</w:t>
            </w:r>
            <w:r>
              <w:rPr>
                <w:noProof/>
                <w:webHidden/>
              </w:rPr>
              <w:fldChar w:fldCharType="end"/>
            </w:r>
          </w:hyperlink>
        </w:p>
        <w:p w14:paraId="0B2EC741" w14:textId="27576B91"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17" w:history="1">
            <w:r w:rsidRPr="00D70D64">
              <w:rPr>
                <w:rStyle w:val="Hyperlink"/>
                <w:rFonts w:cs="Times New Roman"/>
                <w:noProof/>
              </w:rPr>
              <w:t>2.4 Key supply chain resilience capabilities supporting food manufacturing companies in managing disruptions during international expansion</w:t>
            </w:r>
            <w:r>
              <w:rPr>
                <w:noProof/>
                <w:webHidden/>
              </w:rPr>
              <w:tab/>
            </w:r>
            <w:r>
              <w:rPr>
                <w:noProof/>
                <w:webHidden/>
              </w:rPr>
              <w:fldChar w:fldCharType="begin"/>
            </w:r>
            <w:r>
              <w:rPr>
                <w:noProof/>
                <w:webHidden/>
              </w:rPr>
              <w:instrText xml:space="preserve"> PAGEREF _Toc241252017 \h </w:instrText>
            </w:r>
            <w:r>
              <w:rPr>
                <w:noProof/>
                <w:webHidden/>
              </w:rPr>
            </w:r>
            <w:r>
              <w:rPr>
                <w:noProof/>
                <w:webHidden/>
              </w:rPr>
              <w:fldChar w:fldCharType="separate"/>
            </w:r>
            <w:r>
              <w:rPr>
                <w:noProof/>
                <w:webHidden/>
              </w:rPr>
              <w:t>19</w:t>
            </w:r>
            <w:r>
              <w:rPr>
                <w:noProof/>
                <w:webHidden/>
              </w:rPr>
              <w:fldChar w:fldCharType="end"/>
            </w:r>
          </w:hyperlink>
        </w:p>
        <w:p w14:paraId="1C9EAF34" w14:textId="57B569E1"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18" w:history="1">
            <w:r w:rsidRPr="00D70D64">
              <w:rPr>
                <w:rStyle w:val="Hyperlink"/>
                <w:rFonts w:cs="Times New Roman"/>
                <w:noProof/>
              </w:rPr>
              <w:t>2.5 Influence of supply chain resilience on international expansion decisions, including market selection, entry decisions and supply chain configuration</w:t>
            </w:r>
            <w:r>
              <w:rPr>
                <w:noProof/>
                <w:webHidden/>
              </w:rPr>
              <w:tab/>
            </w:r>
            <w:r>
              <w:rPr>
                <w:noProof/>
                <w:webHidden/>
              </w:rPr>
              <w:fldChar w:fldCharType="begin"/>
            </w:r>
            <w:r>
              <w:rPr>
                <w:noProof/>
                <w:webHidden/>
              </w:rPr>
              <w:instrText xml:space="preserve"> PAGEREF _Toc241252018 \h </w:instrText>
            </w:r>
            <w:r>
              <w:rPr>
                <w:noProof/>
                <w:webHidden/>
              </w:rPr>
            </w:r>
            <w:r>
              <w:rPr>
                <w:noProof/>
                <w:webHidden/>
              </w:rPr>
              <w:fldChar w:fldCharType="separate"/>
            </w:r>
            <w:r>
              <w:rPr>
                <w:noProof/>
                <w:webHidden/>
              </w:rPr>
              <w:t>20</w:t>
            </w:r>
            <w:r>
              <w:rPr>
                <w:noProof/>
                <w:webHidden/>
              </w:rPr>
              <w:fldChar w:fldCharType="end"/>
            </w:r>
          </w:hyperlink>
        </w:p>
        <w:p w14:paraId="0EB42646" w14:textId="0900AC80"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19" w:history="1">
            <w:r w:rsidRPr="00D70D64">
              <w:rPr>
                <w:rStyle w:val="Hyperlink"/>
                <w:rFonts w:cs="Times New Roman"/>
                <w:noProof/>
              </w:rPr>
              <w:t>2.6 Strategies used by food manufacturing companies to develop supply chain resilience and support sustainable international expansion</w:t>
            </w:r>
            <w:r>
              <w:rPr>
                <w:noProof/>
                <w:webHidden/>
              </w:rPr>
              <w:tab/>
            </w:r>
            <w:r>
              <w:rPr>
                <w:noProof/>
                <w:webHidden/>
              </w:rPr>
              <w:fldChar w:fldCharType="begin"/>
            </w:r>
            <w:r>
              <w:rPr>
                <w:noProof/>
                <w:webHidden/>
              </w:rPr>
              <w:instrText xml:space="preserve"> PAGEREF _Toc241252019 \h </w:instrText>
            </w:r>
            <w:r>
              <w:rPr>
                <w:noProof/>
                <w:webHidden/>
              </w:rPr>
            </w:r>
            <w:r>
              <w:rPr>
                <w:noProof/>
                <w:webHidden/>
              </w:rPr>
              <w:fldChar w:fldCharType="separate"/>
            </w:r>
            <w:r>
              <w:rPr>
                <w:noProof/>
                <w:webHidden/>
              </w:rPr>
              <w:t>22</w:t>
            </w:r>
            <w:r>
              <w:rPr>
                <w:noProof/>
                <w:webHidden/>
              </w:rPr>
              <w:fldChar w:fldCharType="end"/>
            </w:r>
          </w:hyperlink>
        </w:p>
        <w:p w14:paraId="302D10BD" w14:textId="1534770E"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20" w:history="1">
            <w:r w:rsidRPr="00D70D64">
              <w:rPr>
                <w:rStyle w:val="Hyperlink"/>
                <w:rFonts w:cs="Times New Roman"/>
                <w:noProof/>
              </w:rPr>
              <w:t>2.7 Challenges and Trade-offs in Developing Supply Chain Resilience</w:t>
            </w:r>
            <w:r>
              <w:rPr>
                <w:noProof/>
                <w:webHidden/>
              </w:rPr>
              <w:tab/>
            </w:r>
            <w:r>
              <w:rPr>
                <w:noProof/>
                <w:webHidden/>
              </w:rPr>
              <w:fldChar w:fldCharType="begin"/>
            </w:r>
            <w:r>
              <w:rPr>
                <w:noProof/>
                <w:webHidden/>
              </w:rPr>
              <w:instrText xml:space="preserve"> PAGEREF _Toc241252020 \h </w:instrText>
            </w:r>
            <w:r>
              <w:rPr>
                <w:noProof/>
                <w:webHidden/>
              </w:rPr>
            </w:r>
            <w:r>
              <w:rPr>
                <w:noProof/>
                <w:webHidden/>
              </w:rPr>
              <w:fldChar w:fldCharType="separate"/>
            </w:r>
            <w:r>
              <w:rPr>
                <w:noProof/>
                <w:webHidden/>
              </w:rPr>
              <w:t>23</w:t>
            </w:r>
            <w:r>
              <w:rPr>
                <w:noProof/>
                <w:webHidden/>
              </w:rPr>
              <w:fldChar w:fldCharType="end"/>
            </w:r>
          </w:hyperlink>
        </w:p>
        <w:p w14:paraId="4BE7FD2C" w14:textId="5057C8A2"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21" w:history="1">
            <w:r w:rsidRPr="00D70D64">
              <w:rPr>
                <w:rStyle w:val="Hyperlink"/>
                <w:rFonts w:cs="Times New Roman"/>
                <w:noProof/>
              </w:rPr>
              <w:t>2.8 Strengthening Supply Chain Resilience to Support International Expansion</w:t>
            </w:r>
            <w:r>
              <w:rPr>
                <w:noProof/>
                <w:webHidden/>
              </w:rPr>
              <w:tab/>
            </w:r>
            <w:r>
              <w:rPr>
                <w:noProof/>
                <w:webHidden/>
              </w:rPr>
              <w:fldChar w:fldCharType="begin"/>
            </w:r>
            <w:r>
              <w:rPr>
                <w:noProof/>
                <w:webHidden/>
              </w:rPr>
              <w:instrText xml:space="preserve"> PAGEREF _Toc241252021 \h </w:instrText>
            </w:r>
            <w:r>
              <w:rPr>
                <w:noProof/>
                <w:webHidden/>
              </w:rPr>
            </w:r>
            <w:r>
              <w:rPr>
                <w:noProof/>
                <w:webHidden/>
              </w:rPr>
              <w:fldChar w:fldCharType="separate"/>
            </w:r>
            <w:r>
              <w:rPr>
                <w:noProof/>
                <w:webHidden/>
              </w:rPr>
              <w:t>25</w:t>
            </w:r>
            <w:r>
              <w:rPr>
                <w:noProof/>
                <w:webHidden/>
              </w:rPr>
              <w:fldChar w:fldCharType="end"/>
            </w:r>
          </w:hyperlink>
        </w:p>
        <w:p w14:paraId="1DE86B03" w14:textId="18AFA0AE"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22" w:history="1">
            <w:r w:rsidRPr="00D70D64">
              <w:rPr>
                <w:rStyle w:val="Hyperlink"/>
                <w:rFonts w:cs="Times New Roman"/>
                <w:noProof/>
              </w:rPr>
              <w:t>2.9 Theoretical Framework</w:t>
            </w:r>
            <w:r>
              <w:rPr>
                <w:noProof/>
                <w:webHidden/>
              </w:rPr>
              <w:tab/>
            </w:r>
            <w:r>
              <w:rPr>
                <w:noProof/>
                <w:webHidden/>
              </w:rPr>
              <w:fldChar w:fldCharType="begin"/>
            </w:r>
            <w:r>
              <w:rPr>
                <w:noProof/>
                <w:webHidden/>
              </w:rPr>
              <w:instrText xml:space="preserve"> PAGEREF _Toc241252022 \h </w:instrText>
            </w:r>
            <w:r>
              <w:rPr>
                <w:noProof/>
                <w:webHidden/>
              </w:rPr>
            </w:r>
            <w:r>
              <w:rPr>
                <w:noProof/>
                <w:webHidden/>
              </w:rPr>
              <w:fldChar w:fldCharType="separate"/>
            </w:r>
            <w:r>
              <w:rPr>
                <w:noProof/>
                <w:webHidden/>
              </w:rPr>
              <w:t>27</w:t>
            </w:r>
            <w:r>
              <w:rPr>
                <w:noProof/>
                <w:webHidden/>
              </w:rPr>
              <w:fldChar w:fldCharType="end"/>
            </w:r>
          </w:hyperlink>
        </w:p>
        <w:p w14:paraId="785E0663" w14:textId="249A4021"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23" w:history="1">
            <w:r w:rsidRPr="00D70D64">
              <w:rPr>
                <w:rStyle w:val="Hyperlink"/>
                <w:rFonts w:cs="Times New Roman"/>
                <w:noProof/>
              </w:rPr>
              <w:t>2.10 Conceptual Framework</w:t>
            </w:r>
            <w:r>
              <w:rPr>
                <w:noProof/>
                <w:webHidden/>
              </w:rPr>
              <w:tab/>
            </w:r>
            <w:r>
              <w:rPr>
                <w:noProof/>
                <w:webHidden/>
              </w:rPr>
              <w:fldChar w:fldCharType="begin"/>
            </w:r>
            <w:r>
              <w:rPr>
                <w:noProof/>
                <w:webHidden/>
              </w:rPr>
              <w:instrText xml:space="preserve"> PAGEREF _Toc241252023 \h </w:instrText>
            </w:r>
            <w:r>
              <w:rPr>
                <w:noProof/>
                <w:webHidden/>
              </w:rPr>
            </w:r>
            <w:r>
              <w:rPr>
                <w:noProof/>
                <w:webHidden/>
              </w:rPr>
              <w:fldChar w:fldCharType="separate"/>
            </w:r>
            <w:r>
              <w:rPr>
                <w:noProof/>
                <w:webHidden/>
              </w:rPr>
              <w:t>28</w:t>
            </w:r>
            <w:r>
              <w:rPr>
                <w:noProof/>
                <w:webHidden/>
              </w:rPr>
              <w:fldChar w:fldCharType="end"/>
            </w:r>
          </w:hyperlink>
        </w:p>
        <w:p w14:paraId="4A27FBED" w14:textId="6FC8FC39"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24" w:history="1">
            <w:r w:rsidRPr="00D70D64">
              <w:rPr>
                <w:rStyle w:val="Hyperlink"/>
                <w:rFonts w:cs="Times New Roman"/>
                <w:noProof/>
              </w:rPr>
              <w:t>2.11 Research Gap</w:t>
            </w:r>
            <w:r>
              <w:rPr>
                <w:noProof/>
                <w:webHidden/>
              </w:rPr>
              <w:tab/>
            </w:r>
            <w:r>
              <w:rPr>
                <w:noProof/>
                <w:webHidden/>
              </w:rPr>
              <w:fldChar w:fldCharType="begin"/>
            </w:r>
            <w:r>
              <w:rPr>
                <w:noProof/>
                <w:webHidden/>
              </w:rPr>
              <w:instrText xml:space="preserve"> PAGEREF _Toc241252024 \h </w:instrText>
            </w:r>
            <w:r>
              <w:rPr>
                <w:noProof/>
                <w:webHidden/>
              </w:rPr>
            </w:r>
            <w:r>
              <w:rPr>
                <w:noProof/>
                <w:webHidden/>
              </w:rPr>
              <w:fldChar w:fldCharType="separate"/>
            </w:r>
            <w:r>
              <w:rPr>
                <w:noProof/>
                <w:webHidden/>
              </w:rPr>
              <w:t>29</w:t>
            </w:r>
            <w:r>
              <w:rPr>
                <w:noProof/>
                <w:webHidden/>
              </w:rPr>
              <w:fldChar w:fldCharType="end"/>
            </w:r>
          </w:hyperlink>
        </w:p>
        <w:p w14:paraId="7AF88597" w14:textId="4F58BA64"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25" w:history="1">
            <w:r w:rsidRPr="00D70D64">
              <w:rPr>
                <w:rStyle w:val="Hyperlink"/>
                <w:rFonts w:cs="Times New Roman"/>
                <w:noProof/>
              </w:rPr>
              <w:t>2.12 Summary</w:t>
            </w:r>
            <w:r>
              <w:rPr>
                <w:noProof/>
                <w:webHidden/>
              </w:rPr>
              <w:tab/>
            </w:r>
            <w:r>
              <w:rPr>
                <w:noProof/>
                <w:webHidden/>
              </w:rPr>
              <w:fldChar w:fldCharType="begin"/>
            </w:r>
            <w:r>
              <w:rPr>
                <w:noProof/>
                <w:webHidden/>
              </w:rPr>
              <w:instrText xml:space="preserve"> PAGEREF _Toc241252025 \h </w:instrText>
            </w:r>
            <w:r>
              <w:rPr>
                <w:noProof/>
                <w:webHidden/>
              </w:rPr>
            </w:r>
            <w:r>
              <w:rPr>
                <w:noProof/>
                <w:webHidden/>
              </w:rPr>
              <w:fldChar w:fldCharType="separate"/>
            </w:r>
            <w:r>
              <w:rPr>
                <w:noProof/>
                <w:webHidden/>
              </w:rPr>
              <w:t>29</w:t>
            </w:r>
            <w:r>
              <w:rPr>
                <w:noProof/>
                <w:webHidden/>
              </w:rPr>
              <w:fldChar w:fldCharType="end"/>
            </w:r>
          </w:hyperlink>
        </w:p>
        <w:p w14:paraId="2B29F189" w14:textId="2AEA200B" w:rsidR="001F2ED9" w:rsidRDefault="001F2ED9">
          <w:pPr>
            <w:pStyle w:val="TOC1"/>
            <w:tabs>
              <w:tab w:val="right" w:leader="dot" w:pos="9020"/>
            </w:tabs>
            <w:rPr>
              <w:rFonts w:asciiTheme="minorHAnsi" w:eastAsiaTheme="minorEastAsia" w:hAnsiTheme="minorHAnsi"/>
              <w:noProof/>
              <w:color w:val="auto"/>
              <w:lang w:val="en-IN" w:eastAsia="en-IN"/>
            </w:rPr>
          </w:pPr>
          <w:hyperlink w:anchor="_Toc241252026" w:history="1">
            <w:r w:rsidRPr="00D70D64">
              <w:rPr>
                <w:rStyle w:val="Hyperlink"/>
                <w:rFonts w:cs="Times New Roman"/>
                <w:noProof/>
              </w:rPr>
              <w:t>Chapter 3: Research Methodology</w:t>
            </w:r>
            <w:r>
              <w:rPr>
                <w:noProof/>
                <w:webHidden/>
              </w:rPr>
              <w:tab/>
            </w:r>
            <w:r>
              <w:rPr>
                <w:noProof/>
                <w:webHidden/>
              </w:rPr>
              <w:fldChar w:fldCharType="begin"/>
            </w:r>
            <w:r>
              <w:rPr>
                <w:noProof/>
                <w:webHidden/>
              </w:rPr>
              <w:instrText xml:space="preserve"> PAGEREF _Toc241252026 \h </w:instrText>
            </w:r>
            <w:r>
              <w:rPr>
                <w:noProof/>
                <w:webHidden/>
              </w:rPr>
            </w:r>
            <w:r>
              <w:rPr>
                <w:noProof/>
                <w:webHidden/>
              </w:rPr>
              <w:fldChar w:fldCharType="separate"/>
            </w:r>
            <w:r>
              <w:rPr>
                <w:noProof/>
                <w:webHidden/>
              </w:rPr>
              <w:t>30</w:t>
            </w:r>
            <w:r>
              <w:rPr>
                <w:noProof/>
                <w:webHidden/>
              </w:rPr>
              <w:fldChar w:fldCharType="end"/>
            </w:r>
          </w:hyperlink>
        </w:p>
        <w:p w14:paraId="0323DC08" w14:textId="7FB01E14"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27" w:history="1">
            <w:r w:rsidRPr="00D70D64">
              <w:rPr>
                <w:rStyle w:val="Hyperlink"/>
                <w:rFonts w:cs="Times New Roman"/>
                <w:noProof/>
              </w:rPr>
              <w:t>3.1 Introduction</w:t>
            </w:r>
            <w:r>
              <w:rPr>
                <w:noProof/>
                <w:webHidden/>
              </w:rPr>
              <w:tab/>
            </w:r>
            <w:r>
              <w:rPr>
                <w:noProof/>
                <w:webHidden/>
              </w:rPr>
              <w:fldChar w:fldCharType="begin"/>
            </w:r>
            <w:r>
              <w:rPr>
                <w:noProof/>
                <w:webHidden/>
              </w:rPr>
              <w:instrText xml:space="preserve"> PAGEREF _Toc241252027 \h </w:instrText>
            </w:r>
            <w:r>
              <w:rPr>
                <w:noProof/>
                <w:webHidden/>
              </w:rPr>
            </w:r>
            <w:r>
              <w:rPr>
                <w:noProof/>
                <w:webHidden/>
              </w:rPr>
              <w:fldChar w:fldCharType="separate"/>
            </w:r>
            <w:r>
              <w:rPr>
                <w:noProof/>
                <w:webHidden/>
              </w:rPr>
              <w:t>30</w:t>
            </w:r>
            <w:r>
              <w:rPr>
                <w:noProof/>
                <w:webHidden/>
              </w:rPr>
              <w:fldChar w:fldCharType="end"/>
            </w:r>
          </w:hyperlink>
        </w:p>
        <w:p w14:paraId="11BCC86B" w14:textId="7730959E"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28" w:history="1">
            <w:r w:rsidRPr="00D70D64">
              <w:rPr>
                <w:rStyle w:val="Hyperlink"/>
                <w:rFonts w:cs="Times New Roman"/>
                <w:noProof/>
              </w:rPr>
              <w:t>3.2 Research Philosophy</w:t>
            </w:r>
            <w:r>
              <w:rPr>
                <w:noProof/>
                <w:webHidden/>
              </w:rPr>
              <w:tab/>
            </w:r>
            <w:r>
              <w:rPr>
                <w:noProof/>
                <w:webHidden/>
              </w:rPr>
              <w:fldChar w:fldCharType="begin"/>
            </w:r>
            <w:r>
              <w:rPr>
                <w:noProof/>
                <w:webHidden/>
              </w:rPr>
              <w:instrText xml:space="preserve"> PAGEREF _Toc241252028 \h </w:instrText>
            </w:r>
            <w:r>
              <w:rPr>
                <w:noProof/>
                <w:webHidden/>
              </w:rPr>
            </w:r>
            <w:r>
              <w:rPr>
                <w:noProof/>
                <w:webHidden/>
              </w:rPr>
              <w:fldChar w:fldCharType="separate"/>
            </w:r>
            <w:r>
              <w:rPr>
                <w:noProof/>
                <w:webHidden/>
              </w:rPr>
              <w:t>30</w:t>
            </w:r>
            <w:r>
              <w:rPr>
                <w:noProof/>
                <w:webHidden/>
              </w:rPr>
              <w:fldChar w:fldCharType="end"/>
            </w:r>
          </w:hyperlink>
        </w:p>
        <w:p w14:paraId="12617C7B" w14:textId="04737C7E"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29" w:history="1">
            <w:r w:rsidRPr="00D70D64">
              <w:rPr>
                <w:rStyle w:val="Hyperlink"/>
                <w:rFonts w:cs="Times New Roman"/>
                <w:noProof/>
              </w:rPr>
              <w:t>3.3 Research Approach</w:t>
            </w:r>
            <w:r>
              <w:rPr>
                <w:noProof/>
                <w:webHidden/>
              </w:rPr>
              <w:tab/>
            </w:r>
            <w:r>
              <w:rPr>
                <w:noProof/>
                <w:webHidden/>
              </w:rPr>
              <w:fldChar w:fldCharType="begin"/>
            </w:r>
            <w:r>
              <w:rPr>
                <w:noProof/>
                <w:webHidden/>
              </w:rPr>
              <w:instrText xml:space="preserve"> PAGEREF _Toc241252029 \h </w:instrText>
            </w:r>
            <w:r>
              <w:rPr>
                <w:noProof/>
                <w:webHidden/>
              </w:rPr>
            </w:r>
            <w:r>
              <w:rPr>
                <w:noProof/>
                <w:webHidden/>
              </w:rPr>
              <w:fldChar w:fldCharType="separate"/>
            </w:r>
            <w:r>
              <w:rPr>
                <w:noProof/>
                <w:webHidden/>
              </w:rPr>
              <w:t>31</w:t>
            </w:r>
            <w:r>
              <w:rPr>
                <w:noProof/>
                <w:webHidden/>
              </w:rPr>
              <w:fldChar w:fldCharType="end"/>
            </w:r>
          </w:hyperlink>
        </w:p>
        <w:p w14:paraId="40F1295D" w14:textId="68312516"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30" w:history="1">
            <w:r w:rsidRPr="00D70D64">
              <w:rPr>
                <w:rStyle w:val="Hyperlink"/>
                <w:rFonts w:cs="Times New Roman"/>
                <w:noProof/>
              </w:rPr>
              <w:t>3.4 Research Design and Strategy</w:t>
            </w:r>
            <w:r>
              <w:rPr>
                <w:noProof/>
                <w:webHidden/>
              </w:rPr>
              <w:tab/>
            </w:r>
            <w:r>
              <w:rPr>
                <w:noProof/>
                <w:webHidden/>
              </w:rPr>
              <w:fldChar w:fldCharType="begin"/>
            </w:r>
            <w:r>
              <w:rPr>
                <w:noProof/>
                <w:webHidden/>
              </w:rPr>
              <w:instrText xml:space="preserve"> PAGEREF _Toc241252030 \h </w:instrText>
            </w:r>
            <w:r>
              <w:rPr>
                <w:noProof/>
                <w:webHidden/>
              </w:rPr>
            </w:r>
            <w:r>
              <w:rPr>
                <w:noProof/>
                <w:webHidden/>
              </w:rPr>
              <w:fldChar w:fldCharType="separate"/>
            </w:r>
            <w:r>
              <w:rPr>
                <w:noProof/>
                <w:webHidden/>
              </w:rPr>
              <w:t>31</w:t>
            </w:r>
            <w:r>
              <w:rPr>
                <w:noProof/>
                <w:webHidden/>
              </w:rPr>
              <w:fldChar w:fldCharType="end"/>
            </w:r>
          </w:hyperlink>
        </w:p>
        <w:p w14:paraId="7ECCB4D7" w14:textId="0C79E0FD"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31" w:history="1">
            <w:r w:rsidRPr="00D70D64">
              <w:rPr>
                <w:rStyle w:val="Hyperlink"/>
                <w:rFonts w:cs="Times New Roman"/>
                <w:noProof/>
              </w:rPr>
              <w:t>3.5 Secondary Data Collection</w:t>
            </w:r>
            <w:r>
              <w:rPr>
                <w:noProof/>
                <w:webHidden/>
              </w:rPr>
              <w:tab/>
            </w:r>
            <w:r>
              <w:rPr>
                <w:noProof/>
                <w:webHidden/>
              </w:rPr>
              <w:fldChar w:fldCharType="begin"/>
            </w:r>
            <w:r>
              <w:rPr>
                <w:noProof/>
                <w:webHidden/>
              </w:rPr>
              <w:instrText xml:space="preserve"> PAGEREF _Toc241252031 \h </w:instrText>
            </w:r>
            <w:r>
              <w:rPr>
                <w:noProof/>
                <w:webHidden/>
              </w:rPr>
            </w:r>
            <w:r>
              <w:rPr>
                <w:noProof/>
                <w:webHidden/>
              </w:rPr>
              <w:fldChar w:fldCharType="separate"/>
            </w:r>
            <w:r>
              <w:rPr>
                <w:noProof/>
                <w:webHidden/>
              </w:rPr>
              <w:t>32</w:t>
            </w:r>
            <w:r>
              <w:rPr>
                <w:noProof/>
                <w:webHidden/>
              </w:rPr>
              <w:fldChar w:fldCharType="end"/>
            </w:r>
          </w:hyperlink>
        </w:p>
        <w:p w14:paraId="0E429711" w14:textId="647640CD"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32" w:history="1">
            <w:r w:rsidRPr="00D70D64">
              <w:rPr>
                <w:rStyle w:val="Hyperlink"/>
                <w:rFonts w:cs="Times New Roman"/>
                <w:noProof/>
                <w:highlight w:val="yellow"/>
              </w:rPr>
              <w:t>3.6 Selection of Secondary Sources</w:t>
            </w:r>
            <w:r>
              <w:rPr>
                <w:noProof/>
                <w:webHidden/>
              </w:rPr>
              <w:tab/>
            </w:r>
            <w:r>
              <w:rPr>
                <w:noProof/>
                <w:webHidden/>
              </w:rPr>
              <w:fldChar w:fldCharType="begin"/>
            </w:r>
            <w:r>
              <w:rPr>
                <w:noProof/>
                <w:webHidden/>
              </w:rPr>
              <w:instrText xml:space="preserve"> PAGEREF _Toc241252032 \h </w:instrText>
            </w:r>
            <w:r>
              <w:rPr>
                <w:noProof/>
                <w:webHidden/>
              </w:rPr>
            </w:r>
            <w:r>
              <w:rPr>
                <w:noProof/>
                <w:webHidden/>
              </w:rPr>
              <w:fldChar w:fldCharType="separate"/>
            </w:r>
            <w:r>
              <w:rPr>
                <w:noProof/>
                <w:webHidden/>
              </w:rPr>
              <w:t>33</w:t>
            </w:r>
            <w:r>
              <w:rPr>
                <w:noProof/>
                <w:webHidden/>
              </w:rPr>
              <w:fldChar w:fldCharType="end"/>
            </w:r>
          </w:hyperlink>
        </w:p>
        <w:p w14:paraId="2BAA1D80" w14:textId="62155D30"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33" w:history="1">
            <w:r w:rsidRPr="00D70D64">
              <w:rPr>
                <w:rStyle w:val="Hyperlink"/>
                <w:rFonts w:cs="Times New Roman"/>
                <w:noProof/>
              </w:rPr>
              <w:t>3.7 Data Analysis</w:t>
            </w:r>
            <w:r>
              <w:rPr>
                <w:noProof/>
                <w:webHidden/>
              </w:rPr>
              <w:tab/>
            </w:r>
            <w:r>
              <w:rPr>
                <w:noProof/>
                <w:webHidden/>
              </w:rPr>
              <w:fldChar w:fldCharType="begin"/>
            </w:r>
            <w:r>
              <w:rPr>
                <w:noProof/>
                <w:webHidden/>
              </w:rPr>
              <w:instrText xml:space="preserve"> PAGEREF _Toc241252033 \h </w:instrText>
            </w:r>
            <w:r>
              <w:rPr>
                <w:noProof/>
                <w:webHidden/>
              </w:rPr>
            </w:r>
            <w:r>
              <w:rPr>
                <w:noProof/>
                <w:webHidden/>
              </w:rPr>
              <w:fldChar w:fldCharType="separate"/>
            </w:r>
            <w:r>
              <w:rPr>
                <w:noProof/>
                <w:webHidden/>
              </w:rPr>
              <w:t>35</w:t>
            </w:r>
            <w:r>
              <w:rPr>
                <w:noProof/>
                <w:webHidden/>
              </w:rPr>
              <w:fldChar w:fldCharType="end"/>
            </w:r>
          </w:hyperlink>
        </w:p>
        <w:p w14:paraId="383A856D" w14:textId="170E925B"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34" w:history="1">
            <w:r w:rsidRPr="00D70D64">
              <w:rPr>
                <w:rStyle w:val="Hyperlink"/>
                <w:rFonts w:cs="Times New Roman"/>
                <w:noProof/>
              </w:rPr>
              <w:t>3.8 Quality and Trustworthiness of the Research</w:t>
            </w:r>
            <w:r>
              <w:rPr>
                <w:noProof/>
                <w:webHidden/>
              </w:rPr>
              <w:tab/>
            </w:r>
            <w:r>
              <w:rPr>
                <w:noProof/>
                <w:webHidden/>
              </w:rPr>
              <w:fldChar w:fldCharType="begin"/>
            </w:r>
            <w:r>
              <w:rPr>
                <w:noProof/>
                <w:webHidden/>
              </w:rPr>
              <w:instrText xml:space="preserve"> PAGEREF _Toc241252034 \h </w:instrText>
            </w:r>
            <w:r>
              <w:rPr>
                <w:noProof/>
                <w:webHidden/>
              </w:rPr>
            </w:r>
            <w:r>
              <w:rPr>
                <w:noProof/>
                <w:webHidden/>
              </w:rPr>
              <w:fldChar w:fldCharType="separate"/>
            </w:r>
            <w:r>
              <w:rPr>
                <w:noProof/>
                <w:webHidden/>
              </w:rPr>
              <w:t>36</w:t>
            </w:r>
            <w:r>
              <w:rPr>
                <w:noProof/>
                <w:webHidden/>
              </w:rPr>
              <w:fldChar w:fldCharType="end"/>
            </w:r>
          </w:hyperlink>
        </w:p>
        <w:p w14:paraId="381D7CD7" w14:textId="27271424"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35" w:history="1">
            <w:r w:rsidRPr="00D70D64">
              <w:rPr>
                <w:rStyle w:val="Hyperlink"/>
                <w:rFonts w:cs="Times New Roman"/>
                <w:noProof/>
              </w:rPr>
              <w:t>3.9 Ethical Considerations</w:t>
            </w:r>
            <w:r>
              <w:rPr>
                <w:noProof/>
                <w:webHidden/>
              </w:rPr>
              <w:tab/>
            </w:r>
            <w:r>
              <w:rPr>
                <w:noProof/>
                <w:webHidden/>
              </w:rPr>
              <w:fldChar w:fldCharType="begin"/>
            </w:r>
            <w:r>
              <w:rPr>
                <w:noProof/>
                <w:webHidden/>
              </w:rPr>
              <w:instrText xml:space="preserve"> PAGEREF _Toc241252035 \h </w:instrText>
            </w:r>
            <w:r>
              <w:rPr>
                <w:noProof/>
                <w:webHidden/>
              </w:rPr>
            </w:r>
            <w:r>
              <w:rPr>
                <w:noProof/>
                <w:webHidden/>
              </w:rPr>
              <w:fldChar w:fldCharType="separate"/>
            </w:r>
            <w:r>
              <w:rPr>
                <w:noProof/>
                <w:webHidden/>
              </w:rPr>
              <w:t>36</w:t>
            </w:r>
            <w:r>
              <w:rPr>
                <w:noProof/>
                <w:webHidden/>
              </w:rPr>
              <w:fldChar w:fldCharType="end"/>
            </w:r>
          </w:hyperlink>
        </w:p>
        <w:p w14:paraId="5E4B2091" w14:textId="2712FE97"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36" w:history="1">
            <w:r w:rsidRPr="00D70D64">
              <w:rPr>
                <w:rStyle w:val="Hyperlink"/>
                <w:rFonts w:cs="Times New Roman"/>
                <w:noProof/>
              </w:rPr>
              <w:t>3.10 Methodological Limitations</w:t>
            </w:r>
            <w:r>
              <w:rPr>
                <w:noProof/>
                <w:webHidden/>
              </w:rPr>
              <w:tab/>
            </w:r>
            <w:r>
              <w:rPr>
                <w:noProof/>
                <w:webHidden/>
              </w:rPr>
              <w:fldChar w:fldCharType="begin"/>
            </w:r>
            <w:r>
              <w:rPr>
                <w:noProof/>
                <w:webHidden/>
              </w:rPr>
              <w:instrText xml:space="preserve"> PAGEREF _Toc241252036 \h </w:instrText>
            </w:r>
            <w:r>
              <w:rPr>
                <w:noProof/>
                <w:webHidden/>
              </w:rPr>
            </w:r>
            <w:r>
              <w:rPr>
                <w:noProof/>
                <w:webHidden/>
              </w:rPr>
              <w:fldChar w:fldCharType="separate"/>
            </w:r>
            <w:r>
              <w:rPr>
                <w:noProof/>
                <w:webHidden/>
              </w:rPr>
              <w:t>37</w:t>
            </w:r>
            <w:r>
              <w:rPr>
                <w:noProof/>
                <w:webHidden/>
              </w:rPr>
              <w:fldChar w:fldCharType="end"/>
            </w:r>
          </w:hyperlink>
        </w:p>
        <w:p w14:paraId="032D3A10" w14:textId="6FD5A700" w:rsidR="001F2ED9" w:rsidRDefault="001F2ED9">
          <w:pPr>
            <w:pStyle w:val="TOC1"/>
            <w:tabs>
              <w:tab w:val="right" w:leader="dot" w:pos="9020"/>
            </w:tabs>
            <w:rPr>
              <w:rFonts w:asciiTheme="minorHAnsi" w:eastAsiaTheme="minorEastAsia" w:hAnsiTheme="minorHAnsi"/>
              <w:noProof/>
              <w:color w:val="auto"/>
              <w:lang w:val="en-IN" w:eastAsia="en-IN"/>
            </w:rPr>
          </w:pPr>
          <w:hyperlink w:anchor="_Toc241252037" w:history="1">
            <w:r w:rsidRPr="00D70D64">
              <w:rPr>
                <w:rStyle w:val="Hyperlink"/>
                <w:rFonts w:cs="Times New Roman"/>
                <w:noProof/>
              </w:rPr>
              <w:t>Chapter 4: Data Analysis</w:t>
            </w:r>
            <w:r>
              <w:rPr>
                <w:noProof/>
                <w:webHidden/>
              </w:rPr>
              <w:tab/>
            </w:r>
            <w:r>
              <w:rPr>
                <w:noProof/>
                <w:webHidden/>
              </w:rPr>
              <w:fldChar w:fldCharType="begin"/>
            </w:r>
            <w:r>
              <w:rPr>
                <w:noProof/>
                <w:webHidden/>
              </w:rPr>
              <w:instrText xml:space="preserve"> PAGEREF _Toc241252037 \h </w:instrText>
            </w:r>
            <w:r>
              <w:rPr>
                <w:noProof/>
                <w:webHidden/>
              </w:rPr>
            </w:r>
            <w:r>
              <w:rPr>
                <w:noProof/>
                <w:webHidden/>
              </w:rPr>
              <w:fldChar w:fldCharType="separate"/>
            </w:r>
            <w:r>
              <w:rPr>
                <w:noProof/>
                <w:webHidden/>
              </w:rPr>
              <w:t>38</w:t>
            </w:r>
            <w:r>
              <w:rPr>
                <w:noProof/>
                <w:webHidden/>
              </w:rPr>
              <w:fldChar w:fldCharType="end"/>
            </w:r>
          </w:hyperlink>
        </w:p>
        <w:p w14:paraId="7919340D" w14:textId="7C2A11A3"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38" w:history="1">
            <w:r w:rsidRPr="00D70D64">
              <w:rPr>
                <w:rStyle w:val="Hyperlink"/>
                <w:rFonts w:cs="Times New Roman"/>
                <w:noProof/>
              </w:rPr>
              <w:t>4.1 Introduction</w:t>
            </w:r>
            <w:r>
              <w:rPr>
                <w:noProof/>
                <w:webHidden/>
              </w:rPr>
              <w:tab/>
            </w:r>
            <w:r>
              <w:rPr>
                <w:noProof/>
                <w:webHidden/>
              </w:rPr>
              <w:fldChar w:fldCharType="begin"/>
            </w:r>
            <w:r>
              <w:rPr>
                <w:noProof/>
                <w:webHidden/>
              </w:rPr>
              <w:instrText xml:space="preserve"> PAGEREF _Toc241252038 \h </w:instrText>
            </w:r>
            <w:r>
              <w:rPr>
                <w:noProof/>
                <w:webHidden/>
              </w:rPr>
            </w:r>
            <w:r>
              <w:rPr>
                <w:noProof/>
                <w:webHidden/>
              </w:rPr>
              <w:fldChar w:fldCharType="separate"/>
            </w:r>
            <w:r>
              <w:rPr>
                <w:noProof/>
                <w:webHidden/>
              </w:rPr>
              <w:t>38</w:t>
            </w:r>
            <w:r>
              <w:rPr>
                <w:noProof/>
                <w:webHidden/>
              </w:rPr>
              <w:fldChar w:fldCharType="end"/>
            </w:r>
          </w:hyperlink>
        </w:p>
        <w:p w14:paraId="56EED86D" w14:textId="415242CA"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39" w:history="1">
            <w:r w:rsidRPr="00D70D64">
              <w:rPr>
                <w:rStyle w:val="Hyperlink"/>
                <w:rFonts w:cs="Times New Roman"/>
                <w:noProof/>
              </w:rPr>
              <w:t>4.2 Data Extraction Table</w:t>
            </w:r>
            <w:r>
              <w:rPr>
                <w:noProof/>
                <w:webHidden/>
              </w:rPr>
              <w:tab/>
            </w:r>
            <w:r>
              <w:rPr>
                <w:noProof/>
                <w:webHidden/>
              </w:rPr>
              <w:fldChar w:fldCharType="begin"/>
            </w:r>
            <w:r>
              <w:rPr>
                <w:noProof/>
                <w:webHidden/>
              </w:rPr>
              <w:instrText xml:space="preserve"> PAGEREF _Toc241252039 \h </w:instrText>
            </w:r>
            <w:r>
              <w:rPr>
                <w:noProof/>
                <w:webHidden/>
              </w:rPr>
            </w:r>
            <w:r>
              <w:rPr>
                <w:noProof/>
                <w:webHidden/>
              </w:rPr>
              <w:fldChar w:fldCharType="separate"/>
            </w:r>
            <w:r>
              <w:rPr>
                <w:noProof/>
                <w:webHidden/>
              </w:rPr>
              <w:t>38</w:t>
            </w:r>
            <w:r>
              <w:rPr>
                <w:noProof/>
                <w:webHidden/>
              </w:rPr>
              <w:fldChar w:fldCharType="end"/>
            </w:r>
          </w:hyperlink>
        </w:p>
        <w:p w14:paraId="23F1A830" w14:textId="22B4F0DD"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40" w:history="1">
            <w:r w:rsidRPr="00D70D64">
              <w:rPr>
                <w:rStyle w:val="Hyperlink"/>
                <w:rFonts w:cs="Times New Roman"/>
                <w:noProof/>
              </w:rPr>
              <w:t>4.3 Theme Development Table</w:t>
            </w:r>
            <w:r>
              <w:rPr>
                <w:noProof/>
                <w:webHidden/>
              </w:rPr>
              <w:tab/>
            </w:r>
            <w:r>
              <w:rPr>
                <w:noProof/>
                <w:webHidden/>
              </w:rPr>
              <w:fldChar w:fldCharType="begin"/>
            </w:r>
            <w:r>
              <w:rPr>
                <w:noProof/>
                <w:webHidden/>
              </w:rPr>
              <w:instrText xml:space="preserve"> PAGEREF _Toc241252040 \h </w:instrText>
            </w:r>
            <w:r>
              <w:rPr>
                <w:noProof/>
                <w:webHidden/>
              </w:rPr>
            </w:r>
            <w:r>
              <w:rPr>
                <w:noProof/>
                <w:webHidden/>
              </w:rPr>
              <w:fldChar w:fldCharType="separate"/>
            </w:r>
            <w:r>
              <w:rPr>
                <w:noProof/>
                <w:webHidden/>
              </w:rPr>
              <w:t>43</w:t>
            </w:r>
            <w:r>
              <w:rPr>
                <w:noProof/>
                <w:webHidden/>
              </w:rPr>
              <w:fldChar w:fldCharType="end"/>
            </w:r>
          </w:hyperlink>
        </w:p>
        <w:p w14:paraId="08CE0412" w14:textId="304B8287"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41" w:history="1">
            <w:r w:rsidRPr="00D70D64">
              <w:rPr>
                <w:rStyle w:val="Hyperlink"/>
                <w:rFonts w:cs="Times New Roman"/>
                <w:noProof/>
              </w:rPr>
              <w:t>4.4 Thematic Findings</w:t>
            </w:r>
            <w:r>
              <w:rPr>
                <w:noProof/>
                <w:webHidden/>
              </w:rPr>
              <w:tab/>
            </w:r>
            <w:r>
              <w:rPr>
                <w:noProof/>
                <w:webHidden/>
              </w:rPr>
              <w:fldChar w:fldCharType="begin"/>
            </w:r>
            <w:r>
              <w:rPr>
                <w:noProof/>
                <w:webHidden/>
              </w:rPr>
              <w:instrText xml:space="preserve"> PAGEREF _Toc241252041 \h </w:instrText>
            </w:r>
            <w:r>
              <w:rPr>
                <w:noProof/>
                <w:webHidden/>
              </w:rPr>
            </w:r>
            <w:r>
              <w:rPr>
                <w:noProof/>
                <w:webHidden/>
              </w:rPr>
              <w:fldChar w:fldCharType="separate"/>
            </w:r>
            <w:r>
              <w:rPr>
                <w:noProof/>
                <w:webHidden/>
              </w:rPr>
              <w:t>44</w:t>
            </w:r>
            <w:r>
              <w:rPr>
                <w:noProof/>
                <w:webHidden/>
              </w:rPr>
              <w:fldChar w:fldCharType="end"/>
            </w:r>
          </w:hyperlink>
        </w:p>
        <w:p w14:paraId="627ED6B7" w14:textId="03353667"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42" w:history="1">
            <w:r w:rsidRPr="00D70D64">
              <w:rPr>
                <w:rStyle w:val="Hyperlink"/>
                <w:noProof/>
              </w:rPr>
              <w:t>4.5 Summary of Key Findings</w:t>
            </w:r>
            <w:r>
              <w:rPr>
                <w:noProof/>
                <w:webHidden/>
              </w:rPr>
              <w:tab/>
            </w:r>
            <w:r>
              <w:rPr>
                <w:noProof/>
                <w:webHidden/>
              </w:rPr>
              <w:fldChar w:fldCharType="begin"/>
            </w:r>
            <w:r>
              <w:rPr>
                <w:noProof/>
                <w:webHidden/>
              </w:rPr>
              <w:instrText xml:space="preserve"> PAGEREF _Toc241252042 \h </w:instrText>
            </w:r>
            <w:r>
              <w:rPr>
                <w:noProof/>
                <w:webHidden/>
              </w:rPr>
            </w:r>
            <w:r>
              <w:rPr>
                <w:noProof/>
                <w:webHidden/>
              </w:rPr>
              <w:fldChar w:fldCharType="separate"/>
            </w:r>
            <w:r>
              <w:rPr>
                <w:noProof/>
                <w:webHidden/>
              </w:rPr>
              <w:t>50</w:t>
            </w:r>
            <w:r>
              <w:rPr>
                <w:noProof/>
                <w:webHidden/>
              </w:rPr>
              <w:fldChar w:fldCharType="end"/>
            </w:r>
          </w:hyperlink>
        </w:p>
        <w:p w14:paraId="370022D1" w14:textId="3B4689C7" w:rsidR="001F2ED9" w:rsidRDefault="001F2ED9">
          <w:pPr>
            <w:pStyle w:val="TOC1"/>
            <w:tabs>
              <w:tab w:val="right" w:leader="dot" w:pos="9020"/>
            </w:tabs>
            <w:rPr>
              <w:rFonts w:asciiTheme="minorHAnsi" w:eastAsiaTheme="minorEastAsia" w:hAnsiTheme="minorHAnsi"/>
              <w:noProof/>
              <w:color w:val="auto"/>
              <w:lang w:val="en-IN" w:eastAsia="en-IN"/>
            </w:rPr>
          </w:pPr>
          <w:hyperlink w:anchor="_Toc241252043" w:history="1">
            <w:r w:rsidRPr="00D70D64">
              <w:rPr>
                <w:rStyle w:val="Hyperlink"/>
                <w:noProof/>
                <w:lang w:val="en-US"/>
              </w:rPr>
              <w:t>Chapter 5: Discussion</w:t>
            </w:r>
            <w:r>
              <w:rPr>
                <w:noProof/>
                <w:webHidden/>
              </w:rPr>
              <w:tab/>
            </w:r>
            <w:r>
              <w:rPr>
                <w:noProof/>
                <w:webHidden/>
              </w:rPr>
              <w:fldChar w:fldCharType="begin"/>
            </w:r>
            <w:r>
              <w:rPr>
                <w:noProof/>
                <w:webHidden/>
              </w:rPr>
              <w:instrText xml:space="preserve"> PAGEREF _Toc241252043 \h </w:instrText>
            </w:r>
            <w:r>
              <w:rPr>
                <w:noProof/>
                <w:webHidden/>
              </w:rPr>
            </w:r>
            <w:r>
              <w:rPr>
                <w:noProof/>
                <w:webHidden/>
              </w:rPr>
              <w:fldChar w:fldCharType="separate"/>
            </w:r>
            <w:r>
              <w:rPr>
                <w:noProof/>
                <w:webHidden/>
              </w:rPr>
              <w:t>51</w:t>
            </w:r>
            <w:r>
              <w:rPr>
                <w:noProof/>
                <w:webHidden/>
              </w:rPr>
              <w:fldChar w:fldCharType="end"/>
            </w:r>
          </w:hyperlink>
        </w:p>
        <w:p w14:paraId="1B447AD4" w14:textId="222E27B5"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44" w:history="1">
            <w:r w:rsidRPr="00D70D64">
              <w:rPr>
                <w:rStyle w:val="Hyperlink"/>
                <w:rFonts w:cs="Times New Roman"/>
                <w:noProof/>
                <w:lang w:val="en-US"/>
              </w:rPr>
              <w:t>5.1 Introduction</w:t>
            </w:r>
            <w:r>
              <w:rPr>
                <w:noProof/>
                <w:webHidden/>
              </w:rPr>
              <w:tab/>
            </w:r>
            <w:r>
              <w:rPr>
                <w:noProof/>
                <w:webHidden/>
              </w:rPr>
              <w:fldChar w:fldCharType="begin"/>
            </w:r>
            <w:r>
              <w:rPr>
                <w:noProof/>
                <w:webHidden/>
              </w:rPr>
              <w:instrText xml:space="preserve"> PAGEREF _Toc241252044 \h </w:instrText>
            </w:r>
            <w:r>
              <w:rPr>
                <w:noProof/>
                <w:webHidden/>
              </w:rPr>
            </w:r>
            <w:r>
              <w:rPr>
                <w:noProof/>
                <w:webHidden/>
              </w:rPr>
              <w:fldChar w:fldCharType="separate"/>
            </w:r>
            <w:r>
              <w:rPr>
                <w:noProof/>
                <w:webHidden/>
              </w:rPr>
              <w:t>51</w:t>
            </w:r>
            <w:r>
              <w:rPr>
                <w:noProof/>
                <w:webHidden/>
              </w:rPr>
              <w:fldChar w:fldCharType="end"/>
            </w:r>
          </w:hyperlink>
        </w:p>
        <w:p w14:paraId="2D28D4C2" w14:textId="68C3971B"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45" w:history="1">
            <w:r w:rsidRPr="00D70D64">
              <w:rPr>
                <w:rStyle w:val="Hyperlink"/>
                <w:rFonts w:cs="Times New Roman"/>
                <w:noProof/>
                <w:lang w:val="en-US"/>
              </w:rPr>
              <w:t>5.2 Discussion</w:t>
            </w:r>
            <w:r>
              <w:rPr>
                <w:noProof/>
                <w:webHidden/>
              </w:rPr>
              <w:tab/>
            </w:r>
            <w:r>
              <w:rPr>
                <w:noProof/>
                <w:webHidden/>
              </w:rPr>
              <w:fldChar w:fldCharType="begin"/>
            </w:r>
            <w:r>
              <w:rPr>
                <w:noProof/>
                <w:webHidden/>
              </w:rPr>
              <w:instrText xml:space="preserve"> PAGEREF _Toc241252045 \h </w:instrText>
            </w:r>
            <w:r>
              <w:rPr>
                <w:noProof/>
                <w:webHidden/>
              </w:rPr>
            </w:r>
            <w:r>
              <w:rPr>
                <w:noProof/>
                <w:webHidden/>
              </w:rPr>
              <w:fldChar w:fldCharType="separate"/>
            </w:r>
            <w:r>
              <w:rPr>
                <w:noProof/>
                <w:webHidden/>
              </w:rPr>
              <w:t>51</w:t>
            </w:r>
            <w:r>
              <w:rPr>
                <w:noProof/>
                <w:webHidden/>
              </w:rPr>
              <w:fldChar w:fldCharType="end"/>
            </w:r>
          </w:hyperlink>
        </w:p>
        <w:p w14:paraId="1276E3BB" w14:textId="460DF28D" w:rsidR="001F2ED9" w:rsidRDefault="001F2ED9">
          <w:pPr>
            <w:pStyle w:val="TOC1"/>
            <w:tabs>
              <w:tab w:val="right" w:leader="dot" w:pos="9020"/>
            </w:tabs>
            <w:rPr>
              <w:rFonts w:asciiTheme="minorHAnsi" w:eastAsiaTheme="minorEastAsia" w:hAnsiTheme="minorHAnsi"/>
              <w:noProof/>
              <w:color w:val="auto"/>
              <w:lang w:val="en-IN" w:eastAsia="en-IN"/>
            </w:rPr>
          </w:pPr>
          <w:hyperlink w:anchor="_Toc241252046" w:history="1">
            <w:r w:rsidRPr="00D70D64">
              <w:rPr>
                <w:rStyle w:val="Hyperlink"/>
                <w:rFonts w:cs="Times New Roman"/>
                <w:noProof/>
              </w:rPr>
              <w:t>Chapter 6: Conclusion</w:t>
            </w:r>
            <w:r>
              <w:rPr>
                <w:noProof/>
                <w:webHidden/>
              </w:rPr>
              <w:tab/>
            </w:r>
            <w:r>
              <w:rPr>
                <w:noProof/>
                <w:webHidden/>
              </w:rPr>
              <w:fldChar w:fldCharType="begin"/>
            </w:r>
            <w:r>
              <w:rPr>
                <w:noProof/>
                <w:webHidden/>
              </w:rPr>
              <w:instrText xml:space="preserve"> PAGEREF _Toc241252046 \h </w:instrText>
            </w:r>
            <w:r>
              <w:rPr>
                <w:noProof/>
                <w:webHidden/>
              </w:rPr>
            </w:r>
            <w:r>
              <w:rPr>
                <w:noProof/>
                <w:webHidden/>
              </w:rPr>
              <w:fldChar w:fldCharType="separate"/>
            </w:r>
            <w:r>
              <w:rPr>
                <w:noProof/>
                <w:webHidden/>
              </w:rPr>
              <w:t>55</w:t>
            </w:r>
            <w:r>
              <w:rPr>
                <w:noProof/>
                <w:webHidden/>
              </w:rPr>
              <w:fldChar w:fldCharType="end"/>
            </w:r>
          </w:hyperlink>
        </w:p>
        <w:p w14:paraId="760B3AD2" w14:textId="5B9CD01D"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47" w:history="1">
            <w:r w:rsidRPr="00D70D64">
              <w:rPr>
                <w:rStyle w:val="Hyperlink"/>
                <w:rFonts w:cs="Times New Roman"/>
                <w:noProof/>
              </w:rPr>
              <w:t>6.1 Introduction</w:t>
            </w:r>
            <w:r>
              <w:rPr>
                <w:noProof/>
                <w:webHidden/>
              </w:rPr>
              <w:tab/>
            </w:r>
            <w:r>
              <w:rPr>
                <w:noProof/>
                <w:webHidden/>
              </w:rPr>
              <w:fldChar w:fldCharType="begin"/>
            </w:r>
            <w:r>
              <w:rPr>
                <w:noProof/>
                <w:webHidden/>
              </w:rPr>
              <w:instrText xml:space="preserve"> PAGEREF _Toc241252047 \h </w:instrText>
            </w:r>
            <w:r>
              <w:rPr>
                <w:noProof/>
                <w:webHidden/>
              </w:rPr>
            </w:r>
            <w:r>
              <w:rPr>
                <w:noProof/>
                <w:webHidden/>
              </w:rPr>
              <w:fldChar w:fldCharType="separate"/>
            </w:r>
            <w:r>
              <w:rPr>
                <w:noProof/>
                <w:webHidden/>
              </w:rPr>
              <w:t>55</w:t>
            </w:r>
            <w:r>
              <w:rPr>
                <w:noProof/>
                <w:webHidden/>
              </w:rPr>
              <w:fldChar w:fldCharType="end"/>
            </w:r>
          </w:hyperlink>
        </w:p>
        <w:p w14:paraId="27DC8BD8" w14:textId="6355B8F3"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48" w:history="1">
            <w:r w:rsidRPr="00D70D64">
              <w:rPr>
                <w:rStyle w:val="Hyperlink"/>
                <w:rFonts w:cs="Times New Roman"/>
                <w:noProof/>
              </w:rPr>
              <w:t>6.2 Conclusion</w:t>
            </w:r>
            <w:r>
              <w:rPr>
                <w:noProof/>
                <w:webHidden/>
              </w:rPr>
              <w:tab/>
            </w:r>
            <w:r>
              <w:rPr>
                <w:noProof/>
                <w:webHidden/>
              </w:rPr>
              <w:fldChar w:fldCharType="begin"/>
            </w:r>
            <w:r>
              <w:rPr>
                <w:noProof/>
                <w:webHidden/>
              </w:rPr>
              <w:instrText xml:space="preserve"> PAGEREF _Toc241252048 \h </w:instrText>
            </w:r>
            <w:r>
              <w:rPr>
                <w:noProof/>
                <w:webHidden/>
              </w:rPr>
            </w:r>
            <w:r>
              <w:rPr>
                <w:noProof/>
                <w:webHidden/>
              </w:rPr>
              <w:fldChar w:fldCharType="separate"/>
            </w:r>
            <w:r>
              <w:rPr>
                <w:noProof/>
                <w:webHidden/>
              </w:rPr>
              <w:t>55</w:t>
            </w:r>
            <w:r>
              <w:rPr>
                <w:noProof/>
                <w:webHidden/>
              </w:rPr>
              <w:fldChar w:fldCharType="end"/>
            </w:r>
          </w:hyperlink>
        </w:p>
        <w:p w14:paraId="52ED9331" w14:textId="5B7C5956"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49" w:history="1">
            <w:r w:rsidRPr="00D70D64">
              <w:rPr>
                <w:rStyle w:val="Hyperlink"/>
                <w:noProof/>
              </w:rPr>
              <w:t>6.3 Answer to the Research Question</w:t>
            </w:r>
            <w:r>
              <w:rPr>
                <w:noProof/>
                <w:webHidden/>
              </w:rPr>
              <w:tab/>
            </w:r>
            <w:r>
              <w:rPr>
                <w:noProof/>
                <w:webHidden/>
              </w:rPr>
              <w:fldChar w:fldCharType="begin"/>
            </w:r>
            <w:r>
              <w:rPr>
                <w:noProof/>
                <w:webHidden/>
              </w:rPr>
              <w:instrText xml:space="preserve"> PAGEREF _Toc241252049 \h </w:instrText>
            </w:r>
            <w:r>
              <w:rPr>
                <w:noProof/>
                <w:webHidden/>
              </w:rPr>
            </w:r>
            <w:r>
              <w:rPr>
                <w:noProof/>
                <w:webHidden/>
              </w:rPr>
              <w:fldChar w:fldCharType="separate"/>
            </w:r>
            <w:r>
              <w:rPr>
                <w:noProof/>
                <w:webHidden/>
              </w:rPr>
              <w:t>57</w:t>
            </w:r>
            <w:r>
              <w:rPr>
                <w:noProof/>
                <w:webHidden/>
              </w:rPr>
              <w:fldChar w:fldCharType="end"/>
            </w:r>
          </w:hyperlink>
        </w:p>
        <w:p w14:paraId="7F34A1B4" w14:textId="508C0D41"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50" w:history="1">
            <w:r w:rsidRPr="00D70D64">
              <w:rPr>
                <w:rStyle w:val="Hyperlink"/>
                <w:rFonts w:cs="Times New Roman"/>
                <w:noProof/>
              </w:rPr>
              <w:t>6.4 Recommendations</w:t>
            </w:r>
            <w:r>
              <w:rPr>
                <w:noProof/>
                <w:webHidden/>
              </w:rPr>
              <w:tab/>
            </w:r>
            <w:r>
              <w:rPr>
                <w:noProof/>
                <w:webHidden/>
              </w:rPr>
              <w:fldChar w:fldCharType="begin"/>
            </w:r>
            <w:r>
              <w:rPr>
                <w:noProof/>
                <w:webHidden/>
              </w:rPr>
              <w:instrText xml:space="preserve"> PAGEREF _Toc241252050 \h </w:instrText>
            </w:r>
            <w:r>
              <w:rPr>
                <w:noProof/>
                <w:webHidden/>
              </w:rPr>
            </w:r>
            <w:r>
              <w:rPr>
                <w:noProof/>
                <w:webHidden/>
              </w:rPr>
              <w:fldChar w:fldCharType="separate"/>
            </w:r>
            <w:r>
              <w:rPr>
                <w:noProof/>
                <w:webHidden/>
              </w:rPr>
              <w:t>57</w:t>
            </w:r>
            <w:r>
              <w:rPr>
                <w:noProof/>
                <w:webHidden/>
              </w:rPr>
              <w:fldChar w:fldCharType="end"/>
            </w:r>
          </w:hyperlink>
        </w:p>
        <w:p w14:paraId="212C6D9B" w14:textId="253D8D71"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51" w:history="1">
            <w:r w:rsidRPr="00D70D64">
              <w:rPr>
                <w:rStyle w:val="Hyperlink"/>
                <w:rFonts w:cs="Times New Roman"/>
                <w:noProof/>
              </w:rPr>
              <w:t>6.5 Theoretical and Practical Contribution</w:t>
            </w:r>
            <w:r>
              <w:rPr>
                <w:noProof/>
                <w:webHidden/>
              </w:rPr>
              <w:tab/>
            </w:r>
            <w:r>
              <w:rPr>
                <w:noProof/>
                <w:webHidden/>
              </w:rPr>
              <w:fldChar w:fldCharType="begin"/>
            </w:r>
            <w:r>
              <w:rPr>
                <w:noProof/>
                <w:webHidden/>
              </w:rPr>
              <w:instrText xml:space="preserve"> PAGEREF _Toc241252051 \h </w:instrText>
            </w:r>
            <w:r>
              <w:rPr>
                <w:noProof/>
                <w:webHidden/>
              </w:rPr>
            </w:r>
            <w:r>
              <w:rPr>
                <w:noProof/>
                <w:webHidden/>
              </w:rPr>
              <w:fldChar w:fldCharType="separate"/>
            </w:r>
            <w:r>
              <w:rPr>
                <w:noProof/>
                <w:webHidden/>
              </w:rPr>
              <w:t>58</w:t>
            </w:r>
            <w:r>
              <w:rPr>
                <w:noProof/>
                <w:webHidden/>
              </w:rPr>
              <w:fldChar w:fldCharType="end"/>
            </w:r>
          </w:hyperlink>
        </w:p>
        <w:p w14:paraId="4075867C" w14:textId="3EB0A0F2"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52" w:history="1">
            <w:r w:rsidRPr="00D70D64">
              <w:rPr>
                <w:rStyle w:val="Hyperlink"/>
                <w:rFonts w:cs="Times New Roman"/>
                <w:noProof/>
              </w:rPr>
              <w:t>6.6 Research Limitations and Future Recommendations</w:t>
            </w:r>
            <w:r>
              <w:rPr>
                <w:noProof/>
                <w:webHidden/>
              </w:rPr>
              <w:tab/>
            </w:r>
            <w:r>
              <w:rPr>
                <w:noProof/>
                <w:webHidden/>
              </w:rPr>
              <w:fldChar w:fldCharType="begin"/>
            </w:r>
            <w:r>
              <w:rPr>
                <w:noProof/>
                <w:webHidden/>
              </w:rPr>
              <w:instrText xml:space="preserve"> PAGEREF _Toc241252052 \h </w:instrText>
            </w:r>
            <w:r>
              <w:rPr>
                <w:noProof/>
                <w:webHidden/>
              </w:rPr>
            </w:r>
            <w:r>
              <w:rPr>
                <w:noProof/>
                <w:webHidden/>
              </w:rPr>
              <w:fldChar w:fldCharType="separate"/>
            </w:r>
            <w:r>
              <w:rPr>
                <w:noProof/>
                <w:webHidden/>
              </w:rPr>
              <w:t>59</w:t>
            </w:r>
            <w:r>
              <w:rPr>
                <w:noProof/>
                <w:webHidden/>
              </w:rPr>
              <w:fldChar w:fldCharType="end"/>
            </w:r>
          </w:hyperlink>
        </w:p>
        <w:p w14:paraId="77B51F35" w14:textId="43AFD736"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53" w:history="1">
            <w:r w:rsidRPr="00D70D64">
              <w:rPr>
                <w:rStyle w:val="Hyperlink"/>
                <w:rFonts w:cs="Times New Roman"/>
                <w:noProof/>
              </w:rPr>
              <w:t>6.7 Research Implications and Significance</w:t>
            </w:r>
            <w:r>
              <w:rPr>
                <w:noProof/>
                <w:webHidden/>
              </w:rPr>
              <w:tab/>
            </w:r>
            <w:r>
              <w:rPr>
                <w:noProof/>
                <w:webHidden/>
              </w:rPr>
              <w:fldChar w:fldCharType="begin"/>
            </w:r>
            <w:r>
              <w:rPr>
                <w:noProof/>
                <w:webHidden/>
              </w:rPr>
              <w:instrText xml:space="preserve"> PAGEREF _Toc241252053 \h </w:instrText>
            </w:r>
            <w:r>
              <w:rPr>
                <w:noProof/>
                <w:webHidden/>
              </w:rPr>
            </w:r>
            <w:r>
              <w:rPr>
                <w:noProof/>
                <w:webHidden/>
              </w:rPr>
              <w:fldChar w:fldCharType="separate"/>
            </w:r>
            <w:r>
              <w:rPr>
                <w:noProof/>
                <w:webHidden/>
              </w:rPr>
              <w:t>59</w:t>
            </w:r>
            <w:r>
              <w:rPr>
                <w:noProof/>
                <w:webHidden/>
              </w:rPr>
              <w:fldChar w:fldCharType="end"/>
            </w:r>
          </w:hyperlink>
        </w:p>
        <w:p w14:paraId="7A7B1E20" w14:textId="6B2B6E9E" w:rsidR="001F2ED9" w:rsidRDefault="001F2ED9">
          <w:pPr>
            <w:pStyle w:val="TOC2"/>
            <w:tabs>
              <w:tab w:val="right" w:leader="dot" w:pos="9020"/>
            </w:tabs>
            <w:rPr>
              <w:rFonts w:asciiTheme="minorHAnsi" w:eastAsiaTheme="minorEastAsia" w:hAnsiTheme="minorHAnsi"/>
              <w:noProof/>
              <w:color w:val="auto"/>
              <w:lang w:val="en-IN" w:eastAsia="en-IN"/>
            </w:rPr>
          </w:pPr>
          <w:hyperlink w:anchor="_Toc241252054" w:history="1">
            <w:r w:rsidRPr="00D70D64">
              <w:rPr>
                <w:rStyle w:val="Hyperlink"/>
                <w:noProof/>
              </w:rPr>
              <w:t>6.8 Concluding Statement</w:t>
            </w:r>
            <w:r>
              <w:rPr>
                <w:noProof/>
                <w:webHidden/>
              </w:rPr>
              <w:tab/>
            </w:r>
            <w:r>
              <w:rPr>
                <w:noProof/>
                <w:webHidden/>
              </w:rPr>
              <w:fldChar w:fldCharType="begin"/>
            </w:r>
            <w:r>
              <w:rPr>
                <w:noProof/>
                <w:webHidden/>
              </w:rPr>
              <w:instrText xml:space="preserve"> PAGEREF _Toc241252054 \h </w:instrText>
            </w:r>
            <w:r>
              <w:rPr>
                <w:noProof/>
                <w:webHidden/>
              </w:rPr>
            </w:r>
            <w:r>
              <w:rPr>
                <w:noProof/>
                <w:webHidden/>
              </w:rPr>
              <w:fldChar w:fldCharType="separate"/>
            </w:r>
            <w:r>
              <w:rPr>
                <w:noProof/>
                <w:webHidden/>
              </w:rPr>
              <w:t>60</w:t>
            </w:r>
            <w:r>
              <w:rPr>
                <w:noProof/>
                <w:webHidden/>
              </w:rPr>
              <w:fldChar w:fldCharType="end"/>
            </w:r>
          </w:hyperlink>
        </w:p>
        <w:p w14:paraId="603FA4CA" w14:textId="2C60AB90" w:rsidR="001F2ED9" w:rsidRDefault="001F2ED9">
          <w:pPr>
            <w:pStyle w:val="TOC1"/>
            <w:tabs>
              <w:tab w:val="right" w:leader="dot" w:pos="9020"/>
            </w:tabs>
            <w:rPr>
              <w:rFonts w:asciiTheme="minorHAnsi" w:eastAsiaTheme="minorEastAsia" w:hAnsiTheme="minorHAnsi"/>
              <w:noProof/>
              <w:color w:val="auto"/>
              <w:lang w:val="en-IN" w:eastAsia="en-IN"/>
            </w:rPr>
          </w:pPr>
          <w:hyperlink w:anchor="_Toc241252055" w:history="1">
            <w:r w:rsidRPr="00D70D64">
              <w:rPr>
                <w:rStyle w:val="Hyperlink"/>
                <w:rFonts w:cs="Times New Roman"/>
                <w:noProof/>
              </w:rPr>
              <w:t>References</w:t>
            </w:r>
            <w:r>
              <w:rPr>
                <w:noProof/>
                <w:webHidden/>
              </w:rPr>
              <w:tab/>
            </w:r>
            <w:r>
              <w:rPr>
                <w:noProof/>
                <w:webHidden/>
              </w:rPr>
              <w:fldChar w:fldCharType="begin"/>
            </w:r>
            <w:r>
              <w:rPr>
                <w:noProof/>
                <w:webHidden/>
              </w:rPr>
              <w:instrText xml:space="preserve"> PAGEREF _Toc241252055 \h </w:instrText>
            </w:r>
            <w:r>
              <w:rPr>
                <w:noProof/>
                <w:webHidden/>
              </w:rPr>
            </w:r>
            <w:r>
              <w:rPr>
                <w:noProof/>
                <w:webHidden/>
              </w:rPr>
              <w:fldChar w:fldCharType="separate"/>
            </w:r>
            <w:r>
              <w:rPr>
                <w:noProof/>
                <w:webHidden/>
              </w:rPr>
              <w:t>61</w:t>
            </w:r>
            <w:r>
              <w:rPr>
                <w:noProof/>
                <w:webHidden/>
              </w:rPr>
              <w:fldChar w:fldCharType="end"/>
            </w:r>
          </w:hyperlink>
        </w:p>
        <w:p w14:paraId="04A1BA45" w14:textId="5DF6E3DF" w:rsidR="001F2ED9" w:rsidRDefault="001F2ED9">
          <w:pPr>
            <w:pStyle w:val="TOC1"/>
            <w:tabs>
              <w:tab w:val="right" w:leader="dot" w:pos="9020"/>
            </w:tabs>
            <w:rPr>
              <w:rFonts w:asciiTheme="minorHAnsi" w:eastAsiaTheme="minorEastAsia" w:hAnsiTheme="minorHAnsi"/>
              <w:noProof/>
              <w:color w:val="auto"/>
              <w:lang w:val="en-IN" w:eastAsia="en-IN"/>
            </w:rPr>
          </w:pPr>
          <w:hyperlink w:anchor="_Toc241252056" w:history="1">
            <w:r w:rsidRPr="00D70D64">
              <w:rPr>
                <w:rStyle w:val="Hyperlink"/>
                <w:rFonts w:cs="Times New Roman"/>
                <w:noProof/>
              </w:rPr>
              <w:t>Appendix 1:</w:t>
            </w:r>
            <w:r w:rsidRPr="00D70D64">
              <w:rPr>
                <w:rStyle w:val="Hyperlink"/>
                <w:noProof/>
              </w:rPr>
              <w:t xml:space="preserve"> Thematic Coding and Theme Development Audit Trail</w:t>
            </w:r>
            <w:r>
              <w:rPr>
                <w:noProof/>
                <w:webHidden/>
              </w:rPr>
              <w:tab/>
            </w:r>
            <w:r>
              <w:rPr>
                <w:noProof/>
                <w:webHidden/>
              </w:rPr>
              <w:fldChar w:fldCharType="begin"/>
            </w:r>
            <w:r>
              <w:rPr>
                <w:noProof/>
                <w:webHidden/>
              </w:rPr>
              <w:instrText xml:space="preserve"> PAGEREF _Toc241252056 \h </w:instrText>
            </w:r>
            <w:r>
              <w:rPr>
                <w:noProof/>
                <w:webHidden/>
              </w:rPr>
            </w:r>
            <w:r>
              <w:rPr>
                <w:noProof/>
                <w:webHidden/>
              </w:rPr>
              <w:fldChar w:fldCharType="separate"/>
            </w:r>
            <w:r>
              <w:rPr>
                <w:noProof/>
                <w:webHidden/>
              </w:rPr>
              <w:t>1</w:t>
            </w:r>
            <w:r>
              <w:rPr>
                <w:noProof/>
                <w:webHidden/>
              </w:rPr>
              <w:fldChar w:fldCharType="end"/>
            </w:r>
          </w:hyperlink>
        </w:p>
        <w:p w14:paraId="2B69C644" w14:textId="4B739739" w:rsidR="00604420" w:rsidRPr="002F383C" w:rsidRDefault="00604420" w:rsidP="00D23C43">
          <w:pPr>
            <w:spacing w:before="240" w:after="240"/>
            <w:rPr>
              <w:rFonts w:cs="Times New Roman"/>
            </w:rPr>
          </w:pPr>
          <w:r w:rsidRPr="002F383C">
            <w:rPr>
              <w:rFonts w:cs="Times New Roman"/>
              <w:b/>
              <w:bCs/>
              <w:noProof/>
            </w:rPr>
            <w:fldChar w:fldCharType="end"/>
          </w:r>
        </w:p>
      </w:sdtContent>
    </w:sdt>
    <w:p w14:paraId="3F4796AA" w14:textId="5385BB41" w:rsidR="0091449C" w:rsidRPr="002F383C" w:rsidRDefault="0091449C" w:rsidP="00D23C43">
      <w:pPr>
        <w:spacing w:before="240" w:after="240"/>
        <w:rPr>
          <w:rFonts w:cs="Times New Roman"/>
        </w:rPr>
      </w:pPr>
      <w:r w:rsidRPr="002F383C">
        <w:rPr>
          <w:rFonts w:cs="Times New Roman"/>
        </w:rPr>
        <w:br w:type="page"/>
      </w:r>
    </w:p>
    <w:p w14:paraId="4A5B2AD0" w14:textId="27692BFB" w:rsidR="0091449C" w:rsidRPr="002F383C" w:rsidRDefault="0091449C" w:rsidP="00D23C43">
      <w:pPr>
        <w:pStyle w:val="TableofFigures"/>
        <w:tabs>
          <w:tab w:val="right" w:leader="dot" w:pos="9020"/>
        </w:tabs>
        <w:spacing w:before="240" w:after="240"/>
        <w:rPr>
          <w:rFonts w:cs="Times New Roman"/>
          <w:b/>
          <w:bCs/>
          <w:iCs/>
        </w:rPr>
      </w:pPr>
      <w:r w:rsidRPr="002F383C">
        <w:rPr>
          <w:rFonts w:cs="Times New Roman"/>
          <w:b/>
          <w:bCs/>
          <w:iCs/>
        </w:rPr>
        <w:t>List of Figures</w:t>
      </w:r>
    </w:p>
    <w:p w14:paraId="7D6F253C" w14:textId="5CDAA0E4" w:rsidR="0091449C" w:rsidRPr="002F383C" w:rsidRDefault="0091449C" w:rsidP="00D23C43">
      <w:pPr>
        <w:pStyle w:val="TableofFigures"/>
        <w:tabs>
          <w:tab w:val="right" w:leader="dot" w:pos="9020"/>
        </w:tabs>
        <w:spacing w:before="240" w:after="240"/>
        <w:rPr>
          <w:rFonts w:cs="Times New Roman"/>
          <w:noProof/>
        </w:rPr>
      </w:pPr>
      <w:r w:rsidRPr="002F383C">
        <w:rPr>
          <w:rFonts w:cs="Times New Roman"/>
        </w:rPr>
        <w:fldChar w:fldCharType="begin"/>
      </w:r>
      <w:r w:rsidRPr="002F383C">
        <w:rPr>
          <w:rFonts w:cs="Times New Roman"/>
        </w:rPr>
        <w:instrText xml:space="preserve"> TOC \h \z \c "Figure" </w:instrText>
      </w:r>
      <w:r w:rsidRPr="002F383C">
        <w:rPr>
          <w:rFonts w:cs="Times New Roman"/>
        </w:rPr>
        <w:fldChar w:fldCharType="separate"/>
      </w:r>
      <w:hyperlink w:anchor="_Toc240471237" w:history="1">
        <w:r w:rsidRPr="002F383C">
          <w:rPr>
            <w:rStyle w:val="Hyperlink"/>
            <w:rFonts w:cs="Times New Roman"/>
            <w:noProof/>
          </w:rPr>
          <w:t>Figure 1: GVA of the UK food sector 2023</w:t>
        </w:r>
        <w:r w:rsidRPr="002F383C">
          <w:rPr>
            <w:rFonts w:cs="Times New Roman"/>
            <w:noProof/>
            <w:webHidden/>
          </w:rPr>
          <w:tab/>
        </w:r>
        <w:r w:rsidRPr="002F383C">
          <w:rPr>
            <w:rFonts w:cs="Times New Roman"/>
            <w:noProof/>
            <w:webHidden/>
          </w:rPr>
          <w:fldChar w:fldCharType="begin"/>
        </w:r>
        <w:r w:rsidRPr="002F383C">
          <w:rPr>
            <w:rFonts w:cs="Times New Roman"/>
            <w:noProof/>
            <w:webHidden/>
          </w:rPr>
          <w:instrText xml:space="preserve"> PAGEREF _Toc240471237 \h </w:instrText>
        </w:r>
        <w:r w:rsidRPr="002F383C">
          <w:rPr>
            <w:rFonts w:cs="Times New Roman"/>
            <w:noProof/>
            <w:webHidden/>
          </w:rPr>
        </w:r>
        <w:r w:rsidRPr="002F383C">
          <w:rPr>
            <w:rFonts w:cs="Times New Roman"/>
            <w:noProof/>
            <w:webHidden/>
          </w:rPr>
          <w:fldChar w:fldCharType="separate"/>
        </w:r>
        <w:r w:rsidRPr="002F383C">
          <w:rPr>
            <w:rFonts w:cs="Times New Roman"/>
            <w:noProof/>
            <w:webHidden/>
          </w:rPr>
          <w:t>8</w:t>
        </w:r>
        <w:r w:rsidRPr="002F383C">
          <w:rPr>
            <w:rFonts w:cs="Times New Roman"/>
            <w:noProof/>
            <w:webHidden/>
          </w:rPr>
          <w:fldChar w:fldCharType="end"/>
        </w:r>
      </w:hyperlink>
    </w:p>
    <w:p w14:paraId="2BF466AF" w14:textId="6EB951F4" w:rsidR="0091449C" w:rsidRPr="002F383C" w:rsidRDefault="0091449C" w:rsidP="00D23C43">
      <w:pPr>
        <w:pStyle w:val="TableofFigures"/>
        <w:tabs>
          <w:tab w:val="right" w:leader="dot" w:pos="9020"/>
        </w:tabs>
        <w:spacing w:before="240" w:after="240"/>
        <w:rPr>
          <w:rFonts w:cs="Times New Roman"/>
          <w:noProof/>
        </w:rPr>
      </w:pPr>
      <w:hyperlink w:anchor="_Toc240471238" w:history="1">
        <w:r w:rsidRPr="002F383C">
          <w:rPr>
            <w:rStyle w:val="Hyperlink"/>
            <w:rFonts w:cs="Times New Roman"/>
            <w:noProof/>
          </w:rPr>
          <w:t>Figure 2: Supply chain resilience through redundancy and flexibility</w:t>
        </w:r>
        <w:r w:rsidRPr="002F383C">
          <w:rPr>
            <w:rFonts w:cs="Times New Roman"/>
            <w:noProof/>
            <w:webHidden/>
          </w:rPr>
          <w:tab/>
        </w:r>
        <w:r w:rsidRPr="002F383C">
          <w:rPr>
            <w:rFonts w:cs="Times New Roman"/>
            <w:noProof/>
            <w:webHidden/>
          </w:rPr>
          <w:fldChar w:fldCharType="begin"/>
        </w:r>
        <w:r w:rsidRPr="002F383C">
          <w:rPr>
            <w:rFonts w:cs="Times New Roman"/>
            <w:noProof/>
            <w:webHidden/>
          </w:rPr>
          <w:instrText xml:space="preserve"> PAGEREF _Toc240471238 \h </w:instrText>
        </w:r>
        <w:r w:rsidRPr="002F383C">
          <w:rPr>
            <w:rFonts w:cs="Times New Roman"/>
            <w:noProof/>
            <w:webHidden/>
          </w:rPr>
        </w:r>
        <w:r w:rsidRPr="002F383C">
          <w:rPr>
            <w:rFonts w:cs="Times New Roman"/>
            <w:noProof/>
            <w:webHidden/>
          </w:rPr>
          <w:fldChar w:fldCharType="separate"/>
        </w:r>
        <w:r w:rsidRPr="002F383C">
          <w:rPr>
            <w:rFonts w:cs="Times New Roman"/>
            <w:noProof/>
            <w:webHidden/>
          </w:rPr>
          <w:t>20</w:t>
        </w:r>
        <w:r w:rsidRPr="002F383C">
          <w:rPr>
            <w:rFonts w:cs="Times New Roman"/>
            <w:noProof/>
            <w:webHidden/>
          </w:rPr>
          <w:fldChar w:fldCharType="end"/>
        </w:r>
      </w:hyperlink>
    </w:p>
    <w:p w14:paraId="5A141307" w14:textId="07605345" w:rsidR="0091449C" w:rsidRPr="002F383C" w:rsidRDefault="0091449C" w:rsidP="00D23C43">
      <w:pPr>
        <w:pStyle w:val="TableofFigures"/>
        <w:tabs>
          <w:tab w:val="right" w:leader="dot" w:pos="9020"/>
        </w:tabs>
        <w:spacing w:before="240" w:after="240"/>
        <w:rPr>
          <w:rFonts w:cs="Times New Roman"/>
          <w:noProof/>
        </w:rPr>
      </w:pPr>
      <w:hyperlink w:anchor="_Toc240471239" w:history="1">
        <w:r w:rsidRPr="002F383C">
          <w:rPr>
            <w:rStyle w:val="Hyperlink"/>
            <w:rFonts w:cs="Times New Roman"/>
            <w:bCs/>
            <w:iCs/>
            <w:noProof/>
          </w:rPr>
          <w:t>Figure 3: Theoretical Framework</w:t>
        </w:r>
        <w:r w:rsidRPr="002F383C">
          <w:rPr>
            <w:rFonts w:cs="Times New Roman"/>
            <w:noProof/>
            <w:webHidden/>
          </w:rPr>
          <w:tab/>
        </w:r>
        <w:r w:rsidRPr="002F383C">
          <w:rPr>
            <w:rFonts w:cs="Times New Roman"/>
            <w:noProof/>
            <w:webHidden/>
          </w:rPr>
          <w:fldChar w:fldCharType="begin"/>
        </w:r>
        <w:r w:rsidRPr="002F383C">
          <w:rPr>
            <w:rFonts w:cs="Times New Roman"/>
            <w:noProof/>
            <w:webHidden/>
          </w:rPr>
          <w:instrText xml:space="preserve"> PAGEREF _Toc240471239 \h </w:instrText>
        </w:r>
        <w:r w:rsidRPr="002F383C">
          <w:rPr>
            <w:rFonts w:cs="Times New Roman"/>
            <w:noProof/>
            <w:webHidden/>
          </w:rPr>
        </w:r>
        <w:r w:rsidRPr="002F383C">
          <w:rPr>
            <w:rFonts w:cs="Times New Roman"/>
            <w:noProof/>
            <w:webHidden/>
          </w:rPr>
          <w:fldChar w:fldCharType="separate"/>
        </w:r>
        <w:r w:rsidRPr="002F383C">
          <w:rPr>
            <w:rFonts w:cs="Times New Roman"/>
            <w:noProof/>
            <w:webHidden/>
          </w:rPr>
          <w:t>23</w:t>
        </w:r>
        <w:r w:rsidRPr="002F383C">
          <w:rPr>
            <w:rFonts w:cs="Times New Roman"/>
            <w:noProof/>
            <w:webHidden/>
          </w:rPr>
          <w:fldChar w:fldCharType="end"/>
        </w:r>
      </w:hyperlink>
    </w:p>
    <w:p w14:paraId="4F2ACA02" w14:textId="3434C40A" w:rsidR="0091449C" w:rsidRPr="002F383C" w:rsidRDefault="0091449C" w:rsidP="00D23C43">
      <w:pPr>
        <w:pStyle w:val="TableofFigures"/>
        <w:tabs>
          <w:tab w:val="right" w:leader="dot" w:pos="9020"/>
        </w:tabs>
        <w:spacing w:before="240" w:after="240"/>
        <w:rPr>
          <w:rFonts w:cs="Times New Roman"/>
          <w:noProof/>
        </w:rPr>
      </w:pPr>
      <w:hyperlink w:anchor="_Toc240471240" w:history="1">
        <w:r w:rsidRPr="002F383C">
          <w:rPr>
            <w:rStyle w:val="Hyperlink"/>
            <w:rFonts w:cs="Times New Roman"/>
            <w:bCs/>
            <w:iCs/>
            <w:noProof/>
          </w:rPr>
          <w:t>Figure 4: Conceptual Framework</w:t>
        </w:r>
        <w:r w:rsidRPr="002F383C">
          <w:rPr>
            <w:rFonts w:cs="Times New Roman"/>
            <w:noProof/>
            <w:webHidden/>
          </w:rPr>
          <w:tab/>
        </w:r>
        <w:r w:rsidRPr="002F383C">
          <w:rPr>
            <w:rFonts w:cs="Times New Roman"/>
            <w:noProof/>
            <w:webHidden/>
          </w:rPr>
          <w:fldChar w:fldCharType="begin"/>
        </w:r>
        <w:r w:rsidRPr="002F383C">
          <w:rPr>
            <w:rFonts w:cs="Times New Roman"/>
            <w:noProof/>
            <w:webHidden/>
          </w:rPr>
          <w:instrText xml:space="preserve"> PAGEREF _Toc240471240 \h </w:instrText>
        </w:r>
        <w:r w:rsidRPr="002F383C">
          <w:rPr>
            <w:rFonts w:cs="Times New Roman"/>
            <w:noProof/>
            <w:webHidden/>
          </w:rPr>
        </w:r>
        <w:r w:rsidRPr="002F383C">
          <w:rPr>
            <w:rFonts w:cs="Times New Roman"/>
            <w:noProof/>
            <w:webHidden/>
          </w:rPr>
          <w:fldChar w:fldCharType="separate"/>
        </w:r>
        <w:r w:rsidRPr="002F383C">
          <w:rPr>
            <w:rFonts w:cs="Times New Roman"/>
            <w:noProof/>
            <w:webHidden/>
          </w:rPr>
          <w:t>24</w:t>
        </w:r>
        <w:r w:rsidRPr="002F383C">
          <w:rPr>
            <w:rFonts w:cs="Times New Roman"/>
            <w:noProof/>
            <w:webHidden/>
          </w:rPr>
          <w:fldChar w:fldCharType="end"/>
        </w:r>
      </w:hyperlink>
    </w:p>
    <w:p w14:paraId="3794A018" w14:textId="3B57730A" w:rsidR="0091449C" w:rsidRPr="002F383C" w:rsidRDefault="0091449C" w:rsidP="00D23C43">
      <w:pPr>
        <w:pStyle w:val="TableofFigures"/>
        <w:tabs>
          <w:tab w:val="right" w:leader="dot" w:pos="9020"/>
        </w:tabs>
        <w:spacing w:before="240" w:after="240"/>
        <w:rPr>
          <w:rFonts w:cs="Times New Roman"/>
          <w:noProof/>
        </w:rPr>
      </w:pPr>
      <w:hyperlink w:anchor="_Toc240471241" w:history="1">
        <w:r w:rsidRPr="002F383C">
          <w:rPr>
            <w:rStyle w:val="Hyperlink"/>
            <w:rFonts w:cs="Times New Roman"/>
            <w:noProof/>
          </w:rPr>
          <w:t>Figure 5: Saunders’s Research Onion Model</w:t>
        </w:r>
        <w:r w:rsidRPr="002F383C">
          <w:rPr>
            <w:rFonts w:cs="Times New Roman"/>
            <w:noProof/>
            <w:webHidden/>
          </w:rPr>
          <w:tab/>
        </w:r>
        <w:r w:rsidRPr="002F383C">
          <w:rPr>
            <w:rFonts w:cs="Times New Roman"/>
            <w:noProof/>
            <w:webHidden/>
          </w:rPr>
          <w:fldChar w:fldCharType="begin"/>
        </w:r>
        <w:r w:rsidRPr="002F383C">
          <w:rPr>
            <w:rFonts w:cs="Times New Roman"/>
            <w:noProof/>
            <w:webHidden/>
          </w:rPr>
          <w:instrText xml:space="preserve"> PAGEREF _Toc240471241 \h </w:instrText>
        </w:r>
        <w:r w:rsidRPr="002F383C">
          <w:rPr>
            <w:rFonts w:cs="Times New Roman"/>
            <w:noProof/>
            <w:webHidden/>
          </w:rPr>
        </w:r>
        <w:r w:rsidRPr="002F383C">
          <w:rPr>
            <w:rFonts w:cs="Times New Roman"/>
            <w:noProof/>
            <w:webHidden/>
          </w:rPr>
          <w:fldChar w:fldCharType="separate"/>
        </w:r>
        <w:r w:rsidRPr="002F383C">
          <w:rPr>
            <w:rFonts w:cs="Times New Roman"/>
            <w:noProof/>
            <w:webHidden/>
          </w:rPr>
          <w:t>28</w:t>
        </w:r>
        <w:r w:rsidRPr="002F383C">
          <w:rPr>
            <w:rFonts w:cs="Times New Roman"/>
            <w:noProof/>
            <w:webHidden/>
          </w:rPr>
          <w:fldChar w:fldCharType="end"/>
        </w:r>
      </w:hyperlink>
    </w:p>
    <w:p w14:paraId="5BCE8BBD" w14:textId="047D7ABF" w:rsidR="0091449C" w:rsidRPr="002F383C" w:rsidRDefault="0091449C" w:rsidP="00D23C43">
      <w:pPr>
        <w:pStyle w:val="TableofFigures"/>
        <w:tabs>
          <w:tab w:val="right" w:leader="dot" w:pos="9020"/>
        </w:tabs>
        <w:spacing w:before="240" w:after="240"/>
        <w:rPr>
          <w:rFonts w:cs="Times New Roman"/>
          <w:noProof/>
        </w:rPr>
      </w:pPr>
      <w:hyperlink w:anchor="_Toc240471242" w:history="1">
        <w:r w:rsidRPr="002F383C">
          <w:rPr>
            <w:rStyle w:val="Hyperlink"/>
            <w:rFonts w:cs="Times New Roman"/>
            <w:noProof/>
          </w:rPr>
          <w:t>Figure 6: PRISMA Framework</w:t>
        </w:r>
        <w:r w:rsidRPr="002F383C">
          <w:rPr>
            <w:rFonts w:cs="Times New Roman"/>
            <w:noProof/>
            <w:webHidden/>
          </w:rPr>
          <w:tab/>
        </w:r>
        <w:r w:rsidRPr="002F383C">
          <w:rPr>
            <w:rFonts w:cs="Times New Roman"/>
            <w:noProof/>
            <w:webHidden/>
          </w:rPr>
          <w:fldChar w:fldCharType="begin"/>
        </w:r>
        <w:r w:rsidRPr="002F383C">
          <w:rPr>
            <w:rFonts w:cs="Times New Roman"/>
            <w:noProof/>
            <w:webHidden/>
          </w:rPr>
          <w:instrText xml:space="preserve"> PAGEREF _Toc240471242 \h </w:instrText>
        </w:r>
        <w:r w:rsidRPr="002F383C">
          <w:rPr>
            <w:rFonts w:cs="Times New Roman"/>
            <w:noProof/>
            <w:webHidden/>
          </w:rPr>
        </w:r>
        <w:r w:rsidRPr="002F383C">
          <w:rPr>
            <w:rFonts w:cs="Times New Roman"/>
            <w:noProof/>
            <w:webHidden/>
          </w:rPr>
          <w:fldChar w:fldCharType="separate"/>
        </w:r>
        <w:r w:rsidRPr="002F383C">
          <w:rPr>
            <w:rFonts w:cs="Times New Roman"/>
            <w:noProof/>
            <w:webHidden/>
          </w:rPr>
          <w:t>30</w:t>
        </w:r>
        <w:r w:rsidRPr="002F383C">
          <w:rPr>
            <w:rFonts w:cs="Times New Roman"/>
            <w:noProof/>
            <w:webHidden/>
          </w:rPr>
          <w:fldChar w:fldCharType="end"/>
        </w:r>
      </w:hyperlink>
    </w:p>
    <w:p w14:paraId="4C6D9450" w14:textId="1D35D864" w:rsidR="002F6913" w:rsidRPr="002F383C" w:rsidRDefault="0091449C" w:rsidP="00D23C43">
      <w:pPr>
        <w:spacing w:before="240" w:after="240"/>
        <w:rPr>
          <w:rFonts w:cs="Times New Roman"/>
        </w:rPr>
      </w:pPr>
      <w:r w:rsidRPr="002F383C">
        <w:rPr>
          <w:rFonts w:cs="Times New Roman"/>
        </w:rPr>
        <w:fldChar w:fldCharType="end"/>
      </w:r>
    </w:p>
    <w:p w14:paraId="5D778AE2" w14:textId="77777777" w:rsidR="00075A9D" w:rsidRPr="002F383C" w:rsidRDefault="00075A9D">
      <w:pPr>
        <w:rPr>
          <w:rFonts w:cs="Times New Roman"/>
        </w:rPr>
      </w:pPr>
      <w:r w:rsidRPr="002F383C">
        <w:rPr>
          <w:rFonts w:cs="Times New Roman"/>
        </w:rPr>
        <w:br w:type="page"/>
      </w:r>
    </w:p>
    <w:p w14:paraId="74D26EEA" w14:textId="77777777" w:rsidR="00075A9D" w:rsidRPr="002F383C" w:rsidRDefault="00075A9D" w:rsidP="00D23C43">
      <w:pPr>
        <w:spacing w:before="240" w:after="240"/>
        <w:rPr>
          <w:rFonts w:cs="Times New Roman"/>
          <w:b/>
        </w:rPr>
      </w:pPr>
      <w:r w:rsidRPr="002F383C">
        <w:rPr>
          <w:rFonts w:cs="Times New Roman"/>
          <w:b/>
        </w:rPr>
        <w:t>List of tables</w:t>
      </w:r>
    </w:p>
    <w:p w14:paraId="32F0954C" w14:textId="1B711A62" w:rsidR="00075A9D" w:rsidRPr="002F383C" w:rsidRDefault="00075A9D">
      <w:pPr>
        <w:pStyle w:val="TableofFigures"/>
        <w:tabs>
          <w:tab w:val="right" w:leader="dot" w:pos="9020"/>
        </w:tabs>
        <w:rPr>
          <w:rFonts w:asciiTheme="minorHAnsi" w:eastAsiaTheme="minorEastAsia" w:hAnsiTheme="minorHAnsi"/>
          <w:noProof/>
          <w:color w:val="auto"/>
          <w:kern w:val="0"/>
          <w:sz w:val="22"/>
          <w:szCs w:val="22"/>
          <w:lang w:eastAsia="en-GB"/>
          <w14:ligatures w14:val="none"/>
        </w:rPr>
      </w:pPr>
      <w:r w:rsidRPr="002F383C">
        <w:rPr>
          <w:rFonts w:cs="Times New Roman"/>
        </w:rPr>
        <w:fldChar w:fldCharType="begin"/>
      </w:r>
      <w:r w:rsidRPr="002F383C">
        <w:rPr>
          <w:rFonts w:cs="Times New Roman"/>
        </w:rPr>
        <w:instrText xml:space="preserve"> TOC \h \z \c "Table" </w:instrText>
      </w:r>
      <w:r w:rsidRPr="002F383C">
        <w:rPr>
          <w:rFonts w:cs="Times New Roman"/>
        </w:rPr>
        <w:fldChar w:fldCharType="separate"/>
      </w:r>
      <w:hyperlink w:anchor="_Toc240472755" w:history="1">
        <w:r w:rsidRPr="002F383C">
          <w:rPr>
            <w:rStyle w:val="Hyperlink"/>
            <w:rFonts w:cs="Times New Roman"/>
            <w:noProof/>
          </w:rPr>
          <w:t>Table 1: Inclusion and Exclusion criteria</w:t>
        </w:r>
        <w:r w:rsidRPr="002F383C">
          <w:rPr>
            <w:noProof/>
            <w:webHidden/>
          </w:rPr>
          <w:tab/>
        </w:r>
        <w:r w:rsidRPr="002F383C">
          <w:rPr>
            <w:noProof/>
            <w:webHidden/>
          </w:rPr>
          <w:fldChar w:fldCharType="begin"/>
        </w:r>
        <w:r w:rsidRPr="002F383C">
          <w:rPr>
            <w:noProof/>
            <w:webHidden/>
          </w:rPr>
          <w:instrText xml:space="preserve"> PAGEREF _Toc240472755 \h </w:instrText>
        </w:r>
        <w:r w:rsidRPr="002F383C">
          <w:rPr>
            <w:noProof/>
            <w:webHidden/>
          </w:rPr>
        </w:r>
        <w:r w:rsidRPr="002F383C">
          <w:rPr>
            <w:noProof/>
            <w:webHidden/>
          </w:rPr>
          <w:fldChar w:fldCharType="separate"/>
        </w:r>
        <w:r w:rsidRPr="002F383C">
          <w:rPr>
            <w:noProof/>
            <w:webHidden/>
          </w:rPr>
          <w:t>34</w:t>
        </w:r>
        <w:r w:rsidRPr="002F383C">
          <w:rPr>
            <w:noProof/>
            <w:webHidden/>
          </w:rPr>
          <w:fldChar w:fldCharType="end"/>
        </w:r>
      </w:hyperlink>
    </w:p>
    <w:p w14:paraId="35BB28A1" w14:textId="79E2994E" w:rsidR="002F6913" w:rsidRPr="002F383C" w:rsidRDefault="00075A9D" w:rsidP="00D23C43">
      <w:pPr>
        <w:spacing w:before="240" w:after="240"/>
        <w:rPr>
          <w:rFonts w:cs="Times New Roman"/>
        </w:rPr>
      </w:pPr>
      <w:r w:rsidRPr="002F383C">
        <w:rPr>
          <w:rFonts w:cs="Times New Roman"/>
        </w:rPr>
        <w:fldChar w:fldCharType="end"/>
      </w:r>
      <w:r w:rsidR="002F6913" w:rsidRPr="002F383C">
        <w:rPr>
          <w:rFonts w:cs="Times New Roman"/>
        </w:rPr>
        <w:br w:type="page"/>
      </w:r>
    </w:p>
    <w:p w14:paraId="4A34D4A8" w14:textId="19FBB25B" w:rsidR="006E6EDE" w:rsidRPr="002F383C" w:rsidRDefault="006E6EDE" w:rsidP="00D23C43">
      <w:pPr>
        <w:spacing w:before="240" w:after="240"/>
        <w:rPr>
          <w:rFonts w:cs="Times New Roman"/>
          <w:b/>
          <w:bCs/>
          <w:i/>
          <w:iCs/>
        </w:rPr>
      </w:pPr>
      <w:r w:rsidRPr="002F383C">
        <w:rPr>
          <w:rFonts w:cs="Times New Roman"/>
          <w:b/>
          <w:bCs/>
          <w:i/>
          <w:iCs/>
        </w:rPr>
        <w:t>List of Abbreviations</w:t>
      </w:r>
    </w:p>
    <w:p w14:paraId="67CF0B51" w14:textId="3C945558" w:rsidR="006E6EDE" w:rsidRPr="002F383C" w:rsidRDefault="006E6EDE" w:rsidP="00D23C43">
      <w:pPr>
        <w:spacing w:before="240" w:after="240"/>
        <w:rPr>
          <w:rFonts w:cs="Times New Roman"/>
        </w:rPr>
      </w:pPr>
      <w:r w:rsidRPr="002F383C">
        <w:rPr>
          <w:rFonts w:cs="Times New Roman"/>
        </w:rPr>
        <w:t>AI</w:t>
      </w:r>
      <w:r w:rsidR="003A6689" w:rsidRPr="002F383C">
        <w:rPr>
          <w:rFonts w:cs="Times New Roman"/>
        </w:rPr>
        <w:t>-</w:t>
      </w:r>
      <w:r w:rsidRPr="002F383C">
        <w:rPr>
          <w:rFonts w:cs="Times New Roman"/>
        </w:rPr>
        <w:t xml:space="preserve"> Artificial Intelligence</w:t>
      </w:r>
    </w:p>
    <w:p w14:paraId="0CF21DE9" w14:textId="2B39CFB9" w:rsidR="006E6EDE" w:rsidRPr="002F383C" w:rsidRDefault="006E6EDE" w:rsidP="00D23C43">
      <w:pPr>
        <w:spacing w:before="240" w:after="240"/>
        <w:rPr>
          <w:rFonts w:cs="Times New Roman"/>
        </w:rPr>
      </w:pPr>
      <w:r w:rsidRPr="002F383C">
        <w:rPr>
          <w:rFonts w:cs="Times New Roman"/>
        </w:rPr>
        <w:t>COVID-19</w:t>
      </w:r>
      <w:r w:rsidR="003A6689" w:rsidRPr="002F383C">
        <w:rPr>
          <w:rFonts w:cs="Times New Roman"/>
        </w:rPr>
        <w:t>-</w:t>
      </w:r>
      <w:r w:rsidRPr="002F383C">
        <w:rPr>
          <w:rFonts w:cs="Times New Roman"/>
        </w:rPr>
        <w:t xml:space="preserve"> Coronavirus Disease 2019</w:t>
      </w:r>
    </w:p>
    <w:p w14:paraId="3F72344F" w14:textId="09FA9865" w:rsidR="006E6EDE" w:rsidRPr="002F383C" w:rsidRDefault="006E6EDE" w:rsidP="00D23C43">
      <w:pPr>
        <w:spacing w:before="240" w:after="240"/>
        <w:rPr>
          <w:rFonts w:cs="Times New Roman"/>
        </w:rPr>
      </w:pPr>
      <w:r w:rsidRPr="002F383C">
        <w:rPr>
          <w:rFonts w:cs="Times New Roman"/>
        </w:rPr>
        <w:t>DC</w:t>
      </w:r>
      <w:r w:rsidR="003A6689" w:rsidRPr="002F383C">
        <w:rPr>
          <w:rFonts w:cs="Times New Roman"/>
        </w:rPr>
        <w:t>-</w:t>
      </w:r>
      <w:r w:rsidRPr="002F383C">
        <w:rPr>
          <w:rFonts w:cs="Times New Roman"/>
        </w:rPr>
        <w:t xml:space="preserve"> Dynamic Capabilities</w:t>
      </w:r>
    </w:p>
    <w:p w14:paraId="1B4D8B2D" w14:textId="54F90449" w:rsidR="006E6EDE" w:rsidRPr="002F383C" w:rsidRDefault="006E6EDE" w:rsidP="00D23C43">
      <w:pPr>
        <w:spacing w:before="240" w:after="240"/>
        <w:rPr>
          <w:rFonts w:cs="Times New Roman"/>
        </w:rPr>
      </w:pPr>
      <w:r w:rsidRPr="002F383C">
        <w:rPr>
          <w:rFonts w:cs="Times New Roman"/>
        </w:rPr>
        <w:t>DCT</w:t>
      </w:r>
      <w:r w:rsidR="003A6689" w:rsidRPr="002F383C">
        <w:rPr>
          <w:rFonts w:cs="Times New Roman"/>
        </w:rPr>
        <w:t>-</w:t>
      </w:r>
      <w:r w:rsidRPr="002F383C">
        <w:rPr>
          <w:rFonts w:cs="Times New Roman"/>
        </w:rPr>
        <w:t xml:space="preserve"> Dynamic Capabilities Theory</w:t>
      </w:r>
    </w:p>
    <w:p w14:paraId="08E0F3F9" w14:textId="06E55914" w:rsidR="006E6EDE" w:rsidRPr="002F383C" w:rsidRDefault="006E6EDE" w:rsidP="00D23C43">
      <w:pPr>
        <w:spacing w:before="240" w:after="240"/>
        <w:rPr>
          <w:rFonts w:cs="Times New Roman"/>
        </w:rPr>
      </w:pPr>
      <w:r w:rsidRPr="002F383C">
        <w:rPr>
          <w:rFonts w:cs="Times New Roman"/>
        </w:rPr>
        <w:t>DEFRA</w:t>
      </w:r>
      <w:r w:rsidR="003A6689" w:rsidRPr="002F383C">
        <w:rPr>
          <w:rFonts w:cs="Times New Roman"/>
        </w:rPr>
        <w:t>-</w:t>
      </w:r>
      <w:r w:rsidRPr="002F383C">
        <w:rPr>
          <w:rFonts w:cs="Times New Roman"/>
        </w:rPr>
        <w:t xml:space="preserve"> Department for Environment, Food and Rural Affairs</w:t>
      </w:r>
    </w:p>
    <w:p w14:paraId="38FC5AE5" w14:textId="69F3BFF7" w:rsidR="006E6EDE" w:rsidRPr="002F383C" w:rsidRDefault="006E6EDE" w:rsidP="00D23C43">
      <w:pPr>
        <w:spacing w:before="240" w:after="240"/>
        <w:rPr>
          <w:rFonts w:cs="Times New Roman"/>
        </w:rPr>
      </w:pPr>
      <w:r w:rsidRPr="002F383C">
        <w:rPr>
          <w:rFonts w:cs="Times New Roman"/>
        </w:rPr>
        <w:t>EU</w:t>
      </w:r>
      <w:r w:rsidR="003A6689" w:rsidRPr="002F383C">
        <w:rPr>
          <w:rFonts w:cs="Times New Roman"/>
        </w:rPr>
        <w:t>-</w:t>
      </w:r>
      <w:r w:rsidRPr="002F383C">
        <w:rPr>
          <w:rFonts w:cs="Times New Roman"/>
        </w:rPr>
        <w:t xml:space="preserve"> European Union</w:t>
      </w:r>
    </w:p>
    <w:p w14:paraId="4437C8F3" w14:textId="0DDB7461" w:rsidR="006E6EDE" w:rsidRPr="002F383C" w:rsidRDefault="006E6EDE" w:rsidP="00D23C43">
      <w:pPr>
        <w:spacing w:before="240" w:after="240"/>
        <w:rPr>
          <w:rFonts w:cs="Times New Roman"/>
        </w:rPr>
      </w:pPr>
      <w:r w:rsidRPr="002F383C">
        <w:rPr>
          <w:rFonts w:cs="Times New Roman"/>
        </w:rPr>
        <w:t>KPI</w:t>
      </w:r>
      <w:r w:rsidR="003A6689" w:rsidRPr="002F383C">
        <w:rPr>
          <w:rFonts w:cs="Times New Roman"/>
        </w:rPr>
        <w:t>-</w:t>
      </w:r>
      <w:r w:rsidRPr="002F383C">
        <w:rPr>
          <w:rFonts w:cs="Times New Roman"/>
        </w:rPr>
        <w:t xml:space="preserve"> Key Performance Indicator</w:t>
      </w:r>
    </w:p>
    <w:p w14:paraId="2B24F03D" w14:textId="721D902F" w:rsidR="006E6EDE" w:rsidRPr="002F383C" w:rsidRDefault="006E6EDE" w:rsidP="00D23C43">
      <w:pPr>
        <w:spacing w:before="240" w:after="240"/>
        <w:rPr>
          <w:rFonts w:cs="Times New Roman"/>
        </w:rPr>
      </w:pPr>
      <w:r w:rsidRPr="002F383C">
        <w:rPr>
          <w:rFonts w:cs="Times New Roman"/>
        </w:rPr>
        <w:t>ONS</w:t>
      </w:r>
      <w:r w:rsidR="003A6689" w:rsidRPr="002F383C">
        <w:rPr>
          <w:rFonts w:cs="Times New Roman"/>
        </w:rPr>
        <w:t>-</w:t>
      </w:r>
      <w:r w:rsidRPr="002F383C">
        <w:rPr>
          <w:rFonts w:cs="Times New Roman"/>
        </w:rPr>
        <w:t xml:space="preserve"> Office for National Statistics</w:t>
      </w:r>
    </w:p>
    <w:p w14:paraId="43212575" w14:textId="4400ED26" w:rsidR="006E6EDE" w:rsidRPr="002F383C" w:rsidRDefault="006E6EDE" w:rsidP="00D23C43">
      <w:pPr>
        <w:spacing w:before="240" w:after="240"/>
        <w:rPr>
          <w:rFonts w:cs="Times New Roman"/>
        </w:rPr>
      </w:pPr>
      <w:r w:rsidRPr="002F383C">
        <w:rPr>
          <w:rFonts w:cs="Times New Roman"/>
        </w:rPr>
        <w:t>SC</w:t>
      </w:r>
      <w:r w:rsidR="003A6689" w:rsidRPr="002F383C">
        <w:rPr>
          <w:rFonts w:cs="Times New Roman"/>
        </w:rPr>
        <w:t>-</w:t>
      </w:r>
      <w:r w:rsidRPr="002F383C">
        <w:rPr>
          <w:rFonts w:cs="Times New Roman"/>
        </w:rPr>
        <w:t xml:space="preserve"> Supply Chain</w:t>
      </w:r>
    </w:p>
    <w:p w14:paraId="69A6D66A" w14:textId="17A76615" w:rsidR="006E6EDE" w:rsidRPr="002F383C" w:rsidRDefault="006E6EDE" w:rsidP="00D23C43">
      <w:pPr>
        <w:spacing w:before="240" w:after="240"/>
        <w:rPr>
          <w:rFonts w:cs="Times New Roman"/>
        </w:rPr>
      </w:pPr>
      <w:r w:rsidRPr="002F383C">
        <w:rPr>
          <w:rFonts w:cs="Times New Roman"/>
        </w:rPr>
        <w:t>SCR</w:t>
      </w:r>
      <w:r w:rsidR="003A6689" w:rsidRPr="002F383C">
        <w:rPr>
          <w:rFonts w:cs="Times New Roman"/>
        </w:rPr>
        <w:t>-</w:t>
      </w:r>
      <w:r w:rsidRPr="002F383C">
        <w:rPr>
          <w:rFonts w:cs="Times New Roman"/>
        </w:rPr>
        <w:t xml:space="preserve"> Supply Chain Resilience</w:t>
      </w:r>
    </w:p>
    <w:p w14:paraId="407C8357" w14:textId="0ED6B0B0" w:rsidR="006E6EDE" w:rsidRPr="002F383C" w:rsidRDefault="006E6EDE" w:rsidP="00D23C43">
      <w:pPr>
        <w:spacing w:before="240" w:after="240"/>
        <w:rPr>
          <w:rFonts w:cs="Times New Roman"/>
        </w:rPr>
      </w:pPr>
      <w:r w:rsidRPr="002F383C">
        <w:rPr>
          <w:rFonts w:cs="Times New Roman"/>
        </w:rPr>
        <w:t>SMEs</w:t>
      </w:r>
      <w:r w:rsidR="003A6689" w:rsidRPr="002F383C">
        <w:rPr>
          <w:rFonts w:cs="Times New Roman"/>
        </w:rPr>
        <w:t>-</w:t>
      </w:r>
      <w:r w:rsidRPr="002F383C">
        <w:rPr>
          <w:rFonts w:cs="Times New Roman"/>
        </w:rPr>
        <w:t xml:space="preserve"> Small and Medium-sized Enterprises</w:t>
      </w:r>
    </w:p>
    <w:p w14:paraId="03C76A7D" w14:textId="3CE87C70" w:rsidR="006E6EDE" w:rsidRPr="002F383C" w:rsidRDefault="006E6EDE" w:rsidP="00D23C43">
      <w:pPr>
        <w:spacing w:before="240" w:after="240"/>
        <w:rPr>
          <w:rFonts w:cs="Times New Roman"/>
        </w:rPr>
      </w:pPr>
      <w:r w:rsidRPr="002F383C">
        <w:rPr>
          <w:rFonts w:cs="Times New Roman"/>
        </w:rPr>
        <w:t>UK</w:t>
      </w:r>
      <w:r w:rsidR="003A6689" w:rsidRPr="002F383C">
        <w:rPr>
          <w:rFonts w:cs="Times New Roman"/>
        </w:rPr>
        <w:t>-</w:t>
      </w:r>
      <w:r w:rsidRPr="002F383C">
        <w:rPr>
          <w:rFonts w:cs="Times New Roman"/>
        </w:rPr>
        <w:t xml:space="preserve"> United Kingdom</w:t>
      </w:r>
    </w:p>
    <w:p w14:paraId="0DAF6802" w14:textId="538AD3C9" w:rsidR="00CE0D9F" w:rsidRPr="002F383C" w:rsidRDefault="006E6EDE" w:rsidP="00D23C43">
      <w:pPr>
        <w:spacing w:before="240" w:after="240"/>
        <w:rPr>
          <w:rFonts w:cs="Times New Roman"/>
        </w:rPr>
      </w:pPr>
      <w:r w:rsidRPr="002F383C">
        <w:rPr>
          <w:rFonts w:cs="Times New Roman"/>
        </w:rPr>
        <w:t>UKFSR</w:t>
      </w:r>
      <w:r w:rsidR="003A6689" w:rsidRPr="002F383C">
        <w:rPr>
          <w:rFonts w:cs="Times New Roman"/>
        </w:rPr>
        <w:t>-</w:t>
      </w:r>
      <w:r w:rsidRPr="002F383C">
        <w:rPr>
          <w:rFonts w:cs="Times New Roman"/>
        </w:rPr>
        <w:t xml:space="preserve"> United Kingdom Food Security Report</w:t>
      </w:r>
    </w:p>
    <w:p w14:paraId="31E41DED" w14:textId="3A78970D" w:rsidR="00545E81" w:rsidRPr="002F383C" w:rsidRDefault="00C22EA8" w:rsidP="00D23C43">
      <w:pPr>
        <w:pStyle w:val="Heading1"/>
        <w:spacing w:before="240" w:after="240"/>
        <w:rPr>
          <w:rFonts w:cs="Times New Roman"/>
          <w:szCs w:val="24"/>
        </w:rPr>
      </w:pPr>
      <w:r w:rsidRPr="002F383C">
        <w:rPr>
          <w:rFonts w:cs="Times New Roman"/>
          <w:szCs w:val="24"/>
        </w:rPr>
        <w:br w:type="page"/>
      </w:r>
      <w:bookmarkStart w:id="4" w:name="_Toc241252003"/>
      <w:bookmarkStart w:id="5" w:name="_Toc237877882"/>
      <w:bookmarkStart w:id="6" w:name="_Toc240316920"/>
      <w:r w:rsidR="00545E81" w:rsidRPr="002F383C">
        <w:rPr>
          <w:rFonts w:cs="Times New Roman"/>
          <w:szCs w:val="24"/>
        </w:rPr>
        <w:t>Chapter 1: Introduction</w:t>
      </w:r>
      <w:bookmarkEnd w:id="4"/>
    </w:p>
    <w:p w14:paraId="23C184B0" w14:textId="3D2222C1" w:rsidR="00545E81" w:rsidRPr="002F383C" w:rsidRDefault="00545E81" w:rsidP="00D23C43">
      <w:pPr>
        <w:pStyle w:val="Heading2"/>
        <w:numPr>
          <w:ilvl w:val="1"/>
          <w:numId w:val="3"/>
        </w:numPr>
        <w:spacing w:before="240" w:after="240"/>
        <w:rPr>
          <w:rFonts w:cs="Times New Roman"/>
          <w:szCs w:val="24"/>
        </w:rPr>
      </w:pPr>
      <w:bookmarkStart w:id="7" w:name="_Toc241252004"/>
      <w:r w:rsidRPr="002F383C">
        <w:rPr>
          <w:rFonts w:cs="Times New Roman"/>
          <w:szCs w:val="24"/>
        </w:rPr>
        <w:t>Research Background</w:t>
      </w:r>
      <w:bookmarkEnd w:id="7"/>
    </w:p>
    <w:p w14:paraId="5D0CE2C4" w14:textId="174E9EDF" w:rsidR="004E0E6D" w:rsidRPr="002F383C" w:rsidRDefault="00DE000B" w:rsidP="00D23C43">
      <w:pPr>
        <w:spacing w:before="240" w:after="240"/>
        <w:rPr>
          <w:rFonts w:cs="Times New Roman"/>
        </w:rPr>
      </w:pPr>
      <w:r w:rsidRPr="002F383C">
        <w:rPr>
          <w:rFonts w:cs="Times New Roman"/>
        </w:rPr>
        <w:t xml:space="preserve">The UK food manufacturing sector plays an important role in the UK manufacturing economy and is embedded in a broad global supply and trading chain. </w:t>
      </w:r>
      <w:r w:rsidR="002044F9" w:rsidRPr="002F383C">
        <w:rPr>
          <w:rFonts w:cs="Times New Roman"/>
        </w:rPr>
        <w:t>In 2023,</w:t>
      </w:r>
      <w:r w:rsidR="00E10344" w:rsidRPr="002F383C">
        <w:rPr>
          <w:rFonts w:cs="Times New Roman"/>
        </w:rPr>
        <w:t xml:space="preserve"> </w:t>
      </w:r>
      <w:r w:rsidR="002044F9" w:rsidRPr="002F383C">
        <w:rPr>
          <w:rFonts w:cs="Times New Roman"/>
        </w:rPr>
        <w:t>economic activities created by the food and drink industry in the UK includ</w:t>
      </w:r>
      <w:r w:rsidR="00795679" w:rsidRPr="002F383C">
        <w:rPr>
          <w:rFonts w:cs="Times New Roman"/>
        </w:rPr>
        <w:t>e</w:t>
      </w:r>
      <w:r w:rsidR="00B62518" w:rsidRPr="002F383C">
        <w:rPr>
          <w:rFonts w:cs="Times New Roman"/>
        </w:rPr>
        <w:t>d</w:t>
      </w:r>
      <w:r w:rsidR="002044F9" w:rsidRPr="002F383C">
        <w:rPr>
          <w:rFonts w:cs="Times New Roman"/>
        </w:rPr>
        <w:t xml:space="preserve"> food and drink manufacturing with £37.1 billion, wholesaling worth £16.9 billion, retailing at £40.2 billion, and non-residential catering at £45.2 billion</w:t>
      </w:r>
      <w:r w:rsidR="00056C23" w:rsidRPr="002F383C">
        <w:rPr>
          <w:rFonts w:cs="Times New Roman"/>
        </w:rPr>
        <w:t xml:space="preserve"> (refer</w:t>
      </w:r>
      <w:r w:rsidR="00B62518" w:rsidRPr="002F383C">
        <w:rPr>
          <w:rFonts w:cs="Times New Roman"/>
        </w:rPr>
        <w:t xml:space="preserve"> </w:t>
      </w:r>
      <w:r w:rsidR="00056C23" w:rsidRPr="002F383C">
        <w:rPr>
          <w:rFonts w:cs="Times New Roman"/>
        </w:rPr>
        <w:t>to the figure below) (DEFRA, 2025</w:t>
      </w:r>
      <w:r w:rsidR="0030318C" w:rsidRPr="002F383C">
        <w:rPr>
          <w:rFonts w:cs="Times New Roman"/>
        </w:rPr>
        <w:t>a</w:t>
      </w:r>
      <w:r w:rsidR="00056C23" w:rsidRPr="002F383C">
        <w:rPr>
          <w:rFonts w:cs="Times New Roman"/>
        </w:rPr>
        <w:t>)</w:t>
      </w:r>
      <w:r w:rsidR="002044F9" w:rsidRPr="002F383C">
        <w:rPr>
          <w:rFonts w:cs="Times New Roman"/>
        </w:rPr>
        <w:t xml:space="preserve">. </w:t>
      </w:r>
      <w:r w:rsidR="00B62518" w:rsidRPr="002F383C">
        <w:rPr>
          <w:rFonts w:cs="Times New Roman"/>
        </w:rPr>
        <w:t>The v</w:t>
      </w:r>
      <w:r w:rsidR="002C4F16" w:rsidRPr="002F383C">
        <w:rPr>
          <w:rFonts w:cs="Times New Roman"/>
        </w:rPr>
        <w:t>alue of manufacturing production in the UK in 2025 was £452.0 billion, with food manufacturing contributing 22.9% of manufacturing production in the UK (ONS, 2026). However, there is still considerable export activity to the rest of the world. In 2025, the UK’s food and drink exports had a value of £25.7 billion, while imports totaled £67.8 billion</w:t>
      </w:r>
      <w:r w:rsidR="00BF552F" w:rsidRPr="002F383C">
        <w:rPr>
          <w:rFonts w:cs="Times New Roman"/>
        </w:rPr>
        <w:t xml:space="preserve"> </w:t>
      </w:r>
      <w:r w:rsidR="002C4F16" w:rsidRPr="002F383C">
        <w:rPr>
          <w:rFonts w:cs="Times New Roman"/>
        </w:rPr>
        <w:t>(DEFRA, 2026)</w:t>
      </w:r>
      <w:r w:rsidRPr="002F383C">
        <w:rPr>
          <w:rFonts w:cs="Times New Roman"/>
        </w:rPr>
        <w:t>. These numbers reflect the high levels of reliance of the sector on international commerce as well as international supply chains</w:t>
      </w:r>
      <w:r w:rsidR="004E0E6D" w:rsidRPr="002F383C">
        <w:rPr>
          <w:rFonts w:cs="Times New Roman"/>
        </w:rPr>
        <w:t>.</w:t>
      </w:r>
      <w:r w:rsidR="006A4BFE" w:rsidRPr="002F383C">
        <w:rPr>
          <w:rFonts w:cs="Times New Roman"/>
        </w:rPr>
        <w:t xml:space="preserve"> The industry is hence a major part of the manufacturing industry in the UK, with great links to international markets, considering that both the exports and imports of food and drink have a considerable value.</w:t>
      </w:r>
    </w:p>
    <w:p w14:paraId="255384A7" w14:textId="77777777" w:rsidR="00C23D49" w:rsidRPr="002F383C" w:rsidRDefault="00C23D49" w:rsidP="00D23C43">
      <w:pPr>
        <w:keepNext/>
        <w:spacing w:before="240" w:after="240"/>
        <w:jc w:val="center"/>
        <w:rPr>
          <w:rFonts w:cs="Times New Roman"/>
        </w:rPr>
      </w:pPr>
      <w:r w:rsidRPr="002F383C">
        <w:rPr>
          <w:rFonts w:cs="Times New Roman"/>
          <w:noProof/>
          <w:lang w:eastAsia="en-GB"/>
        </w:rPr>
        <w:drawing>
          <wp:inline distT="0" distB="0" distL="0" distR="0" wp14:anchorId="06DA44A5" wp14:editId="420A7008">
            <wp:extent cx="4354474" cy="2573079"/>
            <wp:effectExtent l="19050" t="19050" r="27305" b="17780"/>
            <wp:docPr id="953195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195250" name=""/>
                    <pic:cNvPicPr/>
                  </pic:nvPicPr>
                  <pic:blipFill>
                    <a:blip r:embed="rId10"/>
                    <a:stretch>
                      <a:fillRect/>
                    </a:stretch>
                  </pic:blipFill>
                  <pic:spPr>
                    <a:xfrm>
                      <a:off x="0" y="0"/>
                      <a:ext cx="4360798" cy="2576816"/>
                    </a:xfrm>
                    <a:prstGeom prst="rect">
                      <a:avLst/>
                    </a:prstGeom>
                    <a:ln>
                      <a:solidFill>
                        <a:schemeClr val="accent1"/>
                      </a:solidFill>
                    </a:ln>
                  </pic:spPr>
                </pic:pic>
              </a:graphicData>
            </a:graphic>
          </wp:inline>
        </w:drawing>
      </w:r>
    </w:p>
    <w:p w14:paraId="27F1D17B" w14:textId="05ED9027" w:rsidR="00C23D49" w:rsidRPr="002F383C" w:rsidRDefault="00C23D49" w:rsidP="00D23C43">
      <w:pPr>
        <w:pStyle w:val="Caption"/>
        <w:spacing w:before="240" w:after="240" w:line="360" w:lineRule="auto"/>
        <w:jc w:val="center"/>
        <w:rPr>
          <w:rFonts w:cs="Times New Roman"/>
          <w:szCs w:val="24"/>
        </w:rPr>
      </w:pPr>
      <w:bookmarkStart w:id="8" w:name="_Toc240471237"/>
      <w:r w:rsidRPr="002F383C">
        <w:rPr>
          <w:rFonts w:cs="Times New Roman"/>
          <w:szCs w:val="24"/>
        </w:rPr>
        <w:t xml:space="preserve">Figure </w:t>
      </w:r>
      <w:r w:rsidRPr="002F383C">
        <w:rPr>
          <w:rFonts w:cs="Times New Roman"/>
          <w:szCs w:val="24"/>
        </w:rPr>
        <w:fldChar w:fldCharType="begin"/>
      </w:r>
      <w:r w:rsidRPr="002F383C">
        <w:rPr>
          <w:rFonts w:cs="Times New Roman"/>
          <w:szCs w:val="24"/>
        </w:rPr>
        <w:instrText xml:space="preserve"> SEQ Figure \* ARABIC </w:instrText>
      </w:r>
      <w:r w:rsidRPr="002F383C">
        <w:rPr>
          <w:rFonts w:cs="Times New Roman"/>
          <w:szCs w:val="24"/>
        </w:rPr>
        <w:fldChar w:fldCharType="separate"/>
      </w:r>
      <w:r w:rsidRPr="002F383C">
        <w:rPr>
          <w:rFonts w:cs="Times New Roman"/>
          <w:noProof/>
          <w:szCs w:val="24"/>
        </w:rPr>
        <w:t>1</w:t>
      </w:r>
      <w:r w:rsidRPr="002F383C">
        <w:rPr>
          <w:rFonts w:cs="Times New Roman"/>
          <w:szCs w:val="24"/>
        </w:rPr>
        <w:fldChar w:fldCharType="end"/>
      </w:r>
      <w:r w:rsidRPr="002F383C">
        <w:rPr>
          <w:rFonts w:cs="Times New Roman"/>
          <w:szCs w:val="24"/>
        </w:rPr>
        <w:t xml:space="preserve">: </w:t>
      </w:r>
      <w:r w:rsidR="00C9581F" w:rsidRPr="002F383C">
        <w:rPr>
          <w:rFonts w:cs="Times New Roman"/>
          <w:szCs w:val="24"/>
        </w:rPr>
        <w:t>GVA of the UK food sector 2023</w:t>
      </w:r>
      <w:bookmarkEnd w:id="8"/>
    </w:p>
    <w:p w14:paraId="2996FA6E" w14:textId="3E318443" w:rsidR="00C9581F" w:rsidRPr="002F383C" w:rsidRDefault="00C9581F" w:rsidP="00D23C43">
      <w:pPr>
        <w:spacing w:before="240" w:after="240"/>
        <w:jc w:val="center"/>
        <w:rPr>
          <w:rFonts w:cs="Times New Roman"/>
          <w:b/>
          <w:bCs/>
          <w:i/>
          <w:iCs/>
        </w:rPr>
      </w:pPr>
      <w:r w:rsidRPr="002F383C">
        <w:rPr>
          <w:rFonts w:cs="Times New Roman"/>
          <w:b/>
          <w:bCs/>
          <w:i/>
          <w:iCs/>
        </w:rPr>
        <w:t>(Source: DEFRA, 2025</w:t>
      </w:r>
      <w:r w:rsidR="0030318C" w:rsidRPr="002F383C">
        <w:rPr>
          <w:rFonts w:cs="Times New Roman"/>
          <w:b/>
          <w:bCs/>
          <w:i/>
          <w:iCs/>
        </w:rPr>
        <w:t>a</w:t>
      </w:r>
      <w:r w:rsidRPr="002F383C">
        <w:rPr>
          <w:rFonts w:cs="Times New Roman"/>
          <w:b/>
          <w:bCs/>
          <w:i/>
          <w:iCs/>
        </w:rPr>
        <w:t>)</w:t>
      </w:r>
    </w:p>
    <w:p w14:paraId="6E5C9875" w14:textId="6E7CA66A" w:rsidR="004E0E6D" w:rsidRPr="002F383C" w:rsidRDefault="005E77A1" w:rsidP="00D23C43">
      <w:pPr>
        <w:spacing w:before="240" w:after="240"/>
        <w:rPr>
          <w:rFonts w:cs="Times New Roman"/>
        </w:rPr>
      </w:pPr>
      <w:r w:rsidRPr="002F383C">
        <w:rPr>
          <w:rFonts w:cs="Times New Roman"/>
        </w:rPr>
        <w:t>Food manufacturers may experience an expansion in the number of suppliers, logistics providers, distributors</w:t>
      </w:r>
      <w:r w:rsidR="00B62518" w:rsidRPr="002F383C">
        <w:rPr>
          <w:rFonts w:cs="Times New Roman"/>
        </w:rPr>
        <w:t>,</w:t>
      </w:r>
      <w:r w:rsidRPr="002F383C">
        <w:rPr>
          <w:rFonts w:cs="Times New Roman"/>
        </w:rPr>
        <w:t xml:space="preserve"> and regulatory relationships if they expand internationally. Food products can also have short shelf lives, quality standards and temperature-sensitive transportation systems, which may cause them to be sensitive to delays or interruptions. Agricultural inputs, labour, energy, water, transport, imports and business infrastructure are all interconnected elements of the UK food supply chain</w:t>
      </w:r>
      <w:r w:rsidR="0030318C" w:rsidRPr="002F383C">
        <w:rPr>
          <w:rFonts w:cs="Times New Roman"/>
        </w:rPr>
        <w:t xml:space="preserve"> (DEFRA, 2025b)</w:t>
      </w:r>
      <w:r w:rsidRPr="002F383C">
        <w:rPr>
          <w:rFonts w:cs="Times New Roman"/>
        </w:rPr>
        <w:t>. Robustness, diversity and adaptability are highlighted as crucial attributes for mitigating supply chain shocks and stresses in the report. I</w:t>
      </w:r>
      <w:r w:rsidR="00781EC5" w:rsidRPr="002F383C">
        <w:rPr>
          <w:rFonts w:cs="Times New Roman"/>
        </w:rPr>
        <w:t>t has been further</w:t>
      </w:r>
      <w:r w:rsidRPr="002F383C">
        <w:rPr>
          <w:rFonts w:cs="Times New Roman"/>
        </w:rPr>
        <w:t xml:space="preserve"> identifie</w:t>
      </w:r>
      <w:r w:rsidR="00B62518" w:rsidRPr="002F383C">
        <w:rPr>
          <w:rFonts w:cs="Times New Roman"/>
        </w:rPr>
        <w:t>d</w:t>
      </w:r>
      <w:r w:rsidRPr="002F383C">
        <w:rPr>
          <w:rFonts w:cs="Times New Roman"/>
        </w:rPr>
        <w:t xml:space="preserve"> that</w:t>
      </w:r>
      <w:r w:rsidR="009642E3" w:rsidRPr="002F383C">
        <w:rPr>
          <w:rFonts w:cs="Times New Roman"/>
        </w:rPr>
        <w:t xml:space="preserve"> </w:t>
      </w:r>
      <w:r w:rsidRPr="002F383C">
        <w:rPr>
          <w:rFonts w:cs="Times New Roman"/>
        </w:rPr>
        <w:t>food businesses do not hold high stock levels</w:t>
      </w:r>
      <w:r w:rsidR="00B62518" w:rsidRPr="002F383C">
        <w:rPr>
          <w:rFonts w:cs="Times New Roman"/>
        </w:rPr>
        <w:t>,</w:t>
      </w:r>
      <w:r w:rsidRPr="002F383C">
        <w:rPr>
          <w:rFonts w:cs="Times New Roman"/>
        </w:rPr>
        <w:t xml:space="preserve"> and this needs to be delivered on time to ensure supply and minimise waste (DEFRA, 2024</w:t>
      </w:r>
      <w:r w:rsidR="00FB1578" w:rsidRPr="002F383C">
        <w:rPr>
          <w:rFonts w:cs="Times New Roman"/>
        </w:rPr>
        <w:t>a</w:t>
      </w:r>
      <w:r w:rsidR="004E0E6D" w:rsidRPr="002F383C">
        <w:rPr>
          <w:rFonts w:cs="Times New Roman"/>
        </w:rPr>
        <w:t>).</w:t>
      </w:r>
    </w:p>
    <w:p w14:paraId="6EB0C955" w14:textId="034B7E13" w:rsidR="004E0E6D" w:rsidRPr="002F383C" w:rsidRDefault="00695CE3" w:rsidP="00D23C43">
      <w:pPr>
        <w:spacing w:before="240" w:after="240"/>
        <w:rPr>
          <w:rFonts w:cs="Times New Roman"/>
        </w:rPr>
      </w:pPr>
      <w:r w:rsidRPr="002F383C">
        <w:rPr>
          <w:rFonts w:cs="Times New Roman"/>
        </w:rPr>
        <w:t>The issue of international dependency is also represented by the food supply status of the UK.</w:t>
      </w:r>
      <w:r w:rsidR="00046B82" w:rsidRPr="002F383C">
        <w:rPr>
          <w:rFonts w:cs="Times New Roman"/>
        </w:rPr>
        <w:t xml:space="preserve"> According to DEFRA</w:t>
      </w:r>
      <w:r w:rsidR="004B7C68" w:rsidRPr="002F383C">
        <w:rPr>
          <w:rFonts w:cs="Times New Roman"/>
        </w:rPr>
        <w:t>,</w:t>
      </w:r>
      <w:r w:rsidR="00046B82" w:rsidRPr="002F383C">
        <w:rPr>
          <w:rFonts w:cs="Times New Roman"/>
        </w:rPr>
        <w:t xml:space="preserve"> (2024</w:t>
      </w:r>
      <w:r w:rsidR="00FB1578" w:rsidRPr="002F383C">
        <w:rPr>
          <w:rFonts w:cs="Times New Roman"/>
        </w:rPr>
        <w:t>b</w:t>
      </w:r>
      <w:r w:rsidR="00046B82" w:rsidRPr="002F383C">
        <w:rPr>
          <w:rFonts w:cs="Times New Roman"/>
        </w:rPr>
        <w:t>), about 42% of the food in the UK is sourced through international trade.</w:t>
      </w:r>
      <w:r w:rsidR="00103469" w:rsidRPr="002F383C">
        <w:rPr>
          <w:rFonts w:cs="Times New Roman"/>
        </w:rPr>
        <w:t xml:space="preserve"> This report </w:t>
      </w:r>
      <w:r w:rsidR="003670C4" w:rsidRPr="002F383C">
        <w:rPr>
          <w:rFonts w:cs="Times New Roman"/>
        </w:rPr>
        <w:t xml:space="preserve">further </w:t>
      </w:r>
      <w:r w:rsidR="00103469" w:rsidRPr="002F383C">
        <w:rPr>
          <w:rFonts w:cs="Times New Roman"/>
        </w:rPr>
        <w:t>highlights international interdependencies, single points of failure, and sources of concentration as some of the vulnerabilities. Supply chain disruptions caused by the COVID-19 pandemic</w:t>
      </w:r>
      <w:r w:rsidR="007C1346" w:rsidRPr="002F383C">
        <w:rPr>
          <w:rFonts w:cs="Times New Roman"/>
        </w:rPr>
        <w:t xml:space="preserve"> </w:t>
      </w:r>
      <w:r w:rsidR="00103469" w:rsidRPr="002F383C">
        <w:rPr>
          <w:rFonts w:cs="Times New Roman"/>
        </w:rPr>
        <w:t>and Russia’s invasion of Ukraine have been impacting the field of international trade, transport, and the ava</w:t>
      </w:r>
      <w:r w:rsidR="002D6392" w:rsidRPr="002F383C">
        <w:rPr>
          <w:rFonts w:cs="Times New Roman"/>
        </w:rPr>
        <w:t>ilability of inputs (DEFRA, 2025b</w:t>
      </w:r>
      <w:r w:rsidR="00103469" w:rsidRPr="002F383C">
        <w:rPr>
          <w:rFonts w:cs="Times New Roman"/>
        </w:rPr>
        <w:t>).</w:t>
      </w:r>
      <w:r w:rsidR="00F70DEA" w:rsidRPr="002F383C">
        <w:rPr>
          <w:rFonts w:cs="Times New Roman"/>
        </w:rPr>
        <w:t xml:space="preserve"> This clearly demonstrates the dependence of the </w:t>
      </w:r>
      <w:r w:rsidR="00252A35" w:rsidRPr="002F383C">
        <w:rPr>
          <w:rFonts w:cs="Times New Roman"/>
        </w:rPr>
        <w:t>UK</w:t>
      </w:r>
      <w:r w:rsidR="00F70DEA" w:rsidRPr="002F383C">
        <w:rPr>
          <w:rFonts w:cs="Times New Roman"/>
        </w:rPr>
        <w:t xml:space="preserve"> food industry on global logistics chains. This also demonstrates the fact that food supplies can be affected by events in other countries.</w:t>
      </w:r>
    </w:p>
    <w:p w14:paraId="5B76A50E" w14:textId="16275F7E" w:rsidR="001F2B79" w:rsidRPr="002F383C" w:rsidRDefault="00EA5024" w:rsidP="00D23C43">
      <w:pPr>
        <w:spacing w:before="240" w:after="240"/>
        <w:rPr>
          <w:rFonts w:cs="Times New Roman"/>
        </w:rPr>
      </w:pPr>
      <w:r w:rsidRPr="002F383C">
        <w:rPr>
          <w:rFonts w:cs="Times New Roman"/>
        </w:rPr>
        <w:t>Katsaliaki</w:t>
      </w:r>
      <w:r w:rsidR="005507AE" w:rsidRPr="002F383C">
        <w:rPr>
          <w:rFonts w:cs="Times New Roman"/>
        </w:rPr>
        <w:t>,</w:t>
      </w:r>
      <w:r w:rsidRPr="002F383C">
        <w:rPr>
          <w:rFonts w:cs="Times New Roman"/>
        </w:rPr>
        <w:t xml:space="preserve"> et al.</w:t>
      </w:r>
      <w:r w:rsidR="005507AE" w:rsidRPr="002F383C">
        <w:rPr>
          <w:rFonts w:cs="Times New Roman"/>
        </w:rPr>
        <w:t>,</w:t>
      </w:r>
      <w:r w:rsidRPr="002F383C">
        <w:rPr>
          <w:rFonts w:cs="Times New Roman"/>
        </w:rPr>
        <w:t xml:space="preserve"> (2022)</w:t>
      </w:r>
      <w:r w:rsidR="005507AE" w:rsidRPr="002F383C">
        <w:rPr>
          <w:rFonts w:cs="Times New Roman"/>
        </w:rPr>
        <w:t>,</w:t>
      </w:r>
      <w:r w:rsidRPr="002F383C">
        <w:rPr>
          <w:rFonts w:cs="Times New Roman"/>
        </w:rPr>
        <w:t xml:space="preserve"> </w:t>
      </w:r>
      <w:r w:rsidR="00B62518" w:rsidRPr="002F383C">
        <w:rPr>
          <w:rFonts w:cs="Times New Roman"/>
        </w:rPr>
        <w:t>highlight</w:t>
      </w:r>
      <w:r w:rsidR="008D0DE9" w:rsidRPr="002F383C">
        <w:rPr>
          <w:rFonts w:cs="Times New Roman"/>
        </w:rPr>
        <w:t>ed</w:t>
      </w:r>
      <w:r w:rsidR="003975BE" w:rsidRPr="002F383C">
        <w:rPr>
          <w:rFonts w:cs="Times New Roman"/>
        </w:rPr>
        <w:t xml:space="preserve"> </w:t>
      </w:r>
      <w:r w:rsidRPr="002F383C">
        <w:rPr>
          <w:rFonts w:cs="Times New Roman"/>
        </w:rPr>
        <w:t>that disruption types, supply chain design, recovery strategies and information technologies were the main research dimensions for</w:t>
      </w:r>
      <w:r w:rsidR="007D0757" w:rsidRPr="002F383C">
        <w:rPr>
          <w:rFonts w:cs="Times New Roman"/>
        </w:rPr>
        <w:t xml:space="preserve"> supply chain </w:t>
      </w:r>
      <w:r w:rsidRPr="002F383C">
        <w:rPr>
          <w:rFonts w:cs="Times New Roman"/>
        </w:rPr>
        <w:t>resilience. The</w:t>
      </w:r>
      <w:r w:rsidR="001F2B79" w:rsidRPr="002F383C">
        <w:rPr>
          <w:rFonts w:cs="Times New Roman"/>
        </w:rPr>
        <w:t xml:space="preserve"> study</w:t>
      </w:r>
      <w:r w:rsidRPr="002F383C">
        <w:rPr>
          <w:rFonts w:cs="Times New Roman"/>
        </w:rPr>
        <w:t xml:space="preserve"> additionally uncovered gaps in research around disruption management and resiliency strategies</w:t>
      </w:r>
      <w:r w:rsidR="004E0E6D" w:rsidRPr="002F383C">
        <w:rPr>
          <w:rFonts w:cs="Times New Roman"/>
        </w:rPr>
        <w:t xml:space="preserve">. </w:t>
      </w:r>
      <w:r w:rsidR="001F2B79" w:rsidRPr="002F383C">
        <w:rPr>
          <w:rFonts w:cs="Times New Roman"/>
        </w:rPr>
        <w:t>The concept of resilience is</w:t>
      </w:r>
      <w:r w:rsidR="00C44FB9" w:rsidRPr="002F383C">
        <w:rPr>
          <w:rFonts w:cs="Times New Roman"/>
        </w:rPr>
        <w:t xml:space="preserve"> further</w:t>
      </w:r>
      <w:r w:rsidR="001F2B79" w:rsidRPr="002F383C">
        <w:rPr>
          <w:rFonts w:cs="Times New Roman"/>
        </w:rPr>
        <w:t xml:space="preserve"> important when companies </w:t>
      </w:r>
      <w:r w:rsidR="00B62518" w:rsidRPr="002F383C">
        <w:rPr>
          <w:rFonts w:cs="Times New Roman"/>
        </w:rPr>
        <w:t xml:space="preserve">considers to </w:t>
      </w:r>
      <w:r w:rsidR="001F2B79" w:rsidRPr="002F383C">
        <w:rPr>
          <w:rFonts w:cs="Times New Roman"/>
        </w:rPr>
        <w:t>internationalise themselves</w:t>
      </w:r>
      <w:r w:rsidR="00AA0FE0" w:rsidRPr="002F383C">
        <w:rPr>
          <w:rFonts w:cs="Times New Roman"/>
        </w:rPr>
        <w:t>,</w:t>
      </w:r>
      <w:r w:rsidR="001F2B79" w:rsidRPr="002F383C">
        <w:rPr>
          <w:rFonts w:cs="Times New Roman"/>
        </w:rPr>
        <w:t xml:space="preserve"> as geographic expansion increases the complexity of the relationships and processes that must be coordinated</w:t>
      </w:r>
      <w:r w:rsidR="00FD4DFF" w:rsidRPr="002F383C">
        <w:rPr>
          <w:rFonts w:cs="Times New Roman"/>
        </w:rPr>
        <w:t xml:space="preserve"> (</w:t>
      </w:r>
      <w:r w:rsidR="00FD4DFF" w:rsidRPr="002F383C">
        <w:rPr>
          <w:rFonts w:cs="Times New Roman"/>
          <w:shd w:val="clear" w:color="auto" w:fill="FFFFFF"/>
        </w:rPr>
        <w:t>Kiessling, et al., 2024)</w:t>
      </w:r>
      <w:r w:rsidR="001F2B79" w:rsidRPr="002F383C">
        <w:rPr>
          <w:rFonts w:cs="Times New Roman"/>
        </w:rPr>
        <w:t>.</w:t>
      </w:r>
      <w:r w:rsidR="0082755C" w:rsidRPr="002F383C">
        <w:rPr>
          <w:rFonts w:cs="Times New Roman"/>
        </w:rPr>
        <w:t xml:space="preserve"> An organi</w:t>
      </w:r>
      <w:r w:rsidR="00FB5305" w:rsidRPr="002F383C">
        <w:rPr>
          <w:rFonts w:cs="Times New Roman"/>
        </w:rPr>
        <w:t>s</w:t>
      </w:r>
      <w:r w:rsidR="0082755C" w:rsidRPr="002F383C">
        <w:rPr>
          <w:rFonts w:cs="Times New Roman"/>
        </w:rPr>
        <w:t xml:space="preserve">ation that enters a new market would have to develop new supplier relations, logistics, distribution, and compliance. The ability to </w:t>
      </w:r>
      <w:r w:rsidR="00EE01D2" w:rsidRPr="002F383C">
        <w:rPr>
          <w:rFonts w:cs="Times New Roman"/>
        </w:rPr>
        <w:t>predict</w:t>
      </w:r>
      <w:r w:rsidR="0082755C" w:rsidRPr="002F383C">
        <w:rPr>
          <w:rFonts w:cs="Times New Roman"/>
        </w:rPr>
        <w:t xml:space="preserve"> possible disruptions, visibility of supply operations, cooperation with supply chain stakeholders, and reconfiguration of sourcing and logistics may have an impact on the efficiency of operations in international markets</w:t>
      </w:r>
      <w:r w:rsidR="00A26FF3" w:rsidRPr="002F383C">
        <w:rPr>
          <w:rFonts w:cs="Times New Roman"/>
        </w:rPr>
        <w:t xml:space="preserve"> (</w:t>
      </w:r>
      <w:r w:rsidR="00A26FF3" w:rsidRPr="002F383C">
        <w:rPr>
          <w:rFonts w:cs="Times New Roman"/>
          <w:shd w:val="clear" w:color="auto" w:fill="FFFFFF"/>
        </w:rPr>
        <w:t>Ike, et al., 2021)</w:t>
      </w:r>
      <w:r w:rsidR="0082755C" w:rsidRPr="002F383C">
        <w:rPr>
          <w:rFonts w:cs="Times New Roman"/>
        </w:rPr>
        <w:t>.</w:t>
      </w:r>
      <w:r w:rsidR="00852F56" w:rsidRPr="002F383C">
        <w:rPr>
          <w:rFonts w:cs="Times New Roman"/>
        </w:rPr>
        <w:t xml:space="preserve"> </w:t>
      </w:r>
      <w:r w:rsidR="00A26FF3" w:rsidRPr="002F383C">
        <w:rPr>
          <w:rFonts w:cs="Times New Roman"/>
        </w:rPr>
        <w:t>Similar</w:t>
      </w:r>
      <w:r w:rsidR="00AA0FE0" w:rsidRPr="002F383C">
        <w:rPr>
          <w:rFonts w:cs="Times New Roman"/>
        </w:rPr>
        <w:t>l</w:t>
      </w:r>
      <w:r w:rsidR="00A26FF3" w:rsidRPr="002F383C">
        <w:rPr>
          <w:rFonts w:cs="Times New Roman"/>
        </w:rPr>
        <w:t>y, i</w:t>
      </w:r>
      <w:r w:rsidR="00852F56" w:rsidRPr="002F383C">
        <w:rPr>
          <w:rFonts w:cs="Times New Roman"/>
        </w:rPr>
        <w:t>t has been analysed that digital transformation can improve the resilience of the supply chain through improved transparency and organi</w:t>
      </w:r>
      <w:r w:rsidR="004764DD" w:rsidRPr="002F383C">
        <w:rPr>
          <w:rFonts w:cs="Times New Roman"/>
        </w:rPr>
        <w:t>s</w:t>
      </w:r>
      <w:r w:rsidR="00852F56" w:rsidRPr="002F383C">
        <w:rPr>
          <w:rFonts w:cs="Times New Roman"/>
        </w:rPr>
        <w:t>ational adaptability</w:t>
      </w:r>
      <w:r w:rsidR="000C23AD" w:rsidRPr="002F383C">
        <w:rPr>
          <w:rFonts w:cs="Times New Roman"/>
        </w:rPr>
        <w:t xml:space="preserve"> (</w:t>
      </w:r>
      <w:r w:rsidR="000C23AD" w:rsidRPr="002F383C">
        <w:rPr>
          <w:rFonts w:cs="Times New Roman"/>
          <w:shd w:val="clear" w:color="auto" w:fill="FFFFFF"/>
        </w:rPr>
        <w:t>Li, et al., 2025)</w:t>
      </w:r>
      <w:r w:rsidR="00852F56" w:rsidRPr="002F383C">
        <w:rPr>
          <w:rFonts w:cs="Times New Roman"/>
        </w:rPr>
        <w:t>.</w:t>
      </w:r>
    </w:p>
    <w:p w14:paraId="6EE75E86" w14:textId="3BD0E8CA" w:rsidR="00DB5E01" w:rsidRPr="002F383C" w:rsidRDefault="006E18AC" w:rsidP="00D23C43">
      <w:pPr>
        <w:spacing w:before="240" w:after="240"/>
        <w:rPr>
          <w:rFonts w:cs="Times New Roman"/>
        </w:rPr>
      </w:pPr>
      <w:r w:rsidRPr="002F383C">
        <w:rPr>
          <w:rFonts w:cs="Times New Roman"/>
        </w:rPr>
        <w:t xml:space="preserve">For UK food companies that are seeking to expand into international markets, these results are relevant because entering international markets requires new supply chain relationships. </w:t>
      </w:r>
      <w:r w:rsidR="00AB322B" w:rsidRPr="002F383C">
        <w:rPr>
          <w:rFonts w:cs="Times New Roman"/>
        </w:rPr>
        <w:t>Brexit has also had an impact on the trading and regulatory framework in the UK, which has led to an increased demand for companies operating in both European and international markets (Lingham</w:t>
      </w:r>
      <w:r w:rsidR="007F1DBF" w:rsidRPr="002F383C">
        <w:rPr>
          <w:rFonts w:cs="Times New Roman"/>
        </w:rPr>
        <w:t>,</w:t>
      </w:r>
      <w:r w:rsidR="00AB322B" w:rsidRPr="002F383C">
        <w:rPr>
          <w:rFonts w:cs="Times New Roman"/>
        </w:rPr>
        <w:t xml:space="preserve"> et al., 2025). </w:t>
      </w:r>
      <w:r w:rsidR="005F0ED0" w:rsidRPr="002F383C">
        <w:rPr>
          <w:rFonts w:cs="Times New Roman"/>
        </w:rPr>
        <w:t>High exposure to international trade, low equity holdings, concentration risks, and supply chain complexity thus become the background for analy</w:t>
      </w:r>
      <w:r w:rsidR="00E91428" w:rsidRPr="002F383C">
        <w:rPr>
          <w:rFonts w:cs="Times New Roman"/>
        </w:rPr>
        <w:t>s</w:t>
      </w:r>
      <w:r w:rsidR="005F0ED0" w:rsidRPr="002F383C">
        <w:rPr>
          <w:rFonts w:cs="Times New Roman"/>
        </w:rPr>
        <w:t xml:space="preserve">ing the role of resilience capabilities in </w:t>
      </w:r>
      <w:r w:rsidR="004764DD" w:rsidRPr="002F383C">
        <w:rPr>
          <w:rFonts w:cs="Times New Roman"/>
        </w:rPr>
        <w:t xml:space="preserve">the </w:t>
      </w:r>
      <w:r w:rsidR="005F0ED0" w:rsidRPr="002F383C">
        <w:rPr>
          <w:rFonts w:cs="Times New Roman"/>
        </w:rPr>
        <w:t>international growth of UK food manufacturing firms.</w:t>
      </w:r>
    </w:p>
    <w:p w14:paraId="3E6A3472" w14:textId="77777777" w:rsidR="00332D73" w:rsidRPr="002F383C" w:rsidRDefault="00545E81" w:rsidP="00D23C43">
      <w:pPr>
        <w:pStyle w:val="Heading2"/>
        <w:spacing w:before="240" w:after="240"/>
        <w:rPr>
          <w:rFonts w:cs="Times New Roman"/>
          <w:szCs w:val="24"/>
        </w:rPr>
      </w:pPr>
      <w:bookmarkStart w:id="9" w:name="_Toc241252005"/>
      <w:r w:rsidRPr="002F383C">
        <w:rPr>
          <w:rFonts w:cs="Times New Roman"/>
          <w:szCs w:val="24"/>
        </w:rPr>
        <w:t>1.2 Research Problem</w:t>
      </w:r>
      <w:bookmarkEnd w:id="9"/>
      <w:r w:rsidRPr="002F383C">
        <w:rPr>
          <w:rFonts w:cs="Times New Roman"/>
          <w:szCs w:val="24"/>
        </w:rPr>
        <w:t xml:space="preserve"> </w:t>
      </w:r>
    </w:p>
    <w:p w14:paraId="70E26E98" w14:textId="195D2432" w:rsidR="00395EB1" w:rsidRPr="002F383C" w:rsidRDefault="00946913" w:rsidP="00D23C43">
      <w:pPr>
        <w:spacing w:before="240" w:after="240"/>
        <w:rPr>
          <w:rFonts w:cs="Times New Roman"/>
        </w:rPr>
      </w:pPr>
      <w:r w:rsidRPr="002F383C">
        <w:rPr>
          <w:rFonts w:cs="Times New Roman"/>
        </w:rPr>
        <w:t>In UK food manufacturing companies, the supply chain is highly interdependent and reliant on imports, which brings in a lot of exposure to supply chain disruption. By 2025, the value of food, feed and drink imports into the UK was worth £67.8 billion, while the value of exports was valued at £25.7 billion</w:t>
      </w:r>
      <w:r w:rsidR="00170A2E" w:rsidRPr="002F383C">
        <w:rPr>
          <w:rFonts w:cs="Times New Roman"/>
        </w:rPr>
        <w:t xml:space="preserve"> </w:t>
      </w:r>
      <w:r w:rsidRPr="002F383C">
        <w:rPr>
          <w:rFonts w:cs="Times New Roman"/>
        </w:rPr>
        <w:t xml:space="preserve">(DEFRA, 2026). Additionally, </w:t>
      </w:r>
      <w:r w:rsidR="00CE17FE" w:rsidRPr="002F383C">
        <w:rPr>
          <w:rFonts w:cs="Times New Roman"/>
        </w:rPr>
        <w:t xml:space="preserve">it has been observed that </w:t>
      </w:r>
      <w:r w:rsidRPr="002F383C">
        <w:rPr>
          <w:rFonts w:cs="Times New Roman"/>
        </w:rPr>
        <w:t>imports were recorded</w:t>
      </w:r>
      <w:r w:rsidR="00CF51C5" w:rsidRPr="002F383C">
        <w:rPr>
          <w:rFonts w:cs="Times New Roman"/>
        </w:rPr>
        <w:t xml:space="preserve"> as </w:t>
      </w:r>
      <w:r w:rsidRPr="002F383C">
        <w:rPr>
          <w:rFonts w:cs="Times New Roman"/>
        </w:rPr>
        <w:t xml:space="preserve">14% higher than </w:t>
      </w:r>
      <w:r w:rsidR="00FF4B6E" w:rsidRPr="002F383C">
        <w:rPr>
          <w:rFonts w:cs="Times New Roman"/>
        </w:rPr>
        <w:t xml:space="preserve">in </w:t>
      </w:r>
      <w:r w:rsidRPr="002F383C">
        <w:rPr>
          <w:rFonts w:cs="Times New Roman"/>
        </w:rPr>
        <w:t>201</w:t>
      </w:r>
      <w:r w:rsidR="007D74EF" w:rsidRPr="002F383C">
        <w:rPr>
          <w:rFonts w:cs="Times New Roman"/>
        </w:rPr>
        <w:t>8</w:t>
      </w:r>
      <w:r w:rsidRPr="002F383C">
        <w:rPr>
          <w:rFonts w:cs="Times New Roman"/>
        </w:rPr>
        <w:t xml:space="preserve"> (DEFRA, 2026). </w:t>
      </w:r>
      <w:r w:rsidR="004A297C" w:rsidRPr="002F383C">
        <w:rPr>
          <w:rFonts w:cs="Times New Roman"/>
        </w:rPr>
        <w:t xml:space="preserve"> </w:t>
      </w:r>
      <w:r w:rsidR="006312F2" w:rsidRPr="002F383C">
        <w:rPr>
          <w:rFonts w:cs="Times New Roman"/>
        </w:rPr>
        <w:t xml:space="preserve">These </w:t>
      </w:r>
      <w:r w:rsidR="004A297C" w:rsidRPr="002F383C">
        <w:rPr>
          <w:rFonts w:cs="Times New Roman"/>
        </w:rPr>
        <w:t>dependenc</w:t>
      </w:r>
      <w:r w:rsidR="00FF4B6E" w:rsidRPr="002F383C">
        <w:rPr>
          <w:rFonts w:cs="Times New Roman"/>
        </w:rPr>
        <w:t>ies make</w:t>
      </w:r>
      <w:r w:rsidR="004A297C" w:rsidRPr="002F383C">
        <w:rPr>
          <w:rFonts w:cs="Times New Roman"/>
        </w:rPr>
        <w:t xml:space="preserve"> manufacturers vulnerable to international suppliers, transportation systems, input supply</w:t>
      </w:r>
      <w:r w:rsidR="00FF4B6E" w:rsidRPr="002F383C">
        <w:rPr>
          <w:rFonts w:cs="Times New Roman"/>
        </w:rPr>
        <w:t>,</w:t>
      </w:r>
      <w:r w:rsidR="004A297C" w:rsidRPr="002F383C">
        <w:rPr>
          <w:rFonts w:cs="Times New Roman"/>
        </w:rPr>
        <w:t xml:space="preserve"> and disruptions between countries</w:t>
      </w:r>
      <w:r w:rsidRPr="002F383C">
        <w:rPr>
          <w:rFonts w:cs="Times New Roman"/>
        </w:rPr>
        <w:t xml:space="preserve">. This further emphasises the importance of this issue, as food manufacturing accounted for 22.9% of all product sales by UK manufacturers in 2025 (ONS, 2026). These risks can increase with the introduction of other markets, suppliers, </w:t>
      </w:r>
      <w:r w:rsidR="00FF4B6E" w:rsidRPr="002F383C">
        <w:rPr>
          <w:rFonts w:cs="Times New Roman"/>
        </w:rPr>
        <w:t xml:space="preserve">and </w:t>
      </w:r>
      <w:r w:rsidRPr="002F383C">
        <w:rPr>
          <w:rFonts w:cs="Times New Roman"/>
        </w:rPr>
        <w:t xml:space="preserve">regulatory and logistics complexities in the international expansion of firms. </w:t>
      </w:r>
      <w:r w:rsidR="00F62812" w:rsidRPr="002F383C">
        <w:rPr>
          <w:rFonts w:cs="Times New Roman"/>
        </w:rPr>
        <w:t>However, limited studies have examined how such capabilities help UK food manufacturers cope with these challenges in international expansion. Therefore, the</w:t>
      </w:r>
      <w:r w:rsidR="009E6ACE" w:rsidRPr="002F383C">
        <w:rPr>
          <w:rFonts w:cs="Times New Roman"/>
        </w:rPr>
        <w:t xml:space="preserve">re is </w:t>
      </w:r>
      <w:r w:rsidR="00FF4B6E" w:rsidRPr="002F383C">
        <w:rPr>
          <w:rFonts w:cs="Times New Roman"/>
        </w:rPr>
        <w:t xml:space="preserve">a </w:t>
      </w:r>
      <w:r w:rsidR="009E6ACE" w:rsidRPr="002F383C">
        <w:rPr>
          <w:rFonts w:cs="Times New Roman"/>
        </w:rPr>
        <w:t xml:space="preserve">need </w:t>
      </w:r>
      <w:r w:rsidR="00FF4B6E" w:rsidRPr="002F383C">
        <w:rPr>
          <w:rFonts w:cs="Times New Roman"/>
        </w:rPr>
        <w:t>to explore</w:t>
      </w:r>
      <w:r w:rsidR="009E6ACE" w:rsidRPr="002F383C">
        <w:rPr>
          <w:rFonts w:cs="Times New Roman"/>
        </w:rPr>
        <w:t xml:space="preserve"> the</w:t>
      </w:r>
      <w:r w:rsidR="00F62812" w:rsidRPr="002F383C">
        <w:rPr>
          <w:rFonts w:cs="Times New Roman"/>
        </w:rPr>
        <w:t xml:space="preserve"> relationship between supply chain resilience and international expansion </w:t>
      </w:r>
      <w:r w:rsidR="00833DCE" w:rsidRPr="002F383C">
        <w:rPr>
          <w:rFonts w:cs="Times New Roman"/>
        </w:rPr>
        <w:t>that has been</w:t>
      </w:r>
      <w:r w:rsidR="00F62812" w:rsidRPr="002F383C">
        <w:rPr>
          <w:rFonts w:cs="Times New Roman"/>
        </w:rPr>
        <w:t xml:space="preserve"> insufficiently understood.</w:t>
      </w:r>
    </w:p>
    <w:p w14:paraId="520C28D5" w14:textId="4AB40868" w:rsidR="00545E81" w:rsidRPr="002F383C" w:rsidRDefault="00332D73" w:rsidP="00D23C43">
      <w:pPr>
        <w:pStyle w:val="Heading2"/>
        <w:spacing w:before="240" w:after="240"/>
        <w:rPr>
          <w:rFonts w:cs="Times New Roman"/>
          <w:szCs w:val="24"/>
        </w:rPr>
      </w:pPr>
      <w:bookmarkStart w:id="10" w:name="_Toc241252006"/>
      <w:r w:rsidRPr="002F383C">
        <w:rPr>
          <w:rFonts w:cs="Times New Roman"/>
          <w:szCs w:val="24"/>
        </w:rPr>
        <w:t xml:space="preserve">1.3 Research </w:t>
      </w:r>
      <w:r w:rsidR="00545E81" w:rsidRPr="002F383C">
        <w:rPr>
          <w:rFonts w:cs="Times New Roman"/>
          <w:szCs w:val="24"/>
        </w:rPr>
        <w:t>Rationale</w:t>
      </w:r>
      <w:bookmarkEnd w:id="10"/>
    </w:p>
    <w:p w14:paraId="70DE5388" w14:textId="3D4ECC81" w:rsidR="00D4367B" w:rsidRPr="002F383C" w:rsidRDefault="002411BA" w:rsidP="00D23C43">
      <w:pPr>
        <w:spacing w:before="240" w:after="240"/>
        <w:rPr>
          <w:rFonts w:cs="Times New Roman"/>
        </w:rPr>
      </w:pPr>
      <w:r w:rsidRPr="002F383C">
        <w:rPr>
          <w:rFonts w:cs="Times New Roman"/>
        </w:rPr>
        <w:t xml:space="preserve">The research is relevant because moving to overseas markets may lead to increased complexity and supply chain disruption for UK food manufacturing firms. </w:t>
      </w:r>
      <w:r w:rsidR="007554CC" w:rsidRPr="002F383C">
        <w:rPr>
          <w:rFonts w:cs="Times New Roman"/>
        </w:rPr>
        <w:t>Entry into foreign markets entails the management of suppliers, logistics channels, distribution networks, and regulations</w:t>
      </w:r>
      <w:r w:rsidR="00762798" w:rsidRPr="002F383C">
        <w:rPr>
          <w:rFonts w:cs="Times New Roman"/>
        </w:rPr>
        <w:t xml:space="preserve"> (</w:t>
      </w:r>
      <w:r w:rsidR="00762798" w:rsidRPr="002F383C">
        <w:rPr>
          <w:rFonts w:cs="Times New Roman"/>
          <w:shd w:val="clear" w:color="auto" w:fill="FFFFFF"/>
        </w:rPr>
        <w:t>Sharma and Klein, 2026)</w:t>
      </w:r>
      <w:r w:rsidR="007554CC" w:rsidRPr="002F383C">
        <w:rPr>
          <w:rFonts w:cs="Times New Roman"/>
        </w:rPr>
        <w:t xml:space="preserve">. </w:t>
      </w:r>
      <w:r w:rsidR="00E158B4" w:rsidRPr="002F383C">
        <w:rPr>
          <w:rFonts w:cs="Times New Roman"/>
        </w:rPr>
        <w:t>Considering this, r</w:t>
      </w:r>
      <w:r w:rsidR="007554CC" w:rsidRPr="002F383C">
        <w:rPr>
          <w:rFonts w:cs="Times New Roman"/>
        </w:rPr>
        <w:t xml:space="preserve">esilience becomes </w:t>
      </w:r>
      <w:r w:rsidR="00DF55F9" w:rsidRPr="002F383C">
        <w:rPr>
          <w:rFonts w:cs="Times New Roman"/>
        </w:rPr>
        <w:t>relevant</w:t>
      </w:r>
      <w:r w:rsidR="007554CC" w:rsidRPr="002F383C">
        <w:rPr>
          <w:rFonts w:cs="Times New Roman"/>
        </w:rPr>
        <w:t xml:space="preserve"> to the success </w:t>
      </w:r>
      <w:r w:rsidR="00FF4B6E" w:rsidRPr="002F383C">
        <w:rPr>
          <w:rFonts w:cs="Times New Roman"/>
        </w:rPr>
        <w:t>of a</w:t>
      </w:r>
      <w:r w:rsidR="007554CC" w:rsidRPr="002F383C">
        <w:rPr>
          <w:rFonts w:cs="Times New Roman"/>
        </w:rPr>
        <w:t xml:space="preserve"> firm </w:t>
      </w:r>
      <w:r w:rsidR="007B4104" w:rsidRPr="002F383C">
        <w:rPr>
          <w:rFonts w:cs="Times New Roman"/>
        </w:rPr>
        <w:t>operating</w:t>
      </w:r>
      <w:r w:rsidR="007554CC" w:rsidRPr="002F383C">
        <w:rPr>
          <w:rFonts w:cs="Times New Roman"/>
        </w:rPr>
        <w:t xml:space="preserve"> i</w:t>
      </w:r>
      <w:r w:rsidR="00FF4B6E" w:rsidRPr="002F383C">
        <w:rPr>
          <w:rFonts w:cs="Times New Roman"/>
        </w:rPr>
        <w:t>n</w:t>
      </w:r>
      <w:r w:rsidR="007554CC" w:rsidRPr="002F383C">
        <w:rPr>
          <w:rFonts w:cs="Times New Roman"/>
        </w:rPr>
        <w:t xml:space="preserve"> international </w:t>
      </w:r>
      <w:r w:rsidR="00FF4B6E" w:rsidRPr="002F383C">
        <w:rPr>
          <w:rFonts w:cs="Times New Roman"/>
        </w:rPr>
        <w:t>market</w:t>
      </w:r>
      <w:r w:rsidR="007554CC" w:rsidRPr="002F383C">
        <w:rPr>
          <w:rFonts w:cs="Times New Roman"/>
        </w:rPr>
        <w:t>s. This connection becomes extremely significant when there are potential disturbances that can impact production, supply, and international market operations.</w:t>
      </w:r>
      <w:r w:rsidR="00FF4B6E" w:rsidRPr="002F383C">
        <w:rPr>
          <w:rFonts w:cs="Times New Roman"/>
        </w:rPr>
        <w:t xml:space="preserve"> </w:t>
      </w:r>
      <w:r w:rsidR="00054C4D" w:rsidRPr="002F383C">
        <w:rPr>
          <w:rFonts w:cs="Times New Roman"/>
        </w:rPr>
        <w:t>The study is also relevant from an academic perspective as its content explores the interactions of supply chain resilience and internationalisation, and these have been studied relatively independently. There has been little discussion of the impact of resilience capabilities on international expansion in the UK food manufacturing se</w:t>
      </w:r>
      <w:r w:rsidR="00FF4B6E" w:rsidRPr="002F383C">
        <w:rPr>
          <w:rFonts w:cs="Times New Roman"/>
        </w:rPr>
        <w:t>ctor</w:t>
      </w:r>
      <w:r w:rsidR="00054C4D" w:rsidRPr="002F383C">
        <w:rPr>
          <w:rFonts w:cs="Times New Roman"/>
        </w:rPr>
        <w:t>. Therefore, studying this relationship can contribute to exploring the impact of managing supply chain uncertainty in the context of delivering and achieving growth overseas. The results may inform management to recognise the ability to be resilient to aspects of a company's expansion into international markets that could lead to increased sustainable and resilient development in such markets</w:t>
      </w:r>
      <w:r w:rsidR="004E0E6D" w:rsidRPr="002F383C">
        <w:rPr>
          <w:rFonts w:cs="Times New Roman"/>
        </w:rPr>
        <w:t>.</w:t>
      </w:r>
    </w:p>
    <w:p w14:paraId="37874580" w14:textId="35830874" w:rsidR="00545E81" w:rsidRPr="002F383C" w:rsidRDefault="00545E81" w:rsidP="00D23C43">
      <w:pPr>
        <w:pStyle w:val="Heading2"/>
        <w:spacing w:before="240" w:after="240"/>
        <w:rPr>
          <w:rFonts w:cs="Times New Roman"/>
          <w:szCs w:val="24"/>
        </w:rPr>
      </w:pPr>
      <w:bookmarkStart w:id="11" w:name="_Toc241252007"/>
      <w:r w:rsidRPr="002F383C">
        <w:rPr>
          <w:rFonts w:cs="Times New Roman"/>
          <w:szCs w:val="24"/>
        </w:rPr>
        <w:t>1.</w:t>
      </w:r>
      <w:r w:rsidR="00332D73" w:rsidRPr="002F383C">
        <w:rPr>
          <w:rFonts w:cs="Times New Roman"/>
          <w:szCs w:val="24"/>
        </w:rPr>
        <w:t>4</w:t>
      </w:r>
      <w:r w:rsidRPr="002F383C">
        <w:rPr>
          <w:rFonts w:cs="Times New Roman"/>
          <w:szCs w:val="24"/>
        </w:rPr>
        <w:t xml:space="preserve"> Research Aim and Objectives</w:t>
      </w:r>
      <w:bookmarkEnd w:id="11"/>
    </w:p>
    <w:p w14:paraId="3D15D8F2" w14:textId="325C3CCE" w:rsidR="00080513" w:rsidRPr="002F383C" w:rsidRDefault="006345DE" w:rsidP="00D23C43">
      <w:pPr>
        <w:pStyle w:val="Heading3"/>
        <w:spacing w:before="240" w:after="240"/>
        <w:rPr>
          <w:rFonts w:cs="Times New Roman"/>
          <w:szCs w:val="24"/>
        </w:rPr>
      </w:pPr>
      <w:bookmarkStart w:id="12" w:name="_Toc241252008"/>
      <w:r w:rsidRPr="002F383C">
        <w:rPr>
          <w:rFonts w:cs="Times New Roman"/>
          <w:szCs w:val="24"/>
        </w:rPr>
        <w:t xml:space="preserve">1.4.1 </w:t>
      </w:r>
      <w:r w:rsidR="00080513" w:rsidRPr="002F383C">
        <w:rPr>
          <w:rFonts w:cs="Times New Roman"/>
          <w:szCs w:val="24"/>
        </w:rPr>
        <w:t>Research Aim</w:t>
      </w:r>
      <w:bookmarkEnd w:id="12"/>
    </w:p>
    <w:p w14:paraId="0A309409" w14:textId="1374C3E5" w:rsidR="00080513" w:rsidRPr="002F383C" w:rsidRDefault="00080513" w:rsidP="00D23C43">
      <w:pPr>
        <w:spacing w:before="240" w:after="240"/>
        <w:rPr>
          <w:rFonts w:cs="Times New Roman"/>
        </w:rPr>
      </w:pPr>
      <w:r w:rsidRPr="002F383C">
        <w:rPr>
          <w:rFonts w:cs="Times New Roman"/>
        </w:rPr>
        <w:t>The research aim</w:t>
      </w:r>
      <w:r w:rsidR="00190CBE" w:rsidRPr="002F383C">
        <w:rPr>
          <w:rFonts w:cs="Times New Roman"/>
        </w:rPr>
        <w:t>s</w:t>
      </w:r>
      <w:r w:rsidRPr="002F383C">
        <w:rPr>
          <w:rFonts w:cs="Times New Roman"/>
        </w:rPr>
        <w:t xml:space="preserve"> to critically evaluate the role of supply chain resilience in supporting the international expansion of UK food manufacturing companies and identify strategies that can strengthen resilient international growth.</w:t>
      </w:r>
    </w:p>
    <w:p w14:paraId="04ABC1C3" w14:textId="4945735E" w:rsidR="00080513" w:rsidRPr="002F383C" w:rsidRDefault="00EC129C" w:rsidP="00D23C43">
      <w:pPr>
        <w:pStyle w:val="Heading3"/>
        <w:spacing w:before="240" w:after="240"/>
        <w:rPr>
          <w:rFonts w:cs="Times New Roman"/>
          <w:szCs w:val="24"/>
        </w:rPr>
      </w:pPr>
      <w:bookmarkStart w:id="13" w:name="_Toc241252009"/>
      <w:r w:rsidRPr="002F383C">
        <w:rPr>
          <w:rFonts w:cs="Times New Roman"/>
          <w:szCs w:val="24"/>
        </w:rPr>
        <w:t xml:space="preserve">1.4.2 </w:t>
      </w:r>
      <w:r w:rsidR="00080513" w:rsidRPr="002F383C">
        <w:rPr>
          <w:rFonts w:cs="Times New Roman"/>
          <w:szCs w:val="24"/>
        </w:rPr>
        <w:t>Research Objectives</w:t>
      </w:r>
      <w:bookmarkEnd w:id="13"/>
    </w:p>
    <w:p w14:paraId="4C351AEC" w14:textId="6F991B91" w:rsidR="00080513" w:rsidRPr="002F383C" w:rsidRDefault="00080513" w:rsidP="00D23C43">
      <w:pPr>
        <w:pStyle w:val="ListParagraph"/>
        <w:numPr>
          <w:ilvl w:val="0"/>
          <w:numId w:val="2"/>
        </w:numPr>
        <w:spacing w:before="240" w:after="240"/>
        <w:rPr>
          <w:rFonts w:cs="Times New Roman"/>
        </w:rPr>
      </w:pPr>
      <w:r w:rsidRPr="002F383C">
        <w:rPr>
          <w:rFonts w:cs="Times New Roman"/>
        </w:rPr>
        <w:t>To examine the concept of supply chain resilience and its relevance to the international expansion of UK food manufacturing companies</w:t>
      </w:r>
    </w:p>
    <w:p w14:paraId="2C56BBB5" w14:textId="2BA08575" w:rsidR="00080513" w:rsidRPr="002F383C" w:rsidRDefault="00080513" w:rsidP="00D23C43">
      <w:pPr>
        <w:pStyle w:val="ListParagraph"/>
        <w:numPr>
          <w:ilvl w:val="0"/>
          <w:numId w:val="2"/>
        </w:numPr>
        <w:spacing w:before="240" w:after="240"/>
        <w:rPr>
          <w:rFonts w:cs="Times New Roman"/>
        </w:rPr>
      </w:pPr>
      <w:r w:rsidRPr="002F383C">
        <w:rPr>
          <w:rFonts w:cs="Times New Roman"/>
        </w:rPr>
        <w:t>To analyse the key supply chain resilience capabilities that support UK food manufacturing companies in managing disruptions during international expansion</w:t>
      </w:r>
    </w:p>
    <w:p w14:paraId="166BDEC8" w14:textId="3BA5543A" w:rsidR="00080513" w:rsidRPr="002F383C" w:rsidRDefault="00080513" w:rsidP="00D23C43">
      <w:pPr>
        <w:pStyle w:val="ListParagraph"/>
        <w:numPr>
          <w:ilvl w:val="0"/>
          <w:numId w:val="2"/>
        </w:numPr>
        <w:spacing w:before="240" w:after="240"/>
        <w:rPr>
          <w:rFonts w:cs="Times New Roman"/>
        </w:rPr>
      </w:pPr>
      <w:r w:rsidRPr="002F383C">
        <w:rPr>
          <w:rFonts w:cs="Times New Roman"/>
        </w:rPr>
        <w:t>To evaluate how supply chain resilience influences international expansion decisions, including market selection, entry decisions and supply chain configuration</w:t>
      </w:r>
    </w:p>
    <w:p w14:paraId="434E51D5" w14:textId="59E913BF" w:rsidR="00080513" w:rsidRPr="002F383C" w:rsidRDefault="00080513" w:rsidP="00D23C43">
      <w:pPr>
        <w:pStyle w:val="ListParagraph"/>
        <w:numPr>
          <w:ilvl w:val="0"/>
          <w:numId w:val="2"/>
        </w:numPr>
        <w:spacing w:before="240" w:after="240"/>
        <w:rPr>
          <w:rFonts w:cs="Times New Roman"/>
        </w:rPr>
      </w:pPr>
      <w:r w:rsidRPr="002F383C">
        <w:rPr>
          <w:rFonts w:cs="Times New Roman"/>
        </w:rPr>
        <w:t>To assess the strategies used by UK food manufacturing companies to develop supply chain resilience and support sustainable international expansion</w:t>
      </w:r>
    </w:p>
    <w:p w14:paraId="2EA6348B" w14:textId="1466818F" w:rsidR="00080513" w:rsidRPr="002F383C" w:rsidRDefault="00080513" w:rsidP="00D23C43">
      <w:pPr>
        <w:pStyle w:val="ListParagraph"/>
        <w:numPr>
          <w:ilvl w:val="0"/>
          <w:numId w:val="2"/>
        </w:numPr>
        <w:spacing w:before="240" w:after="240"/>
        <w:rPr>
          <w:rFonts w:cs="Times New Roman"/>
        </w:rPr>
      </w:pPr>
      <w:r w:rsidRPr="002F383C">
        <w:rPr>
          <w:rFonts w:cs="Times New Roman"/>
        </w:rPr>
        <w:t xml:space="preserve">To provide </w:t>
      </w:r>
      <w:r w:rsidR="002A5742">
        <w:rPr>
          <w:rFonts w:cs="Times New Roman"/>
        </w:rPr>
        <w:t>evidence-based</w:t>
      </w:r>
      <w:r w:rsidRPr="002F383C">
        <w:rPr>
          <w:rFonts w:cs="Times New Roman"/>
        </w:rPr>
        <w:t xml:space="preserve"> recommendations for strengthening supply chain resilience and supporting the international expansion of UK food manufacturing companies</w:t>
      </w:r>
    </w:p>
    <w:p w14:paraId="119938D0" w14:textId="28B3BD23" w:rsidR="00545E81" w:rsidRPr="002F383C" w:rsidRDefault="00545E81" w:rsidP="00D23C43">
      <w:pPr>
        <w:pStyle w:val="Heading2"/>
        <w:spacing w:before="240" w:after="240"/>
        <w:rPr>
          <w:rFonts w:cs="Times New Roman"/>
          <w:szCs w:val="24"/>
        </w:rPr>
      </w:pPr>
      <w:bookmarkStart w:id="14" w:name="_Toc241252010"/>
      <w:r w:rsidRPr="002F383C">
        <w:rPr>
          <w:rFonts w:cs="Times New Roman"/>
          <w:szCs w:val="24"/>
        </w:rPr>
        <w:t>1.</w:t>
      </w:r>
      <w:r w:rsidR="00332D73" w:rsidRPr="002F383C">
        <w:rPr>
          <w:rFonts w:cs="Times New Roman"/>
          <w:szCs w:val="24"/>
        </w:rPr>
        <w:t>5</w:t>
      </w:r>
      <w:r w:rsidRPr="002F383C">
        <w:rPr>
          <w:rFonts w:cs="Times New Roman"/>
          <w:szCs w:val="24"/>
        </w:rPr>
        <w:t xml:space="preserve"> </w:t>
      </w:r>
      <w:r w:rsidR="00332D73" w:rsidRPr="002F383C">
        <w:rPr>
          <w:rFonts w:cs="Times New Roman"/>
          <w:szCs w:val="24"/>
        </w:rPr>
        <w:t>Research Question</w:t>
      </w:r>
      <w:bookmarkEnd w:id="14"/>
    </w:p>
    <w:p w14:paraId="26F9A66D" w14:textId="74A7E501" w:rsidR="004C7F19" w:rsidRPr="002F383C" w:rsidRDefault="004C7F19" w:rsidP="00D23C43">
      <w:pPr>
        <w:spacing w:before="240" w:after="240"/>
        <w:rPr>
          <w:rFonts w:cs="Times New Roman"/>
        </w:rPr>
      </w:pPr>
      <w:r w:rsidRPr="002F383C">
        <w:rPr>
          <w:rFonts w:cs="Times New Roman"/>
        </w:rPr>
        <w:t>What is the role of supply chain resilience in supporting the international expansion of UK food manufacturing companies?</w:t>
      </w:r>
    </w:p>
    <w:p w14:paraId="353EA67C" w14:textId="471062BF" w:rsidR="00545E81" w:rsidRPr="002F383C" w:rsidRDefault="00545E81" w:rsidP="00D23C43">
      <w:pPr>
        <w:pStyle w:val="Heading2"/>
        <w:spacing w:before="240" w:after="240"/>
        <w:rPr>
          <w:rFonts w:cs="Times New Roman"/>
          <w:szCs w:val="24"/>
        </w:rPr>
      </w:pPr>
      <w:bookmarkStart w:id="15" w:name="_Toc241252011"/>
      <w:r w:rsidRPr="002F383C">
        <w:rPr>
          <w:rFonts w:cs="Times New Roman"/>
          <w:szCs w:val="24"/>
        </w:rPr>
        <w:t>1.</w:t>
      </w:r>
      <w:r w:rsidR="00332D73" w:rsidRPr="002F383C">
        <w:rPr>
          <w:rFonts w:cs="Times New Roman"/>
          <w:szCs w:val="24"/>
        </w:rPr>
        <w:t>6</w:t>
      </w:r>
      <w:r w:rsidRPr="002F383C">
        <w:rPr>
          <w:rFonts w:cs="Times New Roman"/>
          <w:szCs w:val="24"/>
        </w:rPr>
        <w:t xml:space="preserve"> </w:t>
      </w:r>
      <w:r w:rsidR="00332D73" w:rsidRPr="002F383C">
        <w:rPr>
          <w:rFonts w:cs="Times New Roman"/>
          <w:szCs w:val="24"/>
        </w:rPr>
        <w:t>Research Significance</w:t>
      </w:r>
      <w:bookmarkEnd w:id="15"/>
      <w:r w:rsidR="00332D73" w:rsidRPr="002F383C">
        <w:rPr>
          <w:rFonts w:cs="Times New Roman"/>
          <w:szCs w:val="24"/>
        </w:rPr>
        <w:t xml:space="preserve"> </w:t>
      </w:r>
    </w:p>
    <w:p w14:paraId="35B7687B" w14:textId="283B762D" w:rsidR="004C118C" w:rsidRPr="002F383C" w:rsidRDefault="00D46B08" w:rsidP="00D23C43">
      <w:pPr>
        <w:spacing w:before="240" w:after="240"/>
        <w:rPr>
          <w:rFonts w:cs="Times New Roman"/>
        </w:rPr>
      </w:pPr>
      <w:r w:rsidRPr="002F383C">
        <w:rPr>
          <w:rFonts w:cs="Times New Roman"/>
        </w:rPr>
        <w:t xml:space="preserve">The research will have relevance to both academia and UK food manufacturing practice. Academically, the study comes to fill the gap between the existing research on supply chain resilience and international expansion research. </w:t>
      </w:r>
      <w:r w:rsidR="000E6632" w:rsidRPr="002F383C">
        <w:rPr>
          <w:rFonts w:cs="Times New Roman"/>
        </w:rPr>
        <w:t xml:space="preserve">There is ample existing research regarding disruption management and supply chain resilience, while studies on internationalisation focus on how organisations carry out operations in other countries. An analysis of all these factors </w:t>
      </w:r>
      <w:r w:rsidR="00646AD1" w:rsidRPr="002F383C">
        <w:rPr>
          <w:rFonts w:cs="Times New Roman"/>
        </w:rPr>
        <w:t xml:space="preserve">together </w:t>
      </w:r>
      <w:r w:rsidR="000E6632" w:rsidRPr="002F383C">
        <w:rPr>
          <w:rFonts w:cs="Times New Roman"/>
        </w:rPr>
        <w:t>lead</w:t>
      </w:r>
      <w:r w:rsidR="00B3350E" w:rsidRPr="002F383C">
        <w:rPr>
          <w:rFonts w:cs="Times New Roman"/>
        </w:rPr>
        <w:t>s</w:t>
      </w:r>
      <w:r w:rsidR="000E6632" w:rsidRPr="002F383C">
        <w:rPr>
          <w:rFonts w:cs="Times New Roman"/>
        </w:rPr>
        <w:t xml:space="preserve"> to a more refined understanding of the relationship between resilience capabilities and expansion decisions into international markets. </w:t>
      </w:r>
      <w:r w:rsidRPr="002F383C">
        <w:rPr>
          <w:rFonts w:cs="Times New Roman"/>
        </w:rPr>
        <w:t>The research can thus help in the development of this knowledge and focus not only on resilience as a reaction to operational disturbance but also on the strategic role of supply chain resilience</w:t>
      </w:r>
      <w:r w:rsidR="004C118C" w:rsidRPr="002F383C">
        <w:rPr>
          <w:rFonts w:cs="Times New Roman"/>
        </w:rPr>
        <w:t>.</w:t>
      </w:r>
    </w:p>
    <w:p w14:paraId="08F2BBB3" w14:textId="29815A0C" w:rsidR="00277ADD" w:rsidRPr="002F383C" w:rsidRDefault="006B6007" w:rsidP="00D23C43">
      <w:pPr>
        <w:spacing w:before="240" w:after="240"/>
        <w:rPr>
          <w:rFonts w:cs="Times New Roman"/>
        </w:rPr>
      </w:pPr>
      <w:r w:rsidRPr="002F383C">
        <w:rPr>
          <w:rFonts w:cs="Times New Roman"/>
        </w:rPr>
        <w:t xml:space="preserve">The research also has practical relevance for food manufacturing sector companies in the UK. </w:t>
      </w:r>
      <w:r w:rsidR="0064796E" w:rsidRPr="002F383C">
        <w:rPr>
          <w:rFonts w:cs="Times New Roman"/>
        </w:rPr>
        <w:t xml:space="preserve">Gaining insight into how such factors affect international expansion may help firms in considering supply chain resilience in their decision-making processes </w:t>
      </w:r>
      <w:r w:rsidR="00B3350E" w:rsidRPr="002F383C">
        <w:rPr>
          <w:rFonts w:cs="Times New Roman"/>
        </w:rPr>
        <w:t>with regard</w:t>
      </w:r>
      <w:r w:rsidR="0064796E" w:rsidRPr="002F383C">
        <w:rPr>
          <w:rFonts w:cs="Times New Roman"/>
        </w:rPr>
        <w:t xml:space="preserve"> to foreign markets and entry modes. </w:t>
      </w:r>
      <w:r w:rsidRPr="002F383C">
        <w:rPr>
          <w:rFonts w:cs="Times New Roman"/>
        </w:rPr>
        <w:t>The results can therefore guide managers in making decisions on strategies that will use international growth opportunities while minimi</w:t>
      </w:r>
      <w:r w:rsidR="00997DFC" w:rsidRPr="002F383C">
        <w:rPr>
          <w:rFonts w:cs="Times New Roman"/>
        </w:rPr>
        <w:t>si</w:t>
      </w:r>
      <w:r w:rsidRPr="002F383C">
        <w:rPr>
          <w:rFonts w:cs="Times New Roman"/>
        </w:rPr>
        <w:t>ng the operational risks of geographically dispersed supply networks</w:t>
      </w:r>
      <w:r w:rsidR="004C118C" w:rsidRPr="002F383C">
        <w:rPr>
          <w:rFonts w:cs="Times New Roman"/>
        </w:rPr>
        <w:t>.</w:t>
      </w:r>
    </w:p>
    <w:p w14:paraId="5ED87C1B" w14:textId="22FD2DA0" w:rsidR="00545E81" w:rsidRPr="002F383C" w:rsidRDefault="00545E81" w:rsidP="00D23C43">
      <w:pPr>
        <w:pStyle w:val="Heading2"/>
        <w:spacing w:before="240" w:after="240"/>
        <w:rPr>
          <w:rFonts w:cs="Times New Roman"/>
          <w:szCs w:val="24"/>
        </w:rPr>
      </w:pPr>
      <w:bookmarkStart w:id="16" w:name="_Toc241252012"/>
      <w:r w:rsidRPr="002F383C">
        <w:rPr>
          <w:rFonts w:cs="Times New Roman"/>
          <w:szCs w:val="24"/>
        </w:rPr>
        <w:t>1.</w:t>
      </w:r>
      <w:r w:rsidR="00332D73" w:rsidRPr="002F383C">
        <w:rPr>
          <w:rFonts w:cs="Times New Roman"/>
          <w:szCs w:val="24"/>
        </w:rPr>
        <w:t>7</w:t>
      </w:r>
      <w:r w:rsidRPr="002F383C">
        <w:rPr>
          <w:rFonts w:cs="Times New Roman"/>
          <w:szCs w:val="24"/>
        </w:rPr>
        <w:t xml:space="preserve"> Research Structure</w:t>
      </w:r>
      <w:bookmarkEnd w:id="16"/>
    </w:p>
    <w:p w14:paraId="0ABFA4C3" w14:textId="61126070" w:rsidR="00BC0CA9" w:rsidRPr="002F383C" w:rsidRDefault="00BC0CA9" w:rsidP="00D23C43">
      <w:pPr>
        <w:pStyle w:val="ListParagraph"/>
        <w:numPr>
          <w:ilvl w:val="0"/>
          <w:numId w:val="4"/>
        </w:numPr>
        <w:spacing w:before="240" w:after="240"/>
        <w:rPr>
          <w:rFonts w:cs="Times New Roman"/>
        </w:rPr>
      </w:pPr>
      <w:r w:rsidRPr="002F383C">
        <w:rPr>
          <w:rFonts w:cs="Times New Roman"/>
          <w:b/>
          <w:bCs/>
        </w:rPr>
        <w:t>Chapter 1: Introduction</w:t>
      </w:r>
      <w:r w:rsidR="00BD58DC" w:rsidRPr="002F383C">
        <w:rPr>
          <w:rFonts w:cs="Times New Roman"/>
          <w:b/>
          <w:bCs/>
        </w:rPr>
        <w:t>-</w:t>
      </w:r>
      <w:r w:rsidRPr="002F383C">
        <w:rPr>
          <w:rFonts w:cs="Times New Roman"/>
        </w:rPr>
        <w:t xml:space="preserve"> </w:t>
      </w:r>
      <w:r w:rsidR="00B70518" w:rsidRPr="002F383C">
        <w:rPr>
          <w:rFonts w:cs="Times New Roman"/>
        </w:rPr>
        <w:t xml:space="preserve">Covers </w:t>
      </w:r>
      <w:r w:rsidRPr="002F383C">
        <w:rPr>
          <w:rFonts w:cs="Times New Roman"/>
        </w:rPr>
        <w:t>the research background, problem, rationale, aim, objectives, research question</w:t>
      </w:r>
      <w:r w:rsidR="00B3350E" w:rsidRPr="002F383C">
        <w:rPr>
          <w:rFonts w:cs="Times New Roman"/>
        </w:rPr>
        <w:t>,</w:t>
      </w:r>
      <w:r w:rsidRPr="002F383C">
        <w:rPr>
          <w:rFonts w:cs="Times New Roman"/>
        </w:rPr>
        <w:t xml:space="preserve"> and significance.</w:t>
      </w:r>
    </w:p>
    <w:p w14:paraId="75207B98" w14:textId="44334A1E" w:rsidR="00BC0CA9" w:rsidRPr="002F383C" w:rsidRDefault="00BC0CA9" w:rsidP="00D23C43">
      <w:pPr>
        <w:pStyle w:val="ListParagraph"/>
        <w:numPr>
          <w:ilvl w:val="0"/>
          <w:numId w:val="4"/>
        </w:numPr>
        <w:spacing w:before="240" w:after="240"/>
        <w:rPr>
          <w:rFonts w:cs="Times New Roman"/>
        </w:rPr>
      </w:pPr>
      <w:r w:rsidRPr="002F383C">
        <w:rPr>
          <w:rFonts w:cs="Times New Roman"/>
          <w:b/>
          <w:bCs/>
        </w:rPr>
        <w:t>Chapter 2: Literature Review</w:t>
      </w:r>
      <w:r w:rsidR="00284611" w:rsidRPr="002F383C">
        <w:rPr>
          <w:rFonts w:cs="Times New Roman"/>
          <w:b/>
          <w:bCs/>
        </w:rPr>
        <w:t>-</w:t>
      </w:r>
      <w:r w:rsidR="00284611" w:rsidRPr="002F383C">
        <w:rPr>
          <w:rFonts w:cs="Times New Roman"/>
        </w:rPr>
        <w:t xml:space="preserve"> </w:t>
      </w:r>
      <w:r w:rsidRPr="002F383C">
        <w:rPr>
          <w:rFonts w:cs="Times New Roman"/>
        </w:rPr>
        <w:t>Critically examines existing literature on supply chain resilience and international expansion and develops the theoretical foundation of the study.</w:t>
      </w:r>
    </w:p>
    <w:p w14:paraId="7A325D3E" w14:textId="27180F5E" w:rsidR="00BC0CA9" w:rsidRPr="002F383C" w:rsidRDefault="00BC0CA9" w:rsidP="00D23C43">
      <w:pPr>
        <w:pStyle w:val="ListParagraph"/>
        <w:numPr>
          <w:ilvl w:val="0"/>
          <w:numId w:val="4"/>
        </w:numPr>
        <w:spacing w:before="240" w:after="240"/>
        <w:rPr>
          <w:rFonts w:cs="Times New Roman"/>
        </w:rPr>
      </w:pPr>
      <w:r w:rsidRPr="002F383C">
        <w:rPr>
          <w:rFonts w:cs="Times New Roman"/>
          <w:b/>
          <w:bCs/>
        </w:rPr>
        <w:t>Chapter 3: Research Methodology</w:t>
      </w:r>
      <w:r w:rsidR="00DD1AFF" w:rsidRPr="002F383C">
        <w:rPr>
          <w:rFonts w:cs="Times New Roman"/>
        </w:rPr>
        <w:t>- This ch</w:t>
      </w:r>
      <w:r w:rsidR="00D25D45" w:rsidRPr="002F383C">
        <w:rPr>
          <w:rFonts w:cs="Times New Roman"/>
        </w:rPr>
        <w:t>ap</w:t>
      </w:r>
      <w:r w:rsidR="00DD1AFF" w:rsidRPr="002F383C">
        <w:rPr>
          <w:rFonts w:cs="Times New Roman"/>
        </w:rPr>
        <w:t>ter</w:t>
      </w:r>
      <w:r w:rsidRPr="002F383C">
        <w:rPr>
          <w:rFonts w:cs="Times New Roman"/>
        </w:rPr>
        <w:t xml:space="preserve"> </w:t>
      </w:r>
      <w:r w:rsidR="00DD1AFF" w:rsidRPr="002F383C">
        <w:rPr>
          <w:rFonts w:cs="Times New Roman"/>
        </w:rPr>
        <w:t>e</w:t>
      </w:r>
      <w:r w:rsidRPr="002F383C">
        <w:rPr>
          <w:rFonts w:cs="Times New Roman"/>
        </w:rPr>
        <w:t>xplains the research philosophy, approach, secondary data method, source selection, thematic analysis</w:t>
      </w:r>
      <w:r w:rsidR="00B3350E" w:rsidRPr="002F383C">
        <w:rPr>
          <w:rFonts w:cs="Times New Roman"/>
        </w:rPr>
        <w:t>,</w:t>
      </w:r>
      <w:r w:rsidRPr="002F383C">
        <w:rPr>
          <w:rFonts w:cs="Times New Roman"/>
        </w:rPr>
        <w:t xml:space="preserve"> and ethical considerations.</w:t>
      </w:r>
    </w:p>
    <w:p w14:paraId="79300A6E" w14:textId="5E6B38C4" w:rsidR="00BC0CA9" w:rsidRPr="002F383C" w:rsidRDefault="00BC0CA9" w:rsidP="00D23C43">
      <w:pPr>
        <w:pStyle w:val="ListParagraph"/>
        <w:numPr>
          <w:ilvl w:val="0"/>
          <w:numId w:val="4"/>
        </w:numPr>
        <w:spacing w:before="240" w:after="240"/>
        <w:rPr>
          <w:rFonts w:cs="Times New Roman"/>
        </w:rPr>
      </w:pPr>
      <w:r w:rsidRPr="002F383C">
        <w:rPr>
          <w:rFonts w:cs="Times New Roman"/>
          <w:b/>
          <w:bCs/>
        </w:rPr>
        <w:t xml:space="preserve">Chapter 4: Findings </w:t>
      </w:r>
      <w:r w:rsidR="00DB1E95" w:rsidRPr="002F383C">
        <w:rPr>
          <w:rFonts w:cs="Times New Roman"/>
          <w:b/>
          <w:bCs/>
        </w:rPr>
        <w:t xml:space="preserve">and </w:t>
      </w:r>
      <w:r w:rsidR="00075A9D" w:rsidRPr="002F383C">
        <w:rPr>
          <w:rFonts w:cs="Times New Roman"/>
          <w:b/>
          <w:bCs/>
        </w:rPr>
        <w:t>Analysis</w:t>
      </w:r>
      <w:r w:rsidR="00735BE3" w:rsidRPr="002F383C">
        <w:rPr>
          <w:rFonts w:cs="Times New Roman"/>
        </w:rPr>
        <w:t>-</w:t>
      </w:r>
      <w:r w:rsidRPr="002F383C">
        <w:rPr>
          <w:rFonts w:cs="Times New Roman"/>
        </w:rPr>
        <w:t xml:space="preserve"> </w:t>
      </w:r>
      <w:r w:rsidR="00D167F1" w:rsidRPr="002F383C">
        <w:rPr>
          <w:rFonts w:cs="Times New Roman"/>
        </w:rPr>
        <w:t xml:space="preserve">This chapter presents </w:t>
      </w:r>
      <w:r w:rsidRPr="002F383C">
        <w:rPr>
          <w:rFonts w:cs="Times New Roman"/>
        </w:rPr>
        <w:t>the themes identified from the selected secondary evidence</w:t>
      </w:r>
      <w:r w:rsidR="00237A58" w:rsidRPr="002F383C">
        <w:rPr>
          <w:rFonts w:cs="Times New Roman"/>
        </w:rPr>
        <w:t xml:space="preserve"> and interprets th</w:t>
      </w:r>
      <w:r w:rsidR="00B3350E" w:rsidRPr="002F383C">
        <w:rPr>
          <w:rFonts w:cs="Times New Roman"/>
        </w:rPr>
        <w:t>em</w:t>
      </w:r>
      <w:r w:rsidRPr="002F383C">
        <w:rPr>
          <w:rFonts w:cs="Times New Roman"/>
        </w:rPr>
        <w:t>.</w:t>
      </w:r>
    </w:p>
    <w:p w14:paraId="62A3DAE4" w14:textId="5EAA27AD" w:rsidR="00075A9D" w:rsidRPr="002F383C" w:rsidRDefault="00075A9D" w:rsidP="00D23C43">
      <w:pPr>
        <w:pStyle w:val="ListParagraph"/>
        <w:numPr>
          <w:ilvl w:val="0"/>
          <w:numId w:val="4"/>
        </w:numPr>
        <w:spacing w:before="240" w:after="240"/>
        <w:rPr>
          <w:rFonts w:cs="Times New Roman"/>
        </w:rPr>
      </w:pPr>
      <w:r w:rsidRPr="002F383C">
        <w:rPr>
          <w:rFonts w:cs="Times New Roman"/>
          <w:b/>
          <w:bCs/>
        </w:rPr>
        <w:t>Chapter 5</w:t>
      </w:r>
      <w:r w:rsidRPr="002F383C">
        <w:rPr>
          <w:rFonts w:cs="Times New Roman"/>
        </w:rPr>
        <w:t xml:space="preserve">: </w:t>
      </w:r>
      <w:r w:rsidRPr="002F383C">
        <w:rPr>
          <w:rFonts w:cs="Times New Roman"/>
          <w:b/>
          <w:bCs/>
        </w:rPr>
        <w:t xml:space="preserve">Discussion- </w:t>
      </w:r>
      <w:r w:rsidRPr="002F383C">
        <w:t>This chapter discusses the main findings reviwed in literature against the data nalysis findings in order to answer the research question.</w:t>
      </w:r>
    </w:p>
    <w:p w14:paraId="462B5702" w14:textId="29075C65" w:rsidR="00FE7389" w:rsidRPr="002F383C" w:rsidRDefault="00BC0CA9" w:rsidP="00D23C43">
      <w:pPr>
        <w:pStyle w:val="ListParagraph"/>
        <w:numPr>
          <w:ilvl w:val="0"/>
          <w:numId w:val="4"/>
        </w:numPr>
        <w:spacing w:before="240" w:after="240"/>
        <w:rPr>
          <w:rFonts w:cs="Times New Roman"/>
        </w:rPr>
      </w:pPr>
      <w:r w:rsidRPr="002F383C">
        <w:rPr>
          <w:rFonts w:cs="Times New Roman"/>
          <w:b/>
          <w:bCs/>
        </w:rPr>
        <w:t xml:space="preserve">Chapter </w:t>
      </w:r>
      <w:r w:rsidR="00075A9D" w:rsidRPr="002F383C">
        <w:rPr>
          <w:rFonts w:cs="Times New Roman"/>
          <w:b/>
          <w:bCs/>
        </w:rPr>
        <w:t>6</w:t>
      </w:r>
      <w:r w:rsidRPr="002F383C">
        <w:rPr>
          <w:rFonts w:cs="Times New Roman"/>
          <w:b/>
          <w:bCs/>
        </w:rPr>
        <w:t>: Conclusion and Recommendations</w:t>
      </w:r>
      <w:r w:rsidR="00003254" w:rsidRPr="002F383C">
        <w:rPr>
          <w:rFonts w:cs="Times New Roman"/>
          <w:b/>
          <w:bCs/>
        </w:rPr>
        <w:t>-</w:t>
      </w:r>
      <w:r w:rsidR="00003254" w:rsidRPr="002F383C">
        <w:rPr>
          <w:rFonts w:cs="Times New Roman"/>
        </w:rPr>
        <w:t xml:space="preserve"> This chapter</w:t>
      </w:r>
      <w:r w:rsidRPr="002F383C">
        <w:rPr>
          <w:rFonts w:cs="Times New Roman"/>
        </w:rPr>
        <w:t xml:space="preserve"> </w:t>
      </w:r>
      <w:r w:rsidR="00B3350E" w:rsidRPr="002F383C">
        <w:rPr>
          <w:rFonts w:cs="Times New Roman"/>
        </w:rPr>
        <w:t>s</w:t>
      </w:r>
      <w:r w:rsidRPr="002F383C">
        <w:rPr>
          <w:rFonts w:cs="Times New Roman"/>
        </w:rPr>
        <w:t>ummarises the findings, addresses the research question</w:t>
      </w:r>
      <w:r w:rsidR="00B3350E" w:rsidRPr="002F383C">
        <w:rPr>
          <w:rFonts w:cs="Times New Roman"/>
        </w:rPr>
        <w:t>,</w:t>
      </w:r>
      <w:r w:rsidRPr="002F383C">
        <w:rPr>
          <w:rFonts w:cs="Times New Roman"/>
        </w:rPr>
        <w:t xml:space="preserve"> and presents recommendations, limitations</w:t>
      </w:r>
      <w:r w:rsidR="00B3350E" w:rsidRPr="002F383C">
        <w:rPr>
          <w:rFonts w:cs="Times New Roman"/>
        </w:rPr>
        <w:t>,</w:t>
      </w:r>
      <w:r w:rsidRPr="002F383C">
        <w:rPr>
          <w:rFonts w:cs="Times New Roman"/>
        </w:rPr>
        <w:t xml:space="preserve"> and future research directions.</w:t>
      </w:r>
    </w:p>
    <w:p w14:paraId="72FFF3C7" w14:textId="77777777" w:rsidR="00545E81" w:rsidRPr="002F383C" w:rsidRDefault="00545E81" w:rsidP="00D23C43">
      <w:pPr>
        <w:spacing w:before="240" w:after="240"/>
        <w:rPr>
          <w:rFonts w:eastAsiaTheme="majorEastAsia" w:cs="Times New Roman"/>
          <w:b/>
        </w:rPr>
      </w:pPr>
      <w:r w:rsidRPr="002F383C">
        <w:rPr>
          <w:rFonts w:cs="Times New Roman"/>
        </w:rPr>
        <w:br w:type="page"/>
      </w:r>
    </w:p>
    <w:p w14:paraId="11978D61" w14:textId="0C92B394" w:rsidR="007B6807" w:rsidRPr="002F383C" w:rsidRDefault="007B6807" w:rsidP="00D23C43">
      <w:pPr>
        <w:pStyle w:val="Heading1"/>
        <w:spacing w:before="240" w:after="240"/>
        <w:rPr>
          <w:rFonts w:cs="Times New Roman"/>
          <w:szCs w:val="24"/>
        </w:rPr>
      </w:pPr>
      <w:bookmarkStart w:id="17" w:name="_Toc241252013"/>
      <w:r w:rsidRPr="002F383C">
        <w:rPr>
          <w:rFonts w:cs="Times New Roman"/>
          <w:szCs w:val="24"/>
        </w:rPr>
        <w:t>Chapter 2: Literature Review</w:t>
      </w:r>
      <w:bookmarkEnd w:id="5"/>
      <w:bookmarkEnd w:id="6"/>
      <w:bookmarkEnd w:id="17"/>
      <w:r w:rsidRPr="002F383C">
        <w:rPr>
          <w:rFonts w:cs="Times New Roman"/>
          <w:szCs w:val="24"/>
        </w:rPr>
        <w:t xml:space="preserve"> </w:t>
      </w:r>
    </w:p>
    <w:p w14:paraId="7E178718" w14:textId="77777777" w:rsidR="007B6807" w:rsidRPr="002F383C" w:rsidRDefault="007B6807" w:rsidP="00D23C43">
      <w:pPr>
        <w:pStyle w:val="Heading2"/>
        <w:spacing w:before="240" w:after="240"/>
        <w:rPr>
          <w:rFonts w:cs="Times New Roman"/>
          <w:szCs w:val="24"/>
        </w:rPr>
      </w:pPr>
      <w:bookmarkStart w:id="18" w:name="_Toc237877883"/>
      <w:bookmarkStart w:id="19" w:name="_Toc240316921"/>
      <w:bookmarkStart w:id="20" w:name="_Toc241252014"/>
      <w:r w:rsidRPr="002F383C">
        <w:rPr>
          <w:rFonts w:cs="Times New Roman"/>
          <w:szCs w:val="24"/>
        </w:rPr>
        <w:t>2.1 Introduction</w:t>
      </w:r>
      <w:bookmarkEnd w:id="18"/>
      <w:bookmarkEnd w:id="19"/>
      <w:bookmarkEnd w:id="20"/>
      <w:r w:rsidRPr="002F383C">
        <w:rPr>
          <w:rFonts w:cs="Times New Roman"/>
          <w:szCs w:val="24"/>
        </w:rPr>
        <w:t xml:space="preserve"> </w:t>
      </w:r>
    </w:p>
    <w:p w14:paraId="67A6A126" w14:textId="7574B8FD" w:rsidR="007B6807" w:rsidRPr="002F383C" w:rsidRDefault="007B6807" w:rsidP="00D23C43">
      <w:pPr>
        <w:spacing w:before="240" w:after="240"/>
        <w:rPr>
          <w:rFonts w:cs="Times New Roman"/>
        </w:rPr>
      </w:pPr>
      <w:r w:rsidRPr="002F383C">
        <w:rPr>
          <w:rFonts w:cs="Times New Roman"/>
        </w:rPr>
        <w:t>This literature review analyses the contribution that a resilient supply chain can make to the international expansion of UK food manufacturing companies. It highlights the definition of resilience, the key attributes of resilience, its impact on decisions around international expansion</w:t>
      </w:r>
      <w:r w:rsidR="00A8625D" w:rsidRPr="002F383C">
        <w:rPr>
          <w:rFonts w:cs="Times New Roman"/>
        </w:rPr>
        <w:t>,</w:t>
      </w:r>
      <w:r w:rsidRPr="002F383C">
        <w:rPr>
          <w:rFonts w:cs="Times New Roman"/>
        </w:rPr>
        <w:t xml:space="preserve"> and approaches to cultivating resilient growth. The review is based on Dynamic Capabilities Theory and the Uppsala Internationalisation Model. These theories bring practices into relation with disruption and </w:t>
      </w:r>
      <w:r w:rsidR="00A8625D" w:rsidRPr="002F383C">
        <w:rPr>
          <w:rFonts w:cs="Times New Roman"/>
        </w:rPr>
        <w:t xml:space="preserve">the </w:t>
      </w:r>
      <w:r w:rsidRPr="002F383C">
        <w:rPr>
          <w:rFonts w:cs="Times New Roman"/>
        </w:rPr>
        <w:t>development of international involvement through knowledge and commitment. The review also highlights a research gap and conceptualises a framework connecting the notions of resilience capabilities and internationalisation.</w:t>
      </w:r>
    </w:p>
    <w:p w14:paraId="7E810B56" w14:textId="77777777" w:rsidR="007B6807" w:rsidRPr="002F383C" w:rsidRDefault="007B6807" w:rsidP="00D23C43">
      <w:pPr>
        <w:pStyle w:val="Heading2"/>
        <w:spacing w:before="240" w:after="240"/>
        <w:rPr>
          <w:rFonts w:cs="Times New Roman"/>
          <w:szCs w:val="24"/>
        </w:rPr>
      </w:pPr>
      <w:bookmarkStart w:id="21" w:name="_Toc237877884"/>
      <w:bookmarkStart w:id="22" w:name="_Toc240316922"/>
      <w:bookmarkStart w:id="23" w:name="_Toc241252015"/>
      <w:r w:rsidRPr="002F383C">
        <w:rPr>
          <w:rFonts w:cs="Times New Roman"/>
          <w:szCs w:val="24"/>
        </w:rPr>
        <w:t>2.2 Concepts and Theories</w:t>
      </w:r>
      <w:bookmarkEnd w:id="21"/>
      <w:bookmarkEnd w:id="22"/>
      <w:bookmarkEnd w:id="23"/>
      <w:r w:rsidRPr="002F383C">
        <w:rPr>
          <w:rFonts w:cs="Times New Roman"/>
          <w:szCs w:val="24"/>
        </w:rPr>
        <w:t xml:space="preserve"> </w:t>
      </w:r>
    </w:p>
    <w:p w14:paraId="379CEEF5" w14:textId="50698603" w:rsidR="007B6807" w:rsidRPr="002F383C" w:rsidRDefault="007B6807" w:rsidP="00D23C43">
      <w:pPr>
        <w:spacing w:before="240" w:after="240"/>
        <w:rPr>
          <w:rFonts w:cs="Times New Roman"/>
        </w:rPr>
      </w:pPr>
      <w:r w:rsidRPr="002F383C">
        <w:rPr>
          <w:rFonts w:cs="Times New Roman"/>
        </w:rPr>
        <w:t>Supply chain resilience is defined as the capabilities of a firm to predict, react, adapt</w:t>
      </w:r>
      <w:r w:rsidR="00A8625D" w:rsidRPr="002F383C">
        <w:rPr>
          <w:rFonts w:cs="Times New Roman"/>
        </w:rPr>
        <w:t>,</w:t>
      </w:r>
      <w:r w:rsidRPr="002F383C">
        <w:rPr>
          <w:rFonts w:cs="Times New Roman"/>
        </w:rPr>
        <w:t xml:space="preserve"> and recover from any disturbances while maintaining critical operations (Mamun, 2026). It has become significant due to transport delays, supply shortages, geopolitical risks, and changing trade conditions in international supply chains. Resilience involves more than simply recovering from disruption, as it also includes the ability to prepare, adapt</w:t>
      </w:r>
      <w:r w:rsidR="00A8625D" w:rsidRPr="002F383C">
        <w:rPr>
          <w:rFonts w:cs="Times New Roman"/>
        </w:rPr>
        <w:t>,</w:t>
      </w:r>
      <w:r w:rsidRPr="002F383C">
        <w:rPr>
          <w:rFonts w:cs="Times New Roman"/>
        </w:rPr>
        <w:t xml:space="preserve"> and learn from such events. Dynamic Capabilities Theory is a theory that describes how firms transform their resources and processes in response to changes in the business environment. The theory highlights sensing, seizing</w:t>
      </w:r>
      <w:r w:rsidR="00A8625D" w:rsidRPr="002F383C">
        <w:rPr>
          <w:rFonts w:cs="Times New Roman"/>
        </w:rPr>
        <w:t>,</w:t>
      </w:r>
      <w:r w:rsidRPr="002F383C">
        <w:rPr>
          <w:rFonts w:cs="Times New Roman"/>
        </w:rPr>
        <w:t xml:space="preserve"> and reconfiguring capabilities (Qiu, et al., 2022). It is relevant because food manufacturers have to deal with risks to their supply and adapt to disruption</w:t>
      </w:r>
      <w:r w:rsidR="00A8625D" w:rsidRPr="002F383C">
        <w:rPr>
          <w:rFonts w:cs="Times New Roman"/>
        </w:rPr>
        <w:t>s</w:t>
      </w:r>
      <w:r w:rsidRPr="002F383C">
        <w:rPr>
          <w:rFonts w:cs="Times New Roman"/>
        </w:rPr>
        <w:t xml:space="preserve"> and change</w:t>
      </w:r>
      <w:r w:rsidR="00A8625D" w:rsidRPr="002F383C">
        <w:rPr>
          <w:rFonts w:cs="Times New Roman"/>
        </w:rPr>
        <w:t>s</w:t>
      </w:r>
      <w:r w:rsidRPr="002F383C">
        <w:rPr>
          <w:rFonts w:cs="Times New Roman"/>
        </w:rPr>
        <w:t xml:space="preserve"> in sourcing, logistics</w:t>
      </w:r>
      <w:r w:rsidR="00A8625D" w:rsidRPr="002F383C">
        <w:rPr>
          <w:rFonts w:cs="Times New Roman"/>
        </w:rPr>
        <w:t>,</w:t>
      </w:r>
      <w:r w:rsidRPr="002F383C">
        <w:rPr>
          <w:rFonts w:cs="Times New Roman"/>
        </w:rPr>
        <w:t xml:space="preserve"> and distribution arrangements.</w:t>
      </w:r>
    </w:p>
    <w:p w14:paraId="1A880BA4" w14:textId="4929D995" w:rsidR="007B6807" w:rsidRPr="002F383C" w:rsidRDefault="007B6807" w:rsidP="00D23C43">
      <w:pPr>
        <w:spacing w:before="240" w:after="240"/>
        <w:rPr>
          <w:rFonts w:cs="Times New Roman"/>
        </w:rPr>
      </w:pPr>
      <w:r w:rsidRPr="001B044A">
        <w:rPr>
          <w:rFonts w:cs="Times New Roman"/>
          <w:highlight w:val="yellow"/>
        </w:rPr>
        <w:t>The Uppsala Internationalisation Model describes internationalisation as a gradual process that involves acquiring more knowledge, experience and commitment to the international market (Schweizer and Vahlne, 2022).</w:t>
      </w:r>
      <w:r w:rsidRPr="002F383C">
        <w:rPr>
          <w:rFonts w:cs="Times New Roman"/>
        </w:rPr>
        <w:t xml:space="preserve"> As companies learn and reduce uncertainty, they can expand their international participation (Galvão, et al., 2021). Firms should be aware of potential disruptions and evaluate their capacity to react and plan regarding </w:t>
      </w:r>
      <w:r w:rsidR="002A5742">
        <w:rPr>
          <w:rFonts w:cs="Times New Roman"/>
        </w:rPr>
        <w:t xml:space="preserve">the </w:t>
      </w:r>
      <w:r w:rsidRPr="002F383C">
        <w:rPr>
          <w:rFonts w:cs="Times New Roman"/>
        </w:rPr>
        <w:t>allocation of their resources. This is significant during the international expansion phase</w:t>
      </w:r>
      <w:r w:rsidR="002A5742">
        <w:rPr>
          <w:rFonts w:cs="Times New Roman"/>
        </w:rPr>
        <w:t>,</w:t>
      </w:r>
      <w:r w:rsidRPr="002F383C">
        <w:rPr>
          <w:rFonts w:cs="Times New Roman"/>
        </w:rPr>
        <w:t xml:space="preserve"> as firms can have multiple providers, regulations, transportation networks and levels of uncertainty in the market in each country. A resilient organisation will be able to mitigate some of these differences through its resources and relationships. </w:t>
      </w:r>
      <w:r w:rsidRPr="002F383C">
        <w:rPr>
          <w:rFonts w:cs="Times New Roman"/>
          <w:lang w:val="en-IN"/>
        </w:rPr>
        <w:t xml:space="preserve">Dynamic Capabilities are useful for explaining this process because they focus on how firms adapt and adjust their resources in response to change rather than relying on fixed resources (Castka, et al., 2024). </w:t>
      </w:r>
      <w:r w:rsidR="002A5742" w:rsidRPr="002A5742">
        <w:rPr>
          <w:rFonts w:cs="Times New Roman"/>
          <w:lang w:val="en-IN"/>
        </w:rPr>
        <w:t>The Uppsala Model provides an international setting in that it shows how organi</w:t>
      </w:r>
      <w:r w:rsidR="005B4AFB">
        <w:rPr>
          <w:rFonts w:cs="Times New Roman"/>
          <w:lang w:val="en-IN"/>
        </w:rPr>
        <w:t>s</w:t>
      </w:r>
      <w:r w:rsidR="002A5742" w:rsidRPr="002A5742">
        <w:rPr>
          <w:rFonts w:cs="Times New Roman"/>
          <w:lang w:val="en-IN"/>
        </w:rPr>
        <w:t xml:space="preserve">ations can reduce uncertainty using knowledge and experience (Hudson and Richardson, 2024). The limitation of this model is that </w:t>
      </w:r>
      <w:r w:rsidR="001B044A">
        <w:rPr>
          <w:rFonts w:cs="Times New Roman"/>
          <w:lang w:val="en-IN"/>
        </w:rPr>
        <w:t>internationalisation</w:t>
      </w:r>
      <w:r w:rsidR="002A5742" w:rsidRPr="002A5742">
        <w:rPr>
          <w:rFonts w:cs="Times New Roman"/>
          <w:lang w:val="en-IN"/>
        </w:rPr>
        <w:t xml:space="preserve"> is not always a gradual process.</w:t>
      </w:r>
      <w:r w:rsidR="002A5742">
        <w:rPr>
          <w:rFonts w:cs="Times New Roman"/>
          <w:lang w:val="en-IN"/>
        </w:rPr>
        <w:t xml:space="preserve"> </w:t>
      </w:r>
      <w:r w:rsidR="001B044A" w:rsidRPr="001B044A">
        <w:rPr>
          <w:rFonts w:cs="Times New Roman"/>
          <w:highlight w:val="yellow"/>
        </w:rPr>
        <w:t>The reason for their complementarity is that the former theory addresses how companies make use of their resources in response to disruptions while the latter describes how knowledge and experience can decrease uncertainty</w:t>
      </w:r>
      <w:r w:rsidRPr="001B044A">
        <w:rPr>
          <w:rFonts w:cs="Times New Roman"/>
          <w:highlight w:val="yellow"/>
        </w:rPr>
        <w:t>.</w:t>
      </w:r>
      <w:r w:rsidRPr="002F383C">
        <w:rPr>
          <w:rFonts w:cs="Times New Roman"/>
        </w:rPr>
        <w:t xml:space="preserve"> Therefore, the resilience capabilities that will be discussed below can help in both cases. </w:t>
      </w:r>
      <w:r w:rsidR="002A36C9" w:rsidRPr="002F383C">
        <w:rPr>
          <w:rFonts w:cs="Times New Roman"/>
        </w:rPr>
        <w:t>Overall, the theories give complementary views on the understanding of resilience and internationalisation. The Dynamic Capabilities Theory describes the responses of organisations to change, and the Uppsala Model describes international development in terms of knowledge, experience and commitment. Together, they provide a theoretical basis for examining resilience during international expansion.</w:t>
      </w:r>
    </w:p>
    <w:p w14:paraId="703355DC" w14:textId="77777777" w:rsidR="007B6807" w:rsidRPr="002F383C" w:rsidRDefault="007B6807" w:rsidP="00D23C43">
      <w:pPr>
        <w:pStyle w:val="Heading2"/>
        <w:spacing w:before="240" w:after="240"/>
        <w:rPr>
          <w:rFonts w:cs="Times New Roman"/>
          <w:szCs w:val="24"/>
        </w:rPr>
      </w:pPr>
      <w:bookmarkStart w:id="24" w:name="_Toc237877885"/>
      <w:bookmarkStart w:id="25" w:name="_Toc240316923"/>
      <w:bookmarkStart w:id="26" w:name="_Toc241252016"/>
      <w:r w:rsidRPr="002F383C">
        <w:rPr>
          <w:rFonts w:cs="Times New Roman"/>
          <w:szCs w:val="24"/>
        </w:rPr>
        <w:t>2.3 Supply chain resilience and its relevance to the international expansion of food manufacturing companies</w:t>
      </w:r>
      <w:bookmarkEnd w:id="24"/>
      <w:bookmarkEnd w:id="25"/>
      <w:bookmarkEnd w:id="26"/>
      <w:r w:rsidRPr="002F383C">
        <w:rPr>
          <w:rFonts w:cs="Times New Roman"/>
          <w:szCs w:val="24"/>
        </w:rPr>
        <w:t xml:space="preserve"> </w:t>
      </w:r>
    </w:p>
    <w:p w14:paraId="7C71DD77" w14:textId="77777777" w:rsidR="007B6807" w:rsidRPr="002F383C" w:rsidRDefault="007B6807" w:rsidP="00D23C43">
      <w:pPr>
        <w:spacing w:before="240" w:after="240"/>
        <w:rPr>
          <w:rFonts w:cs="Times New Roman"/>
        </w:rPr>
      </w:pPr>
      <w:r w:rsidRPr="002F383C">
        <w:rPr>
          <w:rFonts w:cs="Times New Roman"/>
        </w:rPr>
        <w:t>Supply chain resilience is pertinent to food manufacturing, as dependence on suppliers, road and rail transport, food distributors, and overseas markets grows as businesses expand internationally (Pang et al., 2025). Food manufacturing is especially relevant to supply chain resilience as the food sector becomes more dependent on overseas suppliers, transport systems and markets. Recent evidence from governments demonstrates the importance of global food chains on the UK food system and the extent to which the food supply is vulnerable to disruption and reliance on sources outside of the UK (Gov UK, 2024). Overseas expansion can then lead to access to new customers and broader revenue, but it can also bring the risk of exposure to disruption.</w:t>
      </w:r>
    </w:p>
    <w:p w14:paraId="374A2ADF" w14:textId="5D36607C" w:rsidR="007B6807" w:rsidRPr="002F383C" w:rsidRDefault="007B6807" w:rsidP="00D23C43">
      <w:pPr>
        <w:spacing w:before="240" w:after="240"/>
        <w:rPr>
          <w:rFonts w:cs="Times New Roman"/>
        </w:rPr>
      </w:pPr>
      <w:r w:rsidRPr="002F383C">
        <w:rPr>
          <w:rFonts w:cs="Times New Roman"/>
        </w:rPr>
        <w:t xml:space="preserve">Resilience enables companies to keep vital operations running during disruptions in the supply or distribution chain. The studies of Garrido-Moreno, et al., (2024), state that being resilient requires firms not only to respond to and recover from disruptions but also to prepare for them in advance. It is a critical perspective for the international expansion of firms since the risks involved in going international into new markets have to be managed in an appropriate manner. Similarly, Iftikhar, et al., (2025), indicate that enterprises have to tackle uncertainties in the supply chain which are complex and dynamic in nature. Another strain on food manufacturers is the fact that many food products have a limited shelf life and rely on a quick flow of raw materials and finished goods. The impact of delays and shortages is intensified due to international sourcing and transportation. In order to support this, Koray, et al., (2025), show the importance of logistical strategies for reducing disruption in global supply systems. </w:t>
      </w:r>
    </w:p>
    <w:p w14:paraId="335B849B" w14:textId="66565769" w:rsidR="007B6807" w:rsidRPr="002F383C" w:rsidRDefault="007B6807" w:rsidP="00D23C43">
      <w:pPr>
        <w:spacing w:before="240" w:after="240"/>
        <w:rPr>
          <w:rFonts w:cs="Times New Roman"/>
        </w:rPr>
      </w:pPr>
      <w:r w:rsidRPr="002F383C">
        <w:rPr>
          <w:rFonts w:cs="Times New Roman"/>
        </w:rPr>
        <w:t>Building resilience can help to minimise uncertainty in operations and maintain continuity as companies form new international partnerships. The expansion into foreign markets can also raise the coordination needs, as businesses have to coordinate their operations between various locations (Wang and Guedes, 2025). This is especially true for companies that are shipping internationally or have distribution partners outside of the country. Resilience can then help shape international growth by enhancing the capacity of firms to maintain their operations in geographically distributed networks. However, the literature has concentrated more on resilience as a countermeasure to disruption rather than as a strategic asset in international development. This indicates that there is a need to analyse the role that resilience can play in driving expansion decisions in the food manufacturing sector. However, resilience may also require additional resources and coordination, creating a potential trade-off between resilience and operational efficiency. From a Dynamic Capabilities approach, resilience helps companies to adjust their resources to disruptions, whereas according to the Uppsala model, experience and knowledge help to overcome uncertainties when operating abroad.</w:t>
      </w:r>
      <w:r w:rsidR="00EA1E6A" w:rsidRPr="002F383C">
        <w:rPr>
          <w:rFonts w:cs="Times New Roman"/>
        </w:rPr>
        <w:t xml:space="preserve"> </w:t>
      </w:r>
      <w:r w:rsidR="00CB7CD1" w:rsidRPr="002F383C">
        <w:rPr>
          <w:rFonts w:cs="Times New Roman"/>
        </w:rPr>
        <w:t>Overall</w:t>
      </w:r>
      <w:r w:rsidR="00EA1E6A" w:rsidRPr="002F383C">
        <w:rPr>
          <w:rFonts w:cs="Times New Roman"/>
        </w:rPr>
        <w:t xml:space="preserve">, an international expansion can add complexity and vulnerability to the supply chain. Resilience thus plays an important role in ensuring the continuity of operations across geographically distributed networks. </w:t>
      </w:r>
      <w:r w:rsidR="007460A3" w:rsidRPr="002F383C">
        <w:rPr>
          <w:rFonts w:cs="Times New Roman"/>
        </w:rPr>
        <w:t>However,</w:t>
      </w:r>
      <w:r w:rsidR="00EA1E6A" w:rsidRPr="002F383C">
        <w:rPr>
          <w:rFonts w:cs="Times New Roman"/>
        </w:rPr>
        <w:t xml:space="preserve"> the existing literature focuses more on disruption management than on resilience as a strategic element that can support international expansion.</w:t>
      </w:r>
    </w:p>
    <w:p w14:paraId="58FAEEBF" w14:textId="77777777" w:rsidR="007B6807" w:rsidRPr="002F383C" w:rsidRDefault="007B6807" w:rsidP="00D23C43">
      <w:pPr>
        <w:pStyle w:val="Heading2"/>
        <w:spacing w:before="240" w:after="240"/>
        <w:rPr>
          <w:rFonts w:cs="Times New Roman"/>
          <w:szCs w:val="24"/>
        </w:rPr>
      </w:pPr>
      <w:bookmarkStart w:id="27" w:name="_Toc237877886"/>
      <w:bookmarkStart w:id="28" w:name="_Toc240316924"/>
      <w:bookmarkStart w:id="29" w:name="_Toc241252017"/>
      <w:r w:rsidRPr="002F383C">
        <w:rPr>
          <w:rFonts w:cs="Times New Roman"/>
          <w:szCs w:val="24"/>
        </w:rPr>
        <w:t>2.4 Key supply chain resilience capabilities supporting food manufacturing companies in managing disruptions during international expansion</w:t>
      </w:r>
      <w:bookmarkEnd w:id="27"/>
      <w:bookmarkEnd w:id="28"/>
      <w:bookmarkEnd w:id="29"/>
    </w:p>
    <w:p w14:paraId="2DA5F752" w14:textId="6C81D6B0" w:rsidR="007B6807" w:rsidRPr="002F383C" w:rsidRDefault="007B6807" w:rsidP="00D23C43">
      <w:pPr>
        <w:spacing w:before="240" w:after="240"/>
        <w:rPr>
          <w:rFonts w:cs="Times New Roman"/>
        </w:rPr>
      </w:pPr>
      <w:r w:rsidRPr="002F383C">
        <w:rPr>
          <w:rFonts w:cs="Times New Roman"/>
        </w:rPr>
        <w:t xml:space="preserve">There are several capabilities identified in the literature </w:t>
      </w:r>
      <w:r w:rsidR="002A5742">
        <w:rPr>
          <w:rFonts w:cs="Times New Roman"/>
        </w:rPr>
        <w:t>that</w:t>
      </w:r>
      <w:r w:rsidRPr="002F383C">
        <w:rPr>
          <w:rFonts w:cs="Times New Roman"/>
        </w:rPr>
        <w:t xml:space="preserve"> can help to enhance the resilience of the supply chain. One important capacity is collaboration, as sharing of information can enhance coordination and help to respond quickly to disruption. Zhang and Yi, (2026), highlight the value of collaboration in coordinating responses and resilience through strong relationships in manufacturing contexts. Food manufacturers can benefit from close ties with suppliers, logistics service providers and other partners to facilitate communication during times of uncertainty.</w:t>
      </w:r>
    </w:p>
    <w:p w14:paraId="530DC7C6" w14:textId="77777777" w:rsidR="007B6807" w:rsidRPr="002F383C" w:rsidRDefault="007B6807" w:rsidP="00D23C43">
      <w:pPr>
        <w:spacing w:before="240" w:after="240"/>
        <w:rPr>
          <w:rFonts w:cs="Times New Roman"/>
        </w:rPr>
      </w:pPr>
      <w:r w:rsidRPr="002F383C">
        <w:rPr>
          <w:rFonts w:cs="Times New Roman"/>
        </w:rPr>
        <w:t>Diversification of suppliers and flexible sourcing play a vital role in enhancing the resilience of the supply chain, especially in cases where disruptions affect the availability of critical suppliers. According to Mamun, (2026), reliance on excessive numbers of suppliers may affect the resilience of firms, limiting their capacity to cope during disruptions. Additionally, Li, et al., (2025), stated that digitalisation and adaptive supply chains can assist firms in adapting their sourcing strategy. However, diversification of suppliers is not enough and it should be accompanied by logistics flexibility, enabling firms to alter their transportation networks. Another important capability is visibility. As Taherdoost, (2021), stated that timely information is important for companies to recognise risk before it becomes a problem. Digital technologies can be used to assist this capability by enhancing the flow of information and the monitoring of conditions in the supply chain. Furthermore, as stated by Gupta and Jamwal, (2026), digital skills can enable manufacturing supply chain operations in disruptive times.</w:t>
      </w:r>
    </w:p>
    <w:p w14:paraId="52B5DF9B" w14:textId="04AB5497" w:rsidR="007B6807" w:rsidRPr="002F383C" w:rsidRDefault="007B6807" w:rsidP="00D23C43">
      <w:pPr>
        <w:spacing w:before="240" w:after="240"/>
        <w:rPr>
          <w:rFonts w:cs="Times New Roman"/>
        </w:rPr>
      </w:pPr>
      <w:r w:rsidRPr="002F383C">
        <w:rPr>
          <w:rFonts w:cs="Times New Roman"/>
        </w:rPr>
        <w:t xml:space="preserve">Adaptability is closely linked with these capabilities. When the external environment changes, firms have to modify resources, processes and relationships. From this perspective, Dynamic Capabilities Theory explains how firms respond to change through sensing opportunities and risks, seizing them, and reconfiguring resources and processes (Jin, et al., 2024). </w:t>
      </w:r>
      <w:r w:rsidRPr="002F383C">
        <w:rPr>
          <w:rFonts w:cs="Times New Roman"/>
          <w:lang w:val="en-IN"/>
        </w:rPr>
        <w:t xml:space="preserve">Thus, visibility and collaboration support sensing, supplier diversification and flexibility support seizing, while adaptability supports reconfiguring resources and processes. </w:t>
      </w:r>
      <w:r w:rsidRPr="002F383C">
        <w:rPr>
          <w:rFonts w:cs="Times New Roman"/>
        </w:rPr>
        <w:t xml:space="preserve"> Thus, visibility and collaboration support sensing, supplier diversification and flexibility support seizing, while adaptability supports reconfiguring resources and processes. In general, collaboration, diversification of suppliers, flexibility, visibility and adaptability are important. However, the current research is not clear on the extent to which these capabilities are influential throughout the expansion in the international market. </w:t>
      </w:r>
      <w:r w:rsidR="0019544D" w:rsidRPr="002F383C">
        <w:rPr>
          <w:rFonts w:cs="Times New Roman"/>
        </w:rPr>
        <w:t xml:space="preserve">Overall, collaboration, supplier diversification, flexibility, visibility and adaptability emerge as important resilience capabilities. </w:t>
      </w:r>
      <w:r w:rsidR="00AE715C" w:rsidRPr="002F383C">
        <w:rPr>
          <w:rFonts w:cs="Times New Roman"/>
        </w:rPr>
        <w:t>However,</w:t>
      </w:r>
      <w:r w:rsidR="0019544D" w:rsidRPr="002F383C">
        <w:rPr>
          <w:rFonts w:cs="Times New Roman"/>
        </w:rPr>
        <w:t xml:space="preserve"> it is not clear from the literature to wh</w:t>
      </w:r>
      <w:r w:rsidR="00A8625D" w:rsidRPr="002F383C">
        <w:rPr>
          <w:rFonts w:cs="Times New Roman"/>
        </w:rPr>
        <w:t>at</w:t>
      </w:r>
      <w:r w:rsidR="0019544D" w:rsidRPr="002F383C">
        <w:rPr>
          <w:rFonts w:cs="Times New Roman"/>
        </w:rPr>
        <w:t xml:space="preserve"> extent these capabilities function together in international expansion. This provides an opportunity to investigate their enabling role in UK food production.</w:t>
      </w:r>
    </w:p>
    <w:p w14:paraId="26500DA2" w14:textId="77777777" w:rsidR="007B6807" w:rsidRPr="002F383C" w:rsidRDefault="007B6807" w:rsidP="00D23C43">
      <w:pPr>
        <w:pStyle w:val="Heading2"/>
        <w:spacing w:before="240" w:after="240"/>
        <w:rPr>
          <w:rFonts w:cs="Times New Roman"/>
          <w:szCs w:val="24"/>
        </w:rPr>
      </w:pPr>
      <w:bookmarkStart w:id="30" w:name="_Toc237877887"/>
      <w:bookmarkStart w:id="31" w:name="_Toc240316925"/>
      <w:bookmarkStart w:id="32" w:name="_Toc241252018"/>
      <w:r w:rsidRPr="002F383C">
        <w:rPr>
          <w:rFonts w:cs="Times New Roman"/>
          <w:szCs w:val="24"/>
        </w:rPr>
        <w:t>2.5 Influence of supply chain resilience on international expansion decisions, including market selection, entry decisions and supply chain configuration</w:t>
      </w:r>
      <w:bookmarkEnd w:id="30"/>
      <w:bookmarkEnd w:id="31"/>
      <w:bookmarkEnd w:id="32"/>
      <w:r w:rsidRPr="002F383C">
        <w:rPr>
          <w:rFonts w:cs="Times New Roman"/>
          <w:szCs w:val="24"/>
        </w:rPr>
        <w:t xml:space="preserve"> </w:t>
      </w:r>
    </w:p>
    <w:p w14:paraId="6827CEE6" w14:textId="6577B93C" w:rsidR="007B6807" w:rsidRPr="002F383C" w:rsidRDefault="007B6807" w:rsidP="00D23C43">
      <w:pPr>
        <w:spacing w:before="240" w:after="240"/>
        <w:rPr>
          <w:rFonts w:cs="Times New Roman"/>
        </w:rPr>
      </w:pPr>
      <w:r w:rsidRPr="002F383C">
        <w:rPr>
          <w:rFonts w:cs="Times New Roman"/>
        </w:rPr>
        <w:t>Supply chain resilience can be considered an important factor in a firm's international expansion decisions, as its ability to operate effectively in a new market needs to be assessed. One important decision is the selection of the market. Shan, et al., (2023), stated that companies might choose markets with more predictable supply risks, and where logistics environments and partner reliability are more conducive. The Uppsala Internationalisation Model indicates that uncertainty is lowered with market knowledge and experience, and this impacts the evolution of international involvement (Igwe, et al., 2022). Resilience can help enhance this process by furnishing information on the risks to supplies and how the company can respond to these risks. This corroborates the Uppsala model as resilience capability helps build up knowledge and experience, which in turn lowers uncertainty and increases international commitment.  In addition, these skills may help with the Uppsala process by enhancing knowledge and experience while decreasing uncertainty in international markets.</w:t>
      </w:r>
    </w:p>
    <w:p w14:paraId="5A393F98" w14:textId="740B8053" w:rsidR="007B6807" w:rsidRPr="002F383C" w:rsidRDefault="007B6807" w:rsidP="00D23C43">
      <w:pPr>
        <w:spacing w:before="240" w:after="240"/>
        <w:rPr>
          <w:rFonts w:cs="Times New Roman"/>
        </w:rPr>
      </w:pPr>
      <w:r w:rsidRPr="002F383C">
        <w:rPr>
          <w:rFonts w:cs="Times New Roman"/>
        </w:rPr>
        <w:t xml:space="preserve">Resilience could impact the decision for entry. If firms decide to enter the international market, decisions have to be </w:t>
      </w:r>
      <w:r w:rsidR="002A5742">
        <w:rPr>
          <w:rFonts w:cs="Times New Roman"/>
        </w:rPr>
        <w:t>made</w:t>
      </w:r>
      <w:r w:rsidRPr="002F383C">
        <w:rPr>
          <w:rFonts w:cs="Times New Roman"/>
        </w:rPr>
        <w:t xml:space="preserve"> about how customers are going to be served, which may involve exporting or any other form of market entry. In this context, Shekarabi, et al., (2025), stated that a resilient firm has increased confidence in its ability to deal with uncertainty as it has backup suppliers, logistics flexibility, and good partner relationships. On the other hand, weak resilience could make it more challenging to expand in uncertain markets. Another critical decision is the supply chain configuration. Growth into new markets necessitates companies re-engineer their supply chain, manufacturing, stocks and supply chain structures. In situations where companies are competing in the same international market and are dealing with shifting international circumstances. In this context Phengsuk, et al., (2023), emphasise that the design of the supply chain is an important factor. Reliable </w:t>
      </w:r>
      <w:r w:rsidR="002A5742">
        <w:rPr>
          <w:rFonts w:cs="Times New Roman"/>
        </w:rPr>
        <w:t>alternative</w:t>
      </w:r>
      <w:r w:rsidRPr="002F383C">
        <w:rPr>
          <w:rFonts w:cs="Times New Roman"/>
        </w:rPr>
        <w:t xml:space="preserve"> sourcing and supply options make it easier for companies to lessen their reliance on a single supplier or geographic area.</w:t>
      </w:r>
    </w:p>
    <w:p w14:paraId="61499597" w14:textId="099D826C" w:rsidR="007B6807" w:rsidRPr="002F383C" w:rsidRDefault="007B6807" w:rsidP="00D23C43">
      <w:pPr>
        <w:spacing w:before="240" w:after="240"/>
        <w:rPr>
          <w:rFonts w:cs="Times New Roman"/>
        </w:rPr>
      </w:pPr>
      <w:r w:rsidRPr="002F383C">
        <w:rPr>
          <w:rFonts w:cs="Times New Roman"/>
        </w:rPr>
        <w:t xml:space="preserve">According to Pertheban, et al., (2023), resilience needs to be built in a proactive manner because organisations will have to recognise opportunities and risks in different situations and reallocate their resources. To support this point, Alinasab and Hunt, (2025), show that through experience and knowledge, companies can build up their international commitments progressively. Also, Ahmed, et al., (2024), argue for the role of supply chain configuration in cases where organisations have to work within changing international environments. Conversely, organisations with lower levels of resilience capabilities will tend to be more careful about international expansion due to problems with managing supply chains. However, limited studies have investigated the effect of specific resilience capabilities on market choice, entry strategies and supply chain design in UK food manufacturing. This research paper aims to fill this gap by considering the role of resilience capabilities in international business decision-making.  </w:t>
      </w:r>
      <w:r w:rsidR="00B067AC" w:rsidRPr="002F383C">
        <w:rPr>
          <w:rFonts w:cs="Times New Roman"/>
        </w:rPr>
        <w:t>Overall, resilience can shape the choices that are made regarding market selection, market entry and supply chain configuration. There is, however, limited evidence of the impact of identified resilience capacities on these decisions in food manufacturing in the UK. It highlights the need for further examination of resilience in decision-making for international expansion.</w:t>
      </w:r>
    </w:p>
    <w:p w14:paraId="5EFCA6DB" w14:textId="77777777" w:rsidR="007B6807" w:rsidRPr="002F383C" w:rsidRDefault="007B6807" w:rsidP="00D23C43">
      <w:pPr>
        <w:pStyle w:val="Heading2"/>
        <w:spacing w:before="240" w:after="240"/>
        <w:rPr>
          <w:rFonts w:cs="Times New Roman"/>
          <w:szCs w:val="24"/>
        </w:rPr>
      </w:pPr>
      <w:bookmarkStart w:id="33" w:name="_Toc237877888"/>
      <w:bookmarkStart w:id="34" w:name="_Toc240316926"/>
      <w:bookmarkStart w:id="35" w:name="_Toc241252019"/>
      <w:r w:rsidRPr="002F383C">
        <w:rPr>
          <w:rFonts w:cs="Times New Roman"/>
          <w:szCs w:val="24"/>
        </w:rPr>
        <w:t>2.6 Strategies used by food manufacturing companies to develop supply chain resilience and support sustainable international expansion</w:t>
      </w:r>
      <w:bookmarkEnd w:id="33"/>
      <w:bookmarkEnd w:id="34"/>
      <w:bookmarkEnd w:id="35"/>
    </w:p>
    <w:p w14:paraId="1D9A1A12" w14:textId="1766A98C" w:rsidR="007B6807" w:rsidRPr="002F383C" w:rsidRDefault="007B6807" w:rsidP="00D23C43">
      <w:pPr>
        <w:spacing w:before="240" w:after="240"/>
        <w:rPr>
          <w:rFonts w:cs="Times New Roman"/>
        </w:rPr>
      </w:pPr>
      <w:r w:rsidRPr="002F383C">
        <w:rPr>
          <w:rFonts w:cs="Times New Roman"/>
        </w:rPr>
        <w:t xml:space="preserve">According to Anwar, et al., (2025), integration and cooperation among the parties in the chain can enhance the resilience by optimising coordination and minimising reliance on any single supplier. Nonetheless, the success of integration </w:t>
      </w:r>
      <w:r w:rsidR="002A5742">
        <w:rPr>
          <w:rFonts w:cs="Times New Roman"/>
        </w:rPr>
        <w:t>depends</w:t>
      </w:r>
      <w:r w:rsidRPr="002F383C">
        <w:rPr>
          <w:rFonts w:cs="Times New Roman"/>
        </w:rPr>
        <w:t xml:space="preserve"> on how strong and dependable relationships between members in the supply chain are, implying that collaboration is not enough to insulate from disruption. In this regard, Yang, et al., (2022), point to the need for effective supplier relationships for better reaction to disruption. Supplier diversification can help secure alternative supply sources if one is unavailable, and information sharing and joint planning can help to enhance the coordination between firms and partners. Nevertheless, diversification may also increase coordination and transaction costs, suggesting that firms need to balance redundancy against operational efficiency. </w:t>
      </w:r>
    </w:p>
    <w:p w14:paraId="3BE6D757" w14:textId="691F2D98" w:rsidR="007B6807" w:rsidRPr="002F383C" w:rsidRDefault="007B6807" w:rsidP="00D23C43">
      <w:pPr>
        <w:spacing w:before="240" w:after="240"/>
        <w:rPr>
          <w:rFonts w:cs="Times New Roman"/>
        </w:rPr>
      </w:pPr>
      <w:r w:rsidRPr="002F383C">
        <w:rPr>
          <w:rFonts w:cs="Times New Roman"/>
        </w:rPr>
        <w:t>Flexible sourcing and logistics are also important for sustainable international expansion. When there is a shift in the operating environment, firms will be able to rely on alternative suppliers, routes and distribution arrangements. This results in a possible conflict between resilience and efficiency, as it entails more resources for ensuring other options to maintain supply chain functions. Flexibility thus becomes useful where the cost of disruption exceeds that of having an alternative. This agility can help to keep supply going and mitigate risk associated with relyi</w:t>
      </w:r>
      <w:r w:rsidR="001F5261">
        <w:rPr>
          <w:rFonts w:cs="Times New Roman"/>
        </w:rPr>
        <w:t xml:space="preserve">ng on a single source or route </w:t>
      </w:r>
      <w:r w:rsidRPr="002F383C">
        <w:rPr>
          <w:rFonts w:cs="Times New Roman"/>
        </w:rPr>
        <w:t xml:space="preserve">(Kim-Soon, et al., 2020). Digital technologies can also play a role in supporting resilience. Digital systems can have a significant impact on supply </w:t>
      </w:r>
      <w:r w:rsidR="002A5742">
        <w:rPr>
          <w:rFonts w:cs="Times New Roman"/>
        </w:rPr>
        <w:t>chain</w:t>
      </w:r>
      <w:r w:rsidRPr="002F383C">
        <w:rPr>
          <w:rFonts w:cs="Times New Roman"/>
        </w:rPr>
        <w:t xml:space="preserve"> visibility, offer real-time information and assist supply chain managers in tracking changes. Ardolino, et al., (2025), demonstrate how digital skills can be used for supporting manufacturing supply chains in disruptive times. In addition, Li, et al., (2025), associate digital transformation with supply chain resilience and stated that technology should be viewed as a supporting tool that strengthens broader organisational capabilities rather than being treated as a standalone solution. Nonetheless, enhanced visibility does not automatically translate to enhanced resilience. The usefulness of digital technologies lies in the ability of managers to understand information and react promptly to new threats. Therefore, digitalisation must be treated as a capability that enables rather than as a replacement for organisational and relational capabilities.</w:t>
      </w:r>
    </w:p>
    <w:p w14:paraId="21E0044B" w14:textId="1E04E3C0" w:rsidR="007B6807" w:rsidRPr="002F383C" w:rsidRDefault="007B6807" w:rsidP="00D23C43">
      <w:pPr>
        <w:spacing w:before="240" w:after="240"/>
        <w:rPr>
          <w:rFonts w:cs="Times New Roman"/>
        </w:rPr>
      </w:pPr>
      <w:r w:rsidRPr="002F383C">
        <w:rPr>
          <w:rFonts w:cs="Times New Roman"/>
        </w:rPr>
        <w:t xml:space="preserve">In addition to this, coordinated actions with suppliers, logistics providers and market actors can improve communication and coordination. Stoeva, et al., (2024), show the importance of collaboration in dealing with uncertainty in the food sector. Firms should also develop dynamic capabilities by continuously assessing risks and adapting their resources and processes to changing conditions (Dukhaykh and Alangri, 2026). This shows that the theory of dynamic capabilities is applied in this case because resilience strategies are based on sensing disruption and seizing alternatives. Firms can support international expansion through supplier diversification, flexibility, visibility, collaboration and adaptability, although their effectiveness may depend on how these capabilities are balanced against cost and efficiency. Investing in resilience may add to the upfront expenses, but the investment in alternative supply options can mitigate risk of significant disruption. Nonetheless, there are relatively few studies that have been conducted on how such resilience strategies could be balanced within UK-based food manufacturing organisations that are expanding internationally. This implies that apart from considering which resilience strategies should be employed, it is equally important to find out how organisations balance their deployment. </w:t>
      </w:r>
      <w:r w:rsidR="00D74014" w:rsidRPr="002F383C">
        <w:rPr>
          <w:rFonts w:cs="Times New Roman"/>
        </w:rPr>
        <w:t xml:space="preserve">Collaboration, diversification, flexibility, digitalisation and information sharing are some of the strategies identified in the literature for building resilient supply chains. Their effectiveness, however, will be </w:t>
      </w:r>
      <w:r w:rsidR="003B3627" w:rsidRPr="002F383C">
        <w:rPr>
          <w:rFonts w:cs="Times New Roman"/>
        </w:rPr>
        <w:t>dependent</w:t>
      </w:r>
      <w:r w:rsidR="00D74014" w:rsidRPr="002F383C">
        <w:rPr>
          <w:rFonts w:cs="Times New Roman"/>
        </w:rPr>
        <w:t xml:space="preserve"> on the organisational context and the availability of resources. Hence, resilience planning always needs to be updated to meet varying conditions </w:t>
      </w:r>
      <w:r w:rsidR="00A8625D" w:rsidRPr="002F383C">
        <w:rPr>
          <w:rFonts w:cs="Times New Roman"/>
        </w:rPr>
        <w:t>i</w:t>
      </w:r>
      <w:r w:rsidR="00D74014" w:rsidRPr="002F383C">
        <w:rPr>
          <w:rFonts w:cs="Times New Roman"/>
        </w:rPr>
        <w:t>n the international supply chain.</w:t>
      </w:r>
    </w:p>
    <w:p w14:paraId="36E0A10D" w14:textId="78487360" w:rsidR="007615F1" w:rsidRPr="002F383C" w:rsidRDefault="007B6807" w:rsidP="00D23C43">
      <w:pPr>
        <w:pStyle w:val="Heading2"/>
        <w:spacing w:before="240" w:after="240"/>
        <w:rPr>
          <w:rFonts w:cs="Times New Roman"/>
          <w:szCs w:val="24"/>
        </w:rPr>
      </w:pPr>
      <w:bookmarkStart w:id="36" w:name="_Toc241252020"/>
      <w:bookmarkStart w:id="37" w:name="_Toc237877889"/>
      <w:bookmarkStart w:id="38" w:name="_Toc240316927"/>
      <w:r w:rsidRPr="002F383C">
        <w:rPr>
          <w:rFonts w:cs="Times New Roman"/>
          <w:szCs w:val="24"/>
        </w:rPr>
        <w:t>2.7</w:t>
      </w:r>
      <w:r w:rsidR="00F75F6A" w:rsidRPr="002F383C">
        <w:rPr>
          <w:rFonts w:cs="Times New Roman"/>
          <w:szCs w:val="24"/>
        </w:rPr>
        <w:t xml:space="preserve"> Challenges and Trade-offs in Developing Supply Chain Resilience</w:t>
      </w:r>
      <w:bookmarkEnd w:id="36"/>
    </w:p>
    <w:p w14:paraId="2937BEA4" w14:textId="094C026A" w:rsidR="00FE4238" w:rsidRPr="002F383C" w:rsidRDefault="00A64ECF" w:rsidP="00D23C43">
      <w:pPr>
        <w:spacing w:before="240" w:after="240"/>
        <w:rPr>
          <w:rFonts w:cs="Times New Roman"/>
        </w:rPr>
      </w:pPr>
      <w:r w:rsidRPr="002F383C">
        <w:rPr>
          <w:rFonts w:cs="Times New Roman"/>
        </w:rPr>
        <w:t>Creating resilience in the supply chain contributes to the firm's capabilities to deal with disruption but it also involves cost, complexity</w:t>
      </w:r>
      <w:r w:rsidR="00A8625D" w:rsidRPr="002F383C">
        <w:rPr>
          <w:rFonts w:cs="Times New Roman"/>
        </w:rPr>
        <w:t>,</w:t>
      </w:r>
      <w:r w:rsidRPr="002F383C">
        <w:rPr>
          <w:rFonts w:cs="Times New Roman"/>
        </w:rPr>
        <w:t xml:space="preserve"> and competing operations. </w:t>
      </w:r>
      <w:r w:rsidR="00C37C33" w:rsidRPr="002F383C">
        <w:rPr>
          <w:rFonts w:cs="Times New Roman"/>
        </w:rPr>
        <w:t xml:space="preserve">According to </w:t>
      </w:r>
      <w:r w:rsidR="00057E5C" w:rsidRPr="002F383C">
        <w:rPr>
          <w:rFonts w:cs="Times New Roman"/>
        </w:rPr>
        <w:t xml:space="preserve">Hobbs and </w:t>
      </w:r>
      <w:r w:rsidR="00C37C33" w:rsidRPr="002F383C">
        <w:rPr>
          <w:rFonts w:cs="Times New Roman"/>
        </w:rPr>
        <w:t>Hadachek</w:t>
      </w:r>
      <w:r w:rsidR="00057E5C" w:rsidRPr="002F383C">
        <w:rPr>
          <w:rFonts w:cs="Times New Roman"/>
        </w:rPr>
        <w:t>,</w:t>
      </w:r>
      <w:r w:rsidR="00C37C33" w:rsidRPr="002F383C">
        <w:rPr>
          <w:rFonts w:cs="Times New Roman"/>
        </w:rPr>
        <w:t xml:space="preserve"> (2024), food chain resilience should not be discussed separately from economic efficiency since some actions that aim to overcome the consequences of disruptions might consume extra resources</w:t>
      </w:r>
      <w:r w:rsidRPr="002F383C">
        <w:rPr>
          <w:rFonts w:cs="Times New Roman"/>
        </w:rPr>
        <w:t xml:space="preserve">. </w:t>
      </w:r>
      <w:r w:rsidR="003C4E29" w:rsidRPr="002F383C">
        <w:rPr>
          <w:rFonts w:cs="Times New Roman"/>
        </w:rPr>
        <w:t xml:space="preserve">This shows that the interventions for building resilience may involve considerable cost, and </w:t>
      </w:r>
      <w:r w:rsidRPr="002F383C">
        <w:rPr>
          <w:rFonts w:cs="Times New Roman"/>
        </w:rPr>
        <w:t xml:space="preserve">the effects on resilience </w:t>
      </w:r>
      <w:r w:rsidR="002C0002" w:rsidRPr="002F383C">
        <w:rPr>
          <w:rFonts w:cs="Times New Roman"/>
        </w:rPr>
        <w:t xml:space="preserve">will be evident during </w:t>
      </w:r>
      <w:r w:rsidR="00A8625D" w:rsidRPr="002F383C">
        <w:rPr>
          <w:rFonts w:cs="Times New Roman"/>
        </w:rPr>
        <w:t xml:space="preserve">a </w:t>
      </w:r>
      <w:r w:rsidRPr="002F383C">
        <w:rPr>
          <w:rFonts w:cs="Times New Roman"/>
        </w:rPr>
        <w:t xml:space="preserve">disaster. </w:t>
      </w:r>
      <w:r w:rsidR="00AB5BBC" w:rsidRPr="002F383C">
        <w:rPr>
          <w:rFonts w:cs="Times New Roman"/>
        </w:rPr>
        <w:t>This presents a management problem for food producers since any resources devoted to resilience are not simultaneously available for other efficiency-related operations.</w:t>
      </w:r>
    </w:p>
    <w:p w14:paraId="1FC08726" w14:textId="77777777" w:rsidR="00C52318" w:rsidRPr="002F383C" w:rsidRDefault="00C52318" w:rsidP="00D23C43">
      <w:pPr>
        <w:keepNext/>
        <w:spacing w:before="240" w:after="240"/>
        <w:jc w:val="center"/>
        <w:rPr>
          <w:rFonts w:cs="Times New Roman"/>
        </w:rPr>
      </w:pPr>
      <w:r w:rsidRPr="002F383C">
        <w:rPr>
          <w:rFonts w:cs="Times New Roman"/>
          <w:noProof/>
          <w:lang w:eastAsia="en-GB"/>
        </w:rPr>
        <w:drawing>
          <wp:inline distT="0" distB="0" distL="0" distR="0" wp14:anchorId="34CBEB26" wp14:editId="37D3D9BA">
            <wp:extent cx="3927828" cy="2577664"/>
            <wp:effectExtent l="76200" t="76200" r="130175" b="127635"/>
            <wp:docPr id="320138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138082" name=""/>
                    <pic:cNvPicPr/>
                  </pic:nvPicPr>
                  <pic:blipFill>
                    <a:blip r:embed="rId11"/>
                    <a:stretch>
                      <a:fillRect/>
                    </a:stretch>
                  </pic:blipFill>
                  <pic:spPr>
                    <a:xfrm>
                      <a:off x="0" y="0"/>
                      <a:ext cx="3938127" cy="25844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C25B9C8" w14:textId="494C627A" w:rsidR="00C52318" w:rsidRPr="002F383C" w:rsidRDefault="00C52318" w:rsidP="00D23C43">
      <w:pPr>
        <w:pStyle w:val="Caption"/>
        <w:spacing w:before="240" w:after="240" w:line="360" w:lineRule="auto"/>
        <w:jc w:val="center"/>
        <w:rPr>
          <w:rFonts w:cs="Times New Roman"/>
          <w:szCs w:val="24"/>
        </w:rPr>
      </w:pPr>
      <w:bookmarkStart w:id="39" w:name="_Toc240471238"/>
      <w:r w:rsidRPr="002F383C">
        <w:rPr>
          <w:rFonts w:cs="Times New Roman"/>
          <w:szCs w:val="24"/>
        </w:rPr>
        <w:t xml:space="preserve">Figure </w:t>
      </w:r>
      <w:r w:rsidRPr="002F383C">
        <w:rPr>
          <w:rFonts w:cs="Times New Roman"/>
          <w:szCs w:val="24"/>
        </w:rPr>
        <w:fldChar w:fldCharType="begin"/>
      </w:r>
      <w:r w:rsidRPr="002F383C">
        <w:rPr>
          <w:rFonts w:cs="Times New Roman"/>
          <w:szCs w:val="24"/>
        </w:rPr>
        <w:instrText xml:space="preserve"> SEQ Figure \* ARABIC </w:instrText>
      </w:r>
      <w:r w:rsidRPr="002F383C">
        <w:rPr>
          <w:rFonts w:cs="Times New Roman"/>
          <w:szCs w:val="24"/>
        </w:rPr>
        <w:fldChar w:fldCharType="separate"/>
      </w:r>
      <w:r w:rsidR="00C23D49" w:rsidRPr="002F383C">
        <w:rPr>
          <w:rFonts w:cs="Times New Roman"/>
          <w:noProof/>
          <w:szCs w:val="24"/>
        </w:rPr>
        <w:t>2</w:t>
      </w:r>
      <w:r w:rsidRPr="002F383C">
        <w:rPr>
          <w:rFonts w:cs="Times New Roman"/>
          <w:szCs w:val="24"/>
        </w:rPr>
        <w:fldChar w:fldCharType="end"/>
      </w:r>
      <w:r w:rsidRPr="002F383C">
        <w:rPr>
          <w:rFonts w:cs="Times New Roman"/>
          <w:szCs w:val="24"/>
        </w:rPr>
        <w:t>: Supply chain resilience through redundancy and flexibility</w:t>
      </w:r>
      <w:bookmarkEnd w:id="39"/>
    </w:p>
    <w:p w14:paraId="12425E7C" w14:textId="6D65B58F" w:rsidR="001A4460" w:rsidRPr="002F383C" w:rsidRDefault="001A4460" w:rsidP="00D23C43">
      <w:pPr>
        <w:spacing w:before="240" w:after="240"/>
        <w:jc w:val="center"/>
        <w:rPr>
          <w:rFonts w:cs="Times New Roman"/>
          <w:b/>
          <w:bCs/>
          <w:i/>
          <w:iCs/>
        </w:rPr>
      </w:pPr>
      <w:r w:rsidRPr="002F383C">
        <w:rPr>
          <w:rFonts w:cs="Times New Roman"/>
          <w:b/>
          <w:bCs/>
          <w:i/>
          <w:iCs/>
        </w:rPr>
        <w:t xml:space="preserve">(Source: </w:t>
      </w:r>
      <w:r w:rsidR="00AE0E53" w:rsidRPr="002F383C">
        <w:rPr>
          <w:rFonts w:cs="Times New Roman"/>
          <w:b/>
          <w:bCs/>
          <w:i/>
          <w:iCs/>
        </w:rPr>
        <w:t>Yang, et al.,</w:t>
      </w:r>
      <w:r w:rsidR="00721B41" w:rsidRPr="002F383C">
        <w:rPr>
          <w:rFonts w:cs="Times New Roman"/>
          <w:b/>
          <w:bCs/>
          <w:i/>
          <w:iCs/>
        </w:rPr>
        <w:t xml:space="preserve"> 2024)</w:t>
      </w:r>
      <w:r w:rsidR="00AE0E53" w:rsidRPr="002F383C">
        <w:rPr>
          <w:rFonts w:cs="Times New Roman"/>
          <w:b/>
          <w:bCs/>
          <w:i/>
          <w:iCs/>
        </w:rPr>
        <w:t xml:space="preserve"> </w:t>
      </w:r>
    </w:p>
    <w:p w14:paraId="060EBFD4" w14:textId="2033F71B" w:rsidR="00FE4238" w:rsidRPr="002F383C" w:rsidRDefault="002D1075" w:rsidP="00D23C43">
      <w:pPr>
        <w:spacing w:before="240" w:after="240"/>
        <w:rPr>
          <w:rFonts w:cs="Times New Roman"/>
        </w:rPr>
      </w:pPr>
      <w:r w:rsidRPr="002F383C">
        <w:rPr>
          <w:rFonts w:cs="Times New Roman"/>
        </w:rPr>
        <w:t>It has been analysed that a</w:t>
      </w:r>
      <w:r w:rsidR="00CD257A" w:rsidRPr="002F383C">
        <w:rPr>
          <w:rFonts w:cs="Times New Roman"/>
        </w:rPr>
        <w:t>n important trade-off</w:t>
      </w:r>
      <w:r w:rsidR="008C6C77" w:rsidRPr="002F383C">
        <w:rPr>
          <w:rFonts w:cs="Times New Roman"/>
        </w:rPr>
        <w:t xml:space="preserve"> </w:t>
      </w:r>
      <w:r w:rsidR="00CD257A" w:rsidRPr="002F383C">
        <w:rPr>
          <w:rFonts w:cs="Times New Roman"/>
        </w:rPr>
        <w:t xml:space="preserve">relates to redundancy and efficiency. </w:t>
      </w:r>
      <w:r w:rsidR="001015E4" w:rsidRPr="002F383C">
        <w:rPr>
          <w:rFonts w:cs="Times New Roman"/>
        </w:rPr>
        <w:t>Yang</w:t>
      </w:r>
      <w:r w:rsidR="00F308C5" w:rsidRPr="002F383C">
        <w:rPr>
          <w:rFonts w:cs="Times New Roman"/>
        </w:rPr>
        <w:t>,</w:t>
      </w:r>
      <w:r w:rsidR="001015E4" w:rsidRPr="002F383C">
        <w:rPr>
          <w:rFonts w:cs="Times New Roman"/>
        </w:rPr>
        <w:t xml:space="preserve"> et al.</w:t>
      </w:r>
      <w:r w:rsidR="00B9693B" w:rsidRPr="002F383C">
        <w:rPr>
          <w:rFonts w:cs="Times New Roman"/>
        </w:rPr>
        <w:t>,</w:t>
      </w:r>
      <w:r w:rsidR="001015E4" w:rsidRPr="002F383C">
        <w:rPr>
          <w:rFonts w:cs="Times New Roman"/>
        </w:rPr>
        <w:t xml:space="preserve"> (2024)</w:t>
      </w:r>
      <w:r w:rsidR="00B9693B" w:rsidRPr="002F383C">
        <w:rPr>
          <w:rFonts w:cs="Times New Roman"/>
        </w:rPr>
        <w:t>,</w:t>
      </w:r>
      <w:r w:rsidR="001015E4" w:rsidRPr="002F383C">
        <w:rPr>
          <w:rFonts w:cs="Times New Roman"/>
        </w:rPr>
        <w:t xml:space="preserve"> differentiate between redundancy and flexibility, where redundancy is the capacity to expand or the availability of other resources while flexibility is the ability to adapt supply chains if conditions change</w:t>
      </w:r>
      <w:r w:rsidR="00BD5DBD" w:rsidRPr="002F383C">
        <w:rPr>
          <w:rFonts w:cs="Times New Roman"/>
        </w:rPr>
        <w:t xml:space="preserve"> (refer to the above figure)</w:t>
      </w:r>
      <w:r w:rsidR="001015E4" w:rsidRPr="002F383C">
        <w:rPr>
          <w:rFonts w:cs="Times New Roman"/>
        </w:rPr>
        <w:t xml:space="preserve">. </w:t>
      </w:r>
      <w:r w:rsidR="00FF1B0F" w:rsidRPr="002F383C">
        <w:rPr>
          <w:rFonts w:cs="Times New Roman"/>
        </w:rPr>
        <w:t>This further</w:t>
      </w:r>
      <w:r w:rsidR="001015E4" w:rsidRPr="002F383C">
        <w:rPr>
          <w:rFonts w:cs="Times New Roman"/>
        </w:rPr>
        <w:t xml:space="preserve"> indicates that redundancy alone is not sufficient to build resilience. On the contrary, it is necessary for companies to set up the right level of redundancy and flexibility considering their conditions and vulnerability</w:t>
      </w:r>
      <w:r w:rsidR="007A4A5E" w:rsidRPr="002F383C">
        <w:rPr>
          <w:rFonts w:cs="Times New Roman"/>
        </w:rPr>
        <w:t xml:space="preserve"> (</w:t>
      </w:r>
      <w:r w:rsidR="007A4A5E" w:rsidRPr="002F383C">
        <w:rPr>
          <w:rFonts w:cs="Times New Roman"/>
          <w:shd w:val="clear" w:color="auto" w:fill="FFFFFF"/>
        </w:rPr>
        <w:t>Dittfeld, et al., 2022)</w:t>
      </w:r>
      <w:r w:rsidR="001015E4" w:rsidRPr="002F383C">
        <w:rPr>
          <w:rFonts w:cs="Times New Roman"/>
        </w:rPr>
        <w:t xml:space="preserve">. </w:t>
      </w:r>
      <w:r w:rsidR="0007370A" w:rsidRPr="002F383C">
        <w:rPr>
          <w:rFonts w:cs="Times New Roman"/>
        </w:rPr>
        <w:t xml:space="preserve">Redundancy that is too high can be costly in times of stability, while </w:t>
      </w:r>
      <w:r w:rsidR="00AB1C80" w:rsidRPr="002F383C">
        <w:rPr>
          <w:rFonts w:cs="Times New Roman"/>
        </w:rPr>
        <w:t xml:space="preserve">a </w:t>
      </w:r>
      <w:r w:rsidR="0007370A" w:rsidRPr="002F383C">
        <w:rPr>
          <w:rFonts w:cs="Times New Roman"/>
        </w:rPr>
        <w:t>lack of redundancy will make the firm v</w:t>
      </w:r>
      <w:r w:rsidR="001F5261">
        <w:rPr>
          <w:rFonts w:cs="Times New Roman"/>
        </w:rPr>
        <w:t>ulnerable in case of disruption</w:t>
      </w:r>
      <w:r w:rsidR="00FE4238" w:rsidRPr="002F383C">
        <w:rPr>
          <w:rFonts w:cs="Times New Roman"/>
        </w:rPr>
        <w:t>.</w:t>
      </w:r>
    </w:p>
    <w:p w14:paraId="637521E3" w14:textId="5226A068" w:rsidR="00FE4238" w:rsidRPr="002F383C" w:rsidRDefault="006A2325" w:rsidP="00D23C43">
      <w:pPr>
        <w:spacing w:before="240" w:after="240"/>
        <w:rPr>
          <w:rFonts w:cs="Times New Roman"/>
        </w:rPr>
      </w:pPr>
      <w:r w:rsidRPr="002F383C">
        <w:rPr>
          <w:rFonts w:cs="Times New Roman"/>
        </w:rPr>
        <w:t>Further, s</w:t>
      </w:r>
      <w:r w:rsidR="001608DA" w:rsidRPr="002F383C">
        <w:rPr>
          <w:rFonts w:cs="Times New Roman"/>
        </w:rPr>
        <w:t xml:space="preserve">upplier diversification presents a similar challenge. </w:t>
      </w:r>
      <w:r w:rsidR="00B80321" w:rsidRPr="002F383C">
        <w:rPr>
          <w:rFonts w:cs="Times New Roman"/>
        </w:rPr>
        <w:t>Ma</w:t>
      </w:r>
      <w:r w:rsidR="000C6540" w:rsidRPr="002F383C">
        <w:rPr>
          <w:rFonts w:cs="Times New Roman"/>
        </w:rPr>
        <w:t>,</w:t>
      </w:r>
      <w:r w:rsidR="00B80321" w:rsidRPr="002F383C">
        <w:rPr>
          <w:rFonts w:cs="Times New Roman"/>
        </w:rPr>
        <w:t xml:space="preserve"> et al.</w:t>
      </w:r>
      <w:r w:rsidR="000C6540" w:rsidRPr="002F383C">
        <w:rPr>
          <w:rFonts w:cs="Times New Roman"/>
        </w:rPr>
        <w:t>,</w:t>
      </w:r>
      <w:r w:rsidR="00B80321" w:rsidRPr="002F383C">
        <w:rPr>
          <w:rFonts w:cs="Times New Roman"/>
        </w:rPr>
        <w:t xml:space="preserve"> (2024)</w:t>
      </w:r>
      <w:r w:rsidR="000C6540" w:rsidRPr="002F383C">
        <w:rPr>
          <w:rFonts w:cs="Times New Roman"/>
        </w:rPr>
        <w:t>,</w:t>
      </w:r>
      <w:r w:rsidR="00B80321" w:rsidRPr="002F383C">
        <w:rPr>
          <w:rFonts w:cs="Times New Roman"/>
        </w:rPr>
        <w:t xml:space="preserve"> </w:t>
      </w:r>
      <w:r w:rsidR="008A2BC7" w:rsidRPr="002F383C">
        <w:rPr>
          <w:rFonts w:cs="Times New Roman"/>
        </w:rPr>
        <w:t>indicated</w:t>
      </w:r>
      <w:r w:rsidR="00B80321" w:rsidRPr="002F383C">
        <w:rPr>
          <w:rFonts w:cs="Times New Roman"/>
        </w:rPr>
        <w:t xml:space="preserve"> that diversifying production and processing locations can help improve the resilience of food supply chains</w:t>
      </w:r>
      <w:r w:rsidR="00EE47E3" w:rsidRPr="002F383C">
        <w:rPr>
          <w:rFonts w:cs="Times New Roman"/>
        </w:rPr>
        <w:t xml:space="preserve"> (</w:t>
      </w:r>
      <w:r w:rsidR="00EE47E3" w:rsidRPr="002F383C">
        <w:rPr>
          <w:rFonts w:cs="Times New Roman"/>
          <w:shd w:val="clear" w:color="auto" w:fill="FFFFFF"/>
        </w:rPr>
        <w:t>Rimhanen, et al., 2023)</w:t>
      </w:r>
      <w:r w:rsidR="00CD575A" w:rsidRPr="002F383C">
        <w:rPr>
          <w:rFonts w:cs="Times New Roman"/>
        </w:rPr>
        <w:t>. However,  this study</w:t>
      </w:r>
      <w:r w:rsidR="00B80321" w:rsidRPr="002F383C">
        <w:rPr>
          <w:rFonts w:cs="Times New Roman"/>
        </w:rPr>
        <w:t xml:space="preserve"> </w:t>
      </w:r>
      <w:r w:rsidR="009106D8" w:rsidRPr="002F383C">
        <w:rPr>
          <w:rFonts w:cs="Times New Roman"/>
        </w:rPr>
        <w:t xml:space="preserve">further </w:t>
      </w:r>
      <w:r w:rsidR="00B80321" w:rsidRPr="002F383C">
        <w:rPr>
          <w:rFonts w:cs="Times New Roman"/>
        </w:rPr>
        <w:t xml:space="preserve">shows that improving resilience can </w:t>
      </w:r>
      <w:r w:rsidR="00617F3C" w:rsidRPr="002F383C">
        <w:rPr>
          <w:rFonts w:cs="Times New Roman"/>
        </w:rPr>
        <w:t xml:space="preserve">involve </w:t>
      </w:r>
      <w:r w:rsidR="00733787" w:rsidRPr="002F383C">
        <w:rPr>
          <w:rFonts w:cs="Times New Roman"/>
        </w:rPr>
        <w:t>decline</w:t>
      </w:r>
      <w:r w:rsidR="00617F3C" w:rsidRPr="002F383C">
        <w:rPr>
          <w:rFonts w:cs="Times New Roman"/>
        </w:rPr>
        <w:t xml:space="preserve"> in</w:t>
      </w:r>
      <w:r w:rsidR="00B80321" w:rsidRPr="002F383C">
        <w:rPr>
          <w:rFonts w:cs="Times New Roman"/>
        </w:rPr>
        <w:t xml:space="preserve"> economic efficiency</w:t>
      </w:r>
      <w:r w:rsidR="00FE4238" w:rsidRPr="002F383C">
        <w:rPr>
          <w:rFonts w:cs="Times New Roman"/>
        </w:rPr>
        <w:t>.</w:t>
      </w:r>
      <w:r w:rsidR="00BE5F57" w:rsidRPr="002F383C">
        <w:rPr>
          <w:rFonts w:cs="Times New Roman"/>
        </w:rPr>
        <w:t xml:space="preserve"> This implies that diversification cannot automatically be assumed to be effective for the compa</w:t>
      </w:r>
      <w:r w:rsidR="007178F3" w:rsidRPr="002F383C">
        <w:rPr>
          <w:rFonts w:cs="Times New Roman"/>
        </w:rPr>
        <w:t>ny</w:t>
      </w:r>
      <w:r w:rsidR="00BE5F57" w:rsidRPr="002F383C">
        <w:rPr>
          <w:rFonts w:cs="Times New Roman"/>
        </w:rPr>
        <w:t>.</w:t>
      </w:r>
      <w:r w:rsidR="007178F3" w:rsidRPr="002F383C">
        <w:rPr>
          <w:rFonts w:cs="Times New Roman"/>
        </w:rPr>
        <w:t xml:space="preserve"> It depends on the nature of the supply chain as well as the nature of the disruption involved.</w:t>
      </w:r>
      <w:r w:rsidR="00D21F2E" w:rsidRPr="002F383C">
        <w:rPr>
          <w:rFonts w:cs="Times New Roman"/>
        </w:rPr>
        <w:t xml:space="preserve"> </w:t>
      </w:r>
      <w:r w:rsidR="00624276" w:rsidRPr="002F383C">
        <w:rPr>
          <w:rFonts w:cs="Times New Roman"/>
        </w:rPr>
        <w:t xml:space="preserve">The application of digital technologies may lead to further organisational challenges </w:t>
      </w:r>
      <w:r w:rsidR="00AB1C80" w:rsidRPr="002F383C">
        <w:rPr>
          <w:rFonts w:cs="Times New Roman"/>
        </w:rPr>
        <w:t xml:space="preserve">in </w:t>
      </w:r>
      <w:r w:rsidR="00624276" w:rsidRPr="002F383C">
        <w:rPr>
          <w:rFonts w:cs="Times New Roman"/>
        </w:rPr>
        <w:t xml:space="preserve">supply chain </w:t>
      </w:r>
      <w:r w:rsidR="000B7586" w:rsidRPr="002F383C">
        <w:rPr>
          <w:rFonts w:cs="Times New Roman"/>
        </w:rPr>
        <w:t xml:space="preserve">management </w:t>
      </w:r>
      <w:r w:rsidR="00624276" w:rsidRPr="002F383C">
        <w:rPr>
          <w:rFonts w:cs="Times New Roman"/>
        </w:rPr>
        <w:t xml:space="preserve">if companies aim at increasing their resilience while ensuring efficiency in operations. </w:t>
      </w:r>
      <w:r w:rsidR="005219BB" w:rsidRPr="002F383C">
        <w:rPr>
          <w:rFonts w:cs="Times New Roman"/>
        </w:rPr>
        <w:t xml:space="preserve">According to </w:t>
      </w:r>
      <w:r w:rsidR="006F4251" w:rsidRPr="002F383C">
        <w:rPr>
          <w:rFonts w:cs="Times New Roman"/>
          <w:shd w:val="clear" w:color="auto" w:fill="FFFFFF"/>
        </w:rPr>
        <w:t>Mishra, et al., (2025</w:t>
      </w:r>
      <w:r w:rsidR="005219BB" w:rsidRPr="002F383C">
        <w:rPr>
          <w:rFonts w:cs="Times New Roman"/>
        </w:rPr>
        <w:t xml:space="preserve">), digital technologies may increase resilience and efficiency of firms, whereas the effects of technological implementation will vary depending on the balance between different operational goals of organisations. </w:t>
      </w:r>
      <w:r w:rsidR="00E26696" w:rsidRPr="002F383C">
        <w:rPr>
          <w:rFonts w:cs="Times New Roman"/>
        </w:rPr>
        <w:t xml:space="preserve">Likewise, </w:t>
      </w:r>
      <w:r w:rsidR="00B45F10" w:rsidRPr="002F383C">
        <w:rPr>
          <w:rFonts w:cs="Times New Roman"/>
          <w:shd w:val="clear" w:color="auto" w:fill="FFFFFF"/>
        </w:rPr>
        <w:t>Piprani, et al., (2022</w:t>
      </w:r>
      <w:r w:rsidR="00E26696" w:rsidRPr="002F383C">
        <w:rPr>
          <w:rFonts w:cs="Times New Roman"/>
        </w:rPr>
        <w:t>)</w:t>
      </w:r>
      <w:r w:rsidR="00300D14" w:rsidRPr="002F383C">
        <w:rPr>
          <w:rFonts w:cs="Times New Roman"/>
        </w:rPr>
        <w:t>,</w:t>
      </w:r>
      <w:r w:rsidR="00E26696" w:rsidRPr="002F383C">
        <w:rPr>
          <w:rFonts w:cs="Times New Roman"/>
        </w:rPr>
        <w:t xml:space="preserve"> highlight</w:t>
      </w:r>
      <w:r w:rsidR="008E1311" w:rsidRPr="002F383C">
        <w:rPr>
          <w:rFonts w:cs="Times New Roman"/>
        </w:rPr>
        <w:t>ed</w:t>
      </w:r>
      <w:r w:rsidR="00E26696" w:rsidRPr="002F383C">
        <w:rPr>
          <w:rFonts w:cs="Times New Roman"/>
        </w:rPr>
        <w:t xml:space="preserve"> added capacity and flexibility as other key factors </w:t>
      </w:r>
      <w:r w:rsidR="002A5742">
        <w:rPr>
          <w:rFonts w:cs="Times New Roman"/>
        </w:rPr>
        <w:t>in</w:t>
      </w:r>
      <w:r w:rsidR="00E26696" w:rsidRPr="002F383C">
        <w:rPr>
          <w:rFonts w:cs="Times New Roman"/>
        </w:rPr>
        <w:t xml:space="preserve"> network mitigation. This demonstrates that resilient networks demand proper resource deployment rather than one-size-fits-all solutions.</w:t>
      </w:r>
    </w:p>
    <w:p w14:paraId="5ECD9C20" w14:textId="551BB377" w:rsidR="00026C8C" w:rsidRPr="002F383C" w:rsidRDefault="00F51B46" w:rsidP="00D23C43">
      <w:pPr>
        <w:spacing w:before="240" w:after="240"/>
        <w:rPr>
          <w:rFonts w:cs="Times New Roman"/>
        </w:rPr>
      </w:pPr>
      <w:r w:rsidRPr="002F383C">
        <w:rPr>
          <w:rFonts w:cs="Times New Roman"/>
        </w:rPr>
        <w:t>Thus, resilience should not be defined as maximising all the potential capabilities that protect organisations</w:t>
      </w:r>
      <w:r w:rsidR="000B40F3" w:rsidRPr="002F383C">
        <w:rPr>
          <w:rFonts w:cs="Times New Roman"/>
        </w:rPr>
        <w:t xml:space="preserve">. The major hurdle for UK food businesses going global is achieving balance between resilience investment and cost, efficiency and supply chain complexity. </w:t>
      </w:r>
      <w:r w:rsidR="009E1224" w:rsidRPr="002F383C">
        <w:rPr>
          <w:rFonts w:cs="Times New Roman"/>
        </w:rPr>
        <w:t xml:space="preserve">It implies that the performance of resilience measures depends on the existence of alternative resources as well as the capacity of businesses to sustain such resources in </w:t>
      </w:r>
      <w:r w:rsidR="00AB1C80" w:rsidRPr="002F383C">
        <w:rPr>
          <w:rFonts w:cs="Times New Roman"/>
        </w:rPr>
        <w:t xml:space="preserve">an </w:t>
      </w:r>
      <w:r w:rsidR="009E1224" w:rsidRPr="002F383C">
        <w:rPr>
          <w:rFonts w:cs="Times New Roman"/>
        </w:rPr>
        <w:t>efficient manner.</w:t>
      </w:r>
      <w:r w:rsidR="00E34259" w:rsidRPr="002F383C">
        <w:rPr>
          <w:rFonts w:cs="Times New Roman"/>
        </w:rPr>
        <w:t xml:space="preserve"> Overall, fostering resilience can generate significant balancing opportunities between protection from disruption and operational efficiency. Other suppliers, variability in arrangements</w:t>
      </w:r>
      <w:r w:rsidR="00AB1C80" w:rsidRPr="002F383C">
        <w:rPr>
          <w:rFonts w:cs="Times New Roman"/>
        </w:rPr>
        <w:t>,</w:t>
      </w:r>
      <w:r w:rsidR="00E34259" w:rsidRPr="002F383C">
        <w:rPr>
          <w:rFonts w:cs="Times New Roman"/>
        </w:rPr>
        <w:t xml:space="preserve"> and technological investments can increase costs and coordination needs. Thus, food manufacturers should be mindful of the need to build their resilience without building complexity into international supply chains.</w:t>
      </w:r>
    </w:p>
    <w:p w14:paraId="2A116300" w14:textId="116A32BC" w:rsidR="007B6807" w:rsidRPr="002F383C" w:rsidRDefault="007615F1" w:rsidP="00D23C43">
      <w:pPr>
        <w:pStyle w:val="Heading2"/>
        <w:spacing w:before="240" w:after="240"/>
        <w:rPr>
          <w:rFonts w:cs="Times New Roman"/>
          <w:szCs w:val="24"/>
        </w:rPr>
      </w:pPr>
      <w:bookmarkStart w:id="40" w:name="_Toc241252021"/>
      <w:r w:rsidRPr="002F383C">
        <w:rPr>
          <w:rFonts w:cs="Times New Roman"/>
          <w:szCs w:val="24"/>
        </w:rPr>
        <w:t xml:space="preserve">2.8 </w:t>
      </w:r>
      <w:r w:rsidR="007B6807" w:rsidRPr="002F383C">
        <w:rPr>
          <w:rFonts w:cs="Times New Roman"/>
          <w:szCs w:val="24"/>
        </w:rPr>
        <w:t>Strengthening Supply Chain Resilience to Support International Expansion</w:t>
      </w:r>
      <w:bookmarkEnd w:id="37"/>
      <w:bookmarkEnd w:id="38"/>
      <w:bookmarkEnd w:id="40"/>
      <w:r w:rsidR="007B6807" w:rsidRPr="002F383C">
        <w:rPr>
          <w:rFonts w:cs="Times New Roman"/>
          <w:szCs w:val="24"/>
        </w:rPr>
        <w:t xml:space="preserve"> </w:t>
      </w:r>
    </w:p>
    <w:p w14:paraId="2E7D60A5" w14:textId="076368E3" w:rsidR="00A91345" w:rsidRPr="002F383C" w:rsidRDefault="007B6807" w:rsidP="00D23C43">
      <w:pPr>
        <w:spacing w:before="240" w:after="240"/>
        <w:rPr>
          <w:rFonts w:cs="Times New Roman"/>
        </w:rPr>
      </w:pPr>
      <w:r w:rsidRPr="002F383C">
        <w:rPr>
          <w:rFonts w:cs="Times New Roman"/>
        </w:rPr>
        <w:t>Stoeva, et al., (2024), highlight the importance of engaging suppliers, logistics actors, and market actors to enhance adaptation to uncertainty. Furthermore, Dukhaykh and Alangri, (2026), propose that dynamic capabilities are associated with the ongoing examination of risks and the flexibility to adjust resources and processes by firms. This suggests that building resilience does not only involve building resources and relationships but also includes the ability of organi</w:t>
      </w:r>
      <w:r w:rsidR="00BD7BC5" w:rsidRPr="002F383C">
        <w:rPr>
          <w:rFonts w:cs="Times New Roman"/>
        </w:rPr>
        <w:t>s</w:t>
      </w:r>
      <w:r w:rsidRPr="002F383C">
        <w:rPr>
          <w:rFonts w:cs="Times New Roman"/>
        </w:rPr>
        <w:t>ations to continually adapt to these relationships in situations of disruption. Therefore, the concept of resilience should form part of the international expansion strategy by considering all five strategies of supplier diversification, flexibility, visibility, collaboration, and adaptability. However, there is a lack of existing research that addresses how these strategies can be integrated to facilitate the internationalisation of UK food manufacturing. To address this gap, the study focuses on the role of resilience strategies for enhancing firms' capacity to grow internationally while keeping supply chains stable and sustainable.</w:t>
      </w:r>
    </w:p>
    <w:p w14:paraId="337A7442" w14:textId="3D036F47" w:rsidR="00A91345" w:rsidRPr="002F383C" w:rsidRDefault="00F02E9E" w:rsidP="00D23C43">
      <w:pPr>
        <w:spacing w:before="240" w:after="240"/>
        <w:rPr>
          <w:rFonts w:cs="Times New Roman"/>
          <w:b/>
          <w:bCs/>
        </w:rPr>
      </w:pPr>
      <w:r w:rsidRPr="002F383C">
        <w:rPr>
          <w:rFonts w:cs="Times New Roman"/>
        </w:rPr>
        <w:t xml:space="preserve">Furthermore, there is a need to </w:t>
      </w:r>
      <w:r w:rsidR="000F40F2" w:rsidRPr="002F383C">
        <w:rPr>
          <w:rFonts w:cs="Times New Roman"/>
        </w:rPr>
        <w:t>enhance</w:t>
      </w:r>
      <w:r w:rsidRPr="002F383C">
        <w:rPr>
          <w:rFonts w:cs="Times New Roman"/>
        </w:rPr>
        <w:t xml:space="preserve"> </w:t>
      </w:r>
      <w:r w:rsidR="00AB1C80" w:rsidRPr="002F383C">
        <w:rPr>
          <w:rFonts w:cs="Times New Roman"/>
        </w:rPr>
        <w:t xml:space="preserve">the </w:t>
      </w:r>
      <w:r w:rsidRPr="002F383C">
        <w:rPr>
          <w:rFonts w:cs="Times New Roman"/>
        </w:rPr>
        <w:t xml:space="preserve">resilience of firms by evaluating whether and how these capabilities can complement each other, rather than use them separately. </w:t>
      </w:r>
      <w:r w:rsidR="005A0451" w:rsidRPr="002F383C">
        <w:rPr>
          <w:rFonts w:cs="Times New Roman"/>
        </w:rPr>
        <w:t xml:space="preserve">Supplier diversification </w:t>
      </w:r>
      <w:r w:rsidR="00ED6D47" w:rsidRPr="002F383C">
        <w:rPr>
          <w:rFonts w:cs="Times New Roman"/>
        </w:rPr>
        <w:t>ha</w:t>
      </w:r>
      <w:r w:rsidR="00AB1C80" w:rsidRPr="002F383C">
        <w:rPr>
          <w:rFonts w:cs="Times New Roman"/>
        </w:rPr>
        <w:t>s th</w:t>
      </w:r>
      <w:r w:rsidR="00ED6D47" w:rsidRPr="002F383C">
        <w:rPr>
          <w:rFonts w:cs="Times New Roman"/>
        </w:rPr>
        <w:t xml:space="preserve">e potential to </w:t>
      </w:r>
      <w:r w:rsidR="005A0451" w:rsidRPr="002F383C">
        <w:rPr>
          <w:rFonts w:cs="Times New Roman"/>
        </w:rPr>
        <w:t>ensure there are other sources that may be used in case of disruption of any supplier, while flexibility will enable companies to restructure their logistics as per requirements</w:t>
      </w:r>
      <w:r w:rsidR="00776CDE" w:rsidRPr="002F383C">
        <w:rPr>
          <w:rFonts w:cs="Times New Roman"/>
        </w:rPr>
        <w:t xml:space="preserve"> (</w:t>
      </w:r>
      <w:r w:rsidR="00776CDE" w:rsidRPr="002F383C">
        <w:rPr>
          <w:rFonts w:cs="Times New Roman"/>
          <w:shd w:val="clear" w:color="auto" w:fill="FFFFFF"/>
        </w:rPr>
        <w:t>Habibi, et al., 2025)</w:t>
      </w:r>
      <w:r w:rsidRPr="002F383C">
        <w:rPr>
          <w:rFonts w:cs="Times New Roman"/>
        </w:rPr>
        <w:t xml:space="preserve">. </w:t>
      </w:r>
      <w:r w:rsidR="00897AAC" w:rsidRPr="002F383C">
        <w:rPr>
          <w:rFonts w:cs="Times New Roman"/>
        </w:rPr>
        <w:t>In the</w:t>
      </w:r>
      <w:r w:rsidR="0026042E" w:rsidRPr="002F383C">
        <w:rPr>
          <w:rFonts w:cs="Times New Roman"/>
        </w:rPr>
        <w:t xml:space="preserve"> view of </w:t>
      </w:r>
      <w:r w:rsidR="008A0C2F" w:rsidRPr="002F383C">
        <w:rPr>
          <w:rFonts w:cs="Times New Roman"/>
        </w:rPr>
        <w:t>Nnabueze, et al., (2021</w:t>
      </w:r>
      <w:r w:rsidR="0026042E" w:rsidRPr="002F383C">
        <w:rPr>
          <w:rFonts w:cs="Times New Roman"/>
        </w:rPr>
        <w:t>), vi</w:t>
      </w:r>
      <w:r w:rsidRPr="002F383C">
        <w:rPr>
          <w:rFonts w:cs="Times New Roman"/>
        </w:rPr>
        <w:t xml:space="preserve">sibility can help identify problems as and when they happen, giving stakeholders in the supply chain timely information, while collaboration can enhance the communication and coordinated response of supply chain actors. </w:t>
      </w:r>
      <w:r w:rsidR="0092722E" w:rsidRPr="002F383C">
        <w:rPr>
          <w:rFonts w:cs="Times New Roman"/>
        </w:rPr>
        <w:t xml:space="preserve">This is aligned with the perspective of </w:t>
      </w:r>
      <w:r w:rsidR="00E15555" w:rsidRPr="002F383C">
        <w:rPr>
          <w:rFonts w:cs="Times New Roman"/>
        </w:rPr>
        <w:t xml:space="preserve">Kähkönen, et al., </w:t>
      </w:r>
      <w:r w:rsidR="0092722E" w:rsidRPr="002F383C">
        <w:rPr>
          <w:rFonts w:cs="Times New Roman"/>
        </w:rPr>
        <w:t>(</w:t>
      </w:r>
      <w:r w:rsidR="00E15555" w:rsidRPr="002F383C">
        <w:rPr>
          <w:rFonts w:cs="Times New Roman"/>
        </w:rPr>
        <w:t>2023</w:t>
      </w:r>
      <w:r w:rsidR="0092722E" w:rsidRPr="002F383C">
        <w:rPr>
          <w:rFonts w:cs="Times New Roman"/>
        </w:rPr>
        <w:t>), as they indicate that f</w:t>
      </w:r>
      <w:r w:rsidRPr="002F383C">
        <w:rPr>
          <w:rFonts w:cs="Times New Roman"/>
        </w:rPr>
        <w:t xml:space="preserve">irms must have the ability to adjust their arrangements and resources when they are no longer appropriate. </w:t>
      </w:r>
    </w:p>
    <w:p w14:paraId="780FC1DA" w14:textId="76E5C194" w:rsidR="007B6807" w:rsidRPr="002F383C" w:rsidRDefault="006E3C24" w:rsidP="00D23C43">
      <w:pPr>
        <w:spacing w:before="240" w:after="240"/>
        <w:rPr>
          <w:rFonts w:cs="Times New Roman"/>
        </w:rPr>
      </w:pPr>
      <w:r w:rsidRPr="002F383C">
        <w:rPr>
          <w:rFonts w:cs="Times New Roman"/>
        </w:rPr>
        <w:t>However, promoting resilience will also involve companies paying attention to the resources they must maintain to sustain these capabilities. Additional investment and coordination might be required for alternative suppliers, flexible logistics arrangements and digital systems</w:t>
      </w:r>
      <w:r w:rsidR="00AD17C0" w:rsidRPr="002F383C">
        <w:rPr>
          <w:rFonts w:cs="Times New Roman"/>
        </w:rPr>
        <w:t xml:space="preserve"> (</w:t>
      </w:r>
      <w:r w:rsidR="001E2813" w:rsidRPr="002F383C">
        <w:rPr>
          <w:rFonts w:cs="Times New Roman"/>
        </w:rPr>
        <w:t>Roman, et al., 2025</w:t>
      </w:r>
      <w:r w:rsidR="00AD17C0" w:rsidRPr="002F383C">
        <w:rPr>
          <w:rFonts w:cs="Times New Roman"/>
        </w:rPr>
        <w:t>)</w:t>
      </w:r>
      <w:r w:rsidRPr="002F383C">
        <w:rPr>
          <w:rFonts w:cs="Times New Roman"/>
        </w:rPr>
        <w:t>. Thus, it is critical that organisations identify ways to implement resilience measures without imposing additional unwanted complexity or levels of inefficiency in the processes</w:t>
      </w:r>
      <w:r w:rsidR="00DD113A" w:rsidRPr="002F383C">
        <w:rPr>
          <w:rFonts w:cs="Times New Roman"/>
        </w:rPr>
        <w:t xml:space="preserve"> (Malik, et al., 2022)</w:t>
      </w:r>
      <w:r w:rsidRPr="002F383C">
        <w:rPr>
          <w:rFonts w:cs="Times New Roman"/>
        </w:rPr>
        <w:t>. This is significant for food production, where it may impact availability, quality and timely delivery of the products</w:t>
      </w:r>
      <w:r w:rsidR="00A91345" w:rsidRPr="002F383C">
        <w:rPr>
          <w:rFonts w:cs="Times New Roman"/>
        </w:rPr>
        <w:t xml:space="preserve">. </w:t>
      </w:r>
      <w:r w:rsidR="00F05CA2" w:rsidRPr="002F383C">
        <w:rPr>
          <w:rFonts w:cs="Times New Roman"/>
        </w:rPr>
        <w:t>Therefore, building resilience in the supply chain must include constant evaluation of the risks, supply chain networks, and arrangements. This may help companies change their strategies for building up resilience in response to changes in the international markets and supply chain</w:t>
      </w:r>
      <w:r w:rsidR="005818C2" w:rsidRPr="002F383C">
        <w:rPr>
          <w:rFonts w:cs="Times New Roman"/>
        </w:rPr>
        <w:t>s.</w:t>
      </w:r>
      <w:r w:rsidR="00816C2C" w:rsidRPr="002F383C">
        <w:rPr>
          <w:rFonts w:cs="Times New Roman"/>
        </w:rPr>
        <w:t xml:space="preserve"> Overall, developing resilience is about embedding a range of strengths or capabilities within organisations rather than a set of individual strategies. Risks, relationships and resources can be assessed continuously to support this process. </w:t>
      </w:r>
      <w:r w:rsidR="00125ECD" w:rsidRPr="002F383C">
        <w:rPr>
          <w:rFonts w:cs="Times New Roman"/>
        </w:rPr>
        <w:t>Further research is needed to investigate the process through which these competencies can be utili</w:t>
      </w:r>
      <w:r w:rsidR="0035357E" w:rsidRPr="002F383C">
        <w:rPr>
          <w:rFonts w:cs="Times New Roman"/>
        </w:rPr>
        <w:t>s</w:t>
      </w:r>
      <w:r w:rsidR="00125ECD" w:rsidRPr="002F383C">
        <w:rPr>
          <w:rFonts w:cs="Times New Roman"/>
        </w:rPr>
        <w:t>ed efficiently in UK food manufacturing industries during their global expansion.</w:t>
      </w:r>
    </w:p>
    <w:p w14:paraId="0F8CB3A5" w14:textId="28C74CA2" w:rsidR="007B6807" w:rsidRPr="002F383C" w:rsidRDefault="007B6807" w:rsidP="00D23C43">
      <w:pPr>
        <w:pStyle w:val="Heading2"/>
        <w:spacing w:before="240" w:after="240"/>
        <w:rPr>
          <w:rFonts w:cs="Times New Roman"/>
          <w:szCs w:val="24"/>
        </w:rPr>
      </w:pPr>
      <w:bookmarkStart w:id="41" w:name="_Toc237877890"/>
      <w:bookmarkStart w:id="42" w:name="_Toc240316928"/>
      <w:bookmarkStart w:id="43" w:name="_Toc241252022"/>
      <w:r w:rsidRPr="002F383C">
        <w:rPr>
          <w:rFonts w:cs="Times New Roman"/>
          <w:szCs w:val="24"/>
        </w:rPr>
        <w:t>2.</w:t>
      </w:r>
      <w:r w:rsidR="009556E1" w:rsidRPr="002F383C">
        <w:rPr>
          <w:rFonts w:cs="Times New Roman"/>
          <w:szCs w:val="24"/>
        </w:rPr>
        <w:t>9</w:t>
      </w:r>
      <w:r w:rsidRPr="002F383C">
        <w:rPr>
          <w:rFonts w:cs="Times New Roman"/>
          <w:szCs w:val="24"/>
        </w:rPr>
        <w:t xml:space="preserve"> Theoretical Framework</w:t>
      </w:r>
      <w:bookmarkEnd w:id="41"/>
      <w:bookmarkEnd w:id="42"/>
      <w:bookmarkEnd w:id="43"/>
    </w:p>
    <w:p w14:paraId="23D486B4" w14:textId="77777777" w:rsidR="007B6807" w:rsidRPr="002F383C" w:rsidRDefault="007B6807" w:rsidP="00D23C43">
      <w:pPr>
        <w:spacing w:before="240" w:after="240"/>
        <w:jc w:val="center"/>
        <w:rPr>
          <w:rFonts w:cs="Times New Roman"/>
          <w:b/>
          <w:bCs/>
          <w:i/>
          <w:iCs/>
        </w:rPr>
      </w:pPr>
      <w:r w:rsidRPr="002F383C">
        <w:rPr>
          <w:rFonts w:cs="Times New Roman"/>
          <w:b/>
          <w:bCs/>
          <w:i/>
          <w:iCs/>
          <w:noProof/>
          <w:lang w:eastAsia="en-GB"/>
        </w:rPr>
        <w:drawing>
          <wp:inline distT="0" distB="0" distL="0" distR="0" wp14:anchorId="70EB6617" wp14:editId="11B884E8">
            <wp:extent cx="5118536" cy="3326765"/>
            <wp:effectExtent l="19050" t="19050" r="25400" b="26035"/>
            <wp:docPr id="1052248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248709" name=""/>
                    <pic:cNvPicPr/>
                  </pic:nvPicPr>
                  <pic:blipFill>
                    <a:blip r:embed="rId12"/>
                    <a:stretch>
                      <a:fillRect/>
                    </a:stretch>
                  </pic:blipFill>
                  <pic:spPr>
                    <a:xfrm>
                      <a:off x="0" y="0"/>
                      <a:ext cx="5119088" cy="3327124"/>
                    </a:xfrm>
                    <a:prstGeom prst="rect">
                      <a:avLst/>
                    </a:prstGeom>
                    <a:ln w="19050">
                      <a:solidFill>
                        <a:schemeClr val="tx1"/>
                      </a:solidFill>
                    </a:ln>
                  </pic:spPr>
                </pic:pic>
              </a:graphicData>
            </a:graphic>
          </wp:inline>
        </w:drawing>
      </w:r>
    </w:p>
    <w:p w14:paraId="2B405EFD" w14:textId="71860E5A" w:rsidR="007B6807" w:rsidRPr="002F383C" w:rsidRDefault="007B6807" w:rsidP="00D23C43">
      <w:pPr>
        <w:spacing w:before="240" w:after="240"/>
        <w:jc w:val="center"/>
        <w:rPr>
          <w:rFonts w:cs="Times New Roman"/>
          <w:b/>
          <w:bCs/>
          <w:i/>
          <w:iCs/>
        </w:rPr>
      </w:pPr>
      <w:bookmarkStart w:id="44" w:name="_Toc240471239"/>
      <w:r w:rsidRPr="002F383C">
        <w:rPr>
          <w:rFonts w:cs="Times New Roman"/>
          <w:b/>
          <w:bCs/>
          <w:i/>
          <w:iCs/>
        </w:rPr>
        <w:t xml:space="preserve">Figure </w:t>
      </w:r>
      <w:r w:rsidRPr="002F383C">
        <w:rPr>
          <w:rFonts w:cs="Times New Roman"/>
          <w:b/>
          <w:bCs/>
          <w:i/>
          <w:iCs/>
        </w:rPr>
        <w:fldChar w:fldCharType="begin"/>
      </w:r>
      <w:r w:rsidRPr="002F383C">
        <w:rPr>
          <w:rFonts w:cs="Times New Roman"/>
          <w:b/>
          <w:bCs/>
          <w:i/>
          <w:iCs/>
        </w:rPr>
        <w:instrText xml:space="preserve"> SEQ Figure \* ARABIC </w:instrText>
      </w:r>
      <w:r w:rsidRPr="002F383C">
        <w:rPr>
          <w:rFonts w:cs="Times New Roman"/>
          <w:b/>
          <w:bCs/>
          <w:i/>
          <w:iCs/>
        </w:rPr>
        <w:fldChar w:fldCharType="separate"/>
      </w:r>
      <w:r w:rsidR="00C23D49" w:rsidRPr="002F383C">
        <w:rPr>
          <w:rFonts w:cs="Times New Roman"/>
          <w:b/>
          <w:bCs/>
          <w:i/>
          <w:iCs/>
          <w:noProof/>
        </w:rPr>
        <w:t>3</w:t>
      </w:r>
      <w:r w:rsidRPr="002F383C">
        <w:rPr>
          <w:rFonts w:cs="Times New Roman"/>
          <w:b/>
          <w:bCs/>
          <w:i/>
          <w:iCs/>
        </w:rPr>
        <w:fldChar w:fldCharType="end"/>
      </w:r>
      <w:r w:rsidRPr="002F383C">
        <w:rPr>
          <w:rFonts w:cs="Times New Roman"/>
          <w:b/>
          <w:bCs/>
          <w:i/>
          <w:iCs/>
        </w:rPr>
        <w:t>: Theoretical Framework</w:t>
      </w:r>
      <w:bookmarkEnd w:id="44"/>
    </w:p>
    <w:p w14:paraId="5F88E135" w14:textId="77777777" w:rsidR="007B6807" w:rsidRPr="002F383C" w:rsidRDefault="007B6807" w:rsidP="00D23C43">
      <w:pPr>
        <w:spacing w:before="240" w:after="240"/>
        <w:jc w:val="center"/>
        <w:rPr>
          <w:rFonts w:cs="Times New Roman"/>
          <w:b/>
          <w:bCs/>
          <w:i/>
          <w:iCs/>
        </w:rPr>
      </w:pPr>
      <w:r w:rsidRPr="002F383C">
        <w:rPr>
          <w:rFonts w:cs="Times New Roman"/>
          <w:b/>
          <w:bCs/>
          <w:i/>
          <w:iCs/>
        </w:rPr>
        <w:t>(Source: Author)</w:t>
      </w:r>
    </w:p>
    <w:p w14:paraId="1FEDA0BA" w14:textId="76801420" w:rsidR="001579A2" w:rsidRPr="002F383C" w:rsidRDefault="007B6807" w:rsidP="00D23C43">
      <w:pPr>
        <w:spacing w:before="240" w:after="240"/>
        <w:rPr>
          <w:rFonts w:cs="Times New Roman"/>
        </w:rPr>
      </w:pPr>
      <w:r w:rsidRPr="002F383C">
        <w:rPr>
          <w:rFonts w:cs="Times New Roman"/>
        </w:rPr>
        <w:t xml:space="preserve">The theoretical framework provides a framework for how the two theories are supportive for the study on supply chain resilience and International expansion. </w:t>
      </w:r>
      <w:r w:rsidR="00F11769" w:rsidRPr="002F383C">
        <w:rPr>
          <w:rFonts w:cs="Times New Roman"/>
        </w:rPr>
        <w:t xml:space="preserve">This framework integrates the ability of organisations to adapt to change with the process by which organisations acquire international involvement. In this manner, this will allow an understanding of how the capability of resilience can affect the international market strategy of food manufacturing companies in the UK. </w:t>
      </w:r>
      <w:r w:rsidRPr="002F383C">
        <w:rPr>
          <w:rFonts w:cs="Times New Roman"/>
        </w:rPr>
        <w:t>Dynamic Capabilities Theory is designed to describe how firms detect changes, capture opportunities</w:t>
      </w:r>
      <w:r w:rsidR="00AB1C80" w:rsidRPr="002F383C">
        <w:rPr>
          <w:rFonts w:cs="Times New Roman"/>
        </w:rPr>
        <w:t>,</w:t>
      </w:r>
      <w:r w:rsidRPr="002F383C">
        <w:rPr>
          <w:rFonts w:cs="Times New Roman"/>
        </w:rPr>
        <w:t xml:space="preserve"> and realign resources to become resilient. </w:t>
      </w:r>
      <w:r w:rsidR="00082C6E" w:rsidRPr="002F383C">
        <w:rPr>
          <w:rFonts w:cs="Times New Roman"/>
        </w:rPr>
        <w:t>The process of Sensing, capturing</w:t>
      </w:r>
      <w:r w:rsidR="00AB1C80" w:rsidRPr="002F383C">
        <w:rPr>
          <w:rFonts w:cs="Times New Roman"/>
        </w:rPr>
        <w:t>,</w:t>
      </w:r>
      <w:r w:rsidR="00082C6E" w:rsidRPr="002F383C">
        <w:rPr>
          <w:rFonts w:cs="Times New Roman"/>
        </w:rPr>
        <w:t xml:space="preserve"> and reconfiguring have a close relationship with supply chain resilience. </w:t>
      </w:r>
      <w:r w:rsidR="00C02537" w:rsidRPr="002F383C">
        <w:rPr>
          <w:rFonts w:cs="Times New Roman"/>
        </w:rPr>
        <w:t xml:space="preserve">It is important for the company to be able to detect any possible disruption, take action through alternative solutions, and make changes if the current process no longer works. </w:t>
      </w:r>
    </w:p>
    <w:p w14:paraId="21348B2B" w14:textId="1A020ACD" w:rsidR="007B6807" w:rsidRPr="002F383C" w:rsidRDefault="007B6807" w:rsidP="00D23C43">
      <w:pPr>
        <w:spacing w:before="240" w:after="240"/>
        <w:rPr>
          <w:rFonts w:cs="Times New Roman"/>
        </w:rPr>
      </w:pPr>
      <w:r w:rsidRPr="002F383C">
        <w:rPr>
          <w:rFonts w:cs="Times New Roman"/>
        </w:rPr>
        <w:t>The Uppsala Internationalisation Model emphasises the importance of knowledge, experience and commitment as key factors in successful internationalisation</w:t>
      </w:r>
      <w:r w:rsidR="003C1BAB" w:rsidRPr="002F383C">
        <w:rPr>
          <w:rFonts w:cs="Times New Roman"/>
        </w:rPr>
        <w:t xml:space="preserve">. </w:t>
      </w:r>
      <w:r w:rsidR="007D1F14" w:rsidRPr="002F383C">
        <w:rPr>
          <w:rFonts w:cs="Times New Roman"/>
        </w:rPr>
        <w:t xml:space="preserve">This is </w:t>
      </w:r>
      <w:r w:rsidR="000E63BB" w:rsidRPr="002F383C">
        <w:rPr>
          <w:rFonts w:cs="Times New Roman"/>
        </w:rPr>
        <w:t>significant</w:t>
      </w:r>
      <w:r w:rsidR="007D1F14" w:rsidRPr="002F383C">
        <w:rPr>
          <w:rFonts w:cs="Times New Roman"/>
        </w:rPr>
        <w:t xml:space="preserve"> because through the process of internationali</w:t>
      </w:r>
      <w:r w:rsidR="00DD382D" w:rsidRPr="002F383C">
        <w:rPr>
          <w:rFonts w:cs="Times New Roman"/>
        </w:rPr>
        <w:t>s</w:t>
      </w:r>
      <w:r w:rsidR="007D1F14" w:rsidRPr="002F383C">
        <w:rPr>
          <w:rFonts w:cs="Times New Roman"/>
        </w:rPr>
        <w:t xml:space="preserve">ation, food processors can be exposed to various suppliers and </w:t>
      </w:r>
      <w:r w:rsidR="00AB1C80" w:rsidRPr="002F383C">
        <w:rPr>
          <w:rFonts w:cs="Times New Roman"/>
        </w:rPr>
        <w:t>p</w:t>
      </w:r>
      <w:r w:rsidR="007D1F14" w:rsidRPr="002F383C">
        <w:rPr>
          <w:rFonts w:cs="Times New Roman"/>
        </w:rPr>
        <w:t>logistic</w:t>
      </w:r>
      <w:r w:rsidR="00AB1C80" w:rsidRPr="002F383C">
        <w:rPr>
          <w:rFonts w:cs="Times New Roman"/>
        </w:rPr>
        <w:t>s</w:t>
      </w:r>
      <w:r w:rsidR="007D1F14" w:rsidRPr="002F383C">
        <w:rPr>
          <w:rFonts w:cs="Times New Roman"/>
        </w:rPr>
        <w:t xml:space="preserve"> considerations. </w:t>
      </w:r>
      <w:r w:rsidRPr="002F383C">
        <w:rPr>
          <w:rFonts w:cs="Times New Roman"/>
        </w:rPr>
        <w:t xml:space="preserve">Collaboration, supplier diversification, flexibility, visibility and adaptability are identified as key resilience capabilities in the framework. International expansion is associated with these capabilities, including market selection, market entry, and supply chain configuration. </w:t>
      </w:r>
      <w:r w:rsidR="00DF2054" w:rsidRPr="002F383C">
        <w:rPr>
          <w:rFonts w:cs="Times New Roman"/>
        </w:rPr>
        <w:t xml:space="preserve">These capabilities serve as the practical tools for the development of resilience within international supply chains. </w:t>
      </w:r>
      <w:r w:rsidRPr="002F383C">
        <w:rPr>
          <w:rFonts w:cs="Times New Roman"/>
        </w:rPr>
        <w:t xml:space="preserve">The framework provides a general overview of how resilience can support UK food manufacturing companies in coping with disruption and supporting sustainable international growth. </w:t>
      </w:r>
      <w:r w:rsidR="00635F33" w:rsidRPr="002F383C">
        <w:rPr>
          <w:rFonts w:cs="Times New Roman"/>
        </w:rPr>
        <w:t>Overall, international expansion is related to resilience in the two selected theoretical perspectives. It shows how resilience capabilities can help in the event of disruption and uncertainties in international activities. The framework thus serves as a basis for interpreting the relationship studied throughout the study.</w:t>
      </w:r>
    </w:p>
    <w:p w14:paraId="77CBAD16" w14:textId="45A147D8" w:rsidR="007B6807" w:rsidRPr="002F383C" w:rsidRDefault="007B6807" w:rsidP="00D23C43">
      <w:pPr>
        <w:pStyle w:val="Heading2"/>
        <w:spacing w:before="240" w:after="240"/>
        <w:rPr>
          <w:rFonts w:cs="Times New Roman"/>
          <w:szCs w:val="24"/>
        </w:rPr>
      </w:pPr>
      <w:bookmarkStart w:id="45" w:name="_Toc240316929"/>
      <w:bookmarkStart w:id="46" w:name="_Toc241252023"/>
      <w:r w:rsidRPr="002F383C">
        <w:rPr>
          <w:rFonts w:cs="Times New Roman"/>
          <w:szCs w:val="24"/>
        </w:rPr>
        <w:t>2.</w:t>
      </w:r>
      <w:r w:rsidR="00E86BDF" w:rsidRPr="002F383C">
        <w:rPr>
          <w:rFonts w:cs="Times New Roman"/>
          <w:szCs w:val="24"/>
        </w:rPr>
        <w:t>10</w:t>
      </w:r>
      <w:r w:rsidRPr="002F383C">
        <w:rPr>
          <w:rFonts w:cs="Times New Roman"/>
          <w:szCs w:val="24"/>
        </w:rPr>
        <w:t xml:space="preserve"> Conceptual Framework</w:t>
      </w:r>
      <w:bookmarkEnd w:id="45"/>
      <w:bookmarkEnd w:id="46"/>
    </w:p>
    <w:p w14:paraId="5BBC153C" w14:textId="77777777" w:rsidR="007B6807" w:rsidRPr="002F383C" w:rsidRDefault="007B6807" w:rsidP="00D23C43">
      <w:pPr>
        <w:spacing w:before="240" w:after="240"/>
        <w:jc w:val="center"/>
        <w:rPr>
          <w:rFonts w:cs="Times New Roman"/>
          <w:b/>
          <w:bCs/>
          <w:i/>
          <w:iCs/>
        </w:rPr>
      </w:pPr>
      <w:r w:rsidRPr="002F383C">
        <w:rPr>
          <w:rFonts w:cs="Times New Roman"/>
          <w:b/>
          <w:bCs/>
          <w:i/>
          <w:iCs/>
          <w:noProof/>
          <w:lang w:eastAsia="en-GB"/>
        </w:rPr>
        <w:drawing>
          <wp:inline distT="0" distB="0" distL="0" distR="0" wp14:anchorId="6ECF7831" wp14:editId="2842EDAF">
            <wp:extent cx="4678790" cy="2669968"/>
            <wp:effectExtent l="19050" t="19050" r="26670" b="16510"/>
            <wp:docPr id="1037600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600707" name=""/>
                    <pic:cNvPicPr/>
                  </pic:nvPicPr>
                  <pic:blipFill>
                    <a:blip r:embed="rId13"/>
                    <a:stretch>
                      <a:fillRect/>
                    </a:stretch>
                  </pic:blipFill>
                  <pic:spPr>
                    <a:xfrm>
                      <a:off x="0" y="0"/>
                      <a:ext cx="4681864" cy="2671722"/>
                    </a:xfrm>
                    <a:prstGeom prst="rect">
                      <a:avLst/>
                    </a:prstGeom>
                    <a:ln w="19050">
                      <a:solidFill>
                        <a:schemeClr val="tx1"/>
                      </a:solidFill>
                    </a:ln>
                  </pic:spPr>
                </pic:pic>
              </a:graphicData>
            </a:graphic>
          </wp:inline>
        </w:drawing>
      </w:r>
    </w:p>
    <w:p w14:paraId="59877C88" w14:textId="4B61DFDB" w:rsidR="007B6807" w:rsidRPr="002F383C" w:rsidRDefault="007B6807" w:rsidP="00D23C43">
      <w:pPr>
        <w:spacing w:before="240" w:after="240"/>
        <w:jc w:val="center"/>
        <w:rPr>
          <w:rFonts w:cs="Times New Roman"/>
          <w:b/>
          <w:bCs/>
          <w:i/>
          <w:iCs/>
        </w:rPr>
      </w:pPr>
      <w:bookmarkStart w:id="47" w:name="_Toc240471240"/>
      <w:r w:rsidRPr="002F383C">
        <w:rPr>
          <w:rFonts w:cs="Times New Roman"/>
          <w:b/>
          <w:bCs/>
          <w:i/>
          <w:iCs/>
        </w:rPr>
        <w:t xml:space="preserve">Figure </w:t>
      </w:r>
      <w:r w:rsidRPr="002F383C">
        <w:rPr>
          <w:rFonts w:cs="Times New Roman"/>
          <w:b/>
          <w:bCs/>
          <w:i/>
          <w:iCs/>
        </w:rPr>
        <w:fldChar w:fldCharType="begin"/>
      </w:r>
      <w:r w:rsidRPr="002F383C">
        <w:rPr>
          <w:rFonts w:cs="Times New Roman"/>
          <w:b/>
          <w:bCs/>
          <w:i/>
          <w:iCs/>
        </w:rPr>
        <w:instrText xml:space="preserve"> SEQ Figure \* ARABIC </w:instrText>
      </w:r>
      <w:r w:rsidRPr="002F383C">
        <w:rPr>
          <w:rFonts w:cs="Times New Roman"/>
          <w:b/>
          <w:bCs/>
          <w:i/>
          <w:iCs/>
        </w:rPr>
        <w:fldChar w:fldCharType="separate"/>
      </w:r>
      <w:r w:rsidR="00C23D49" w:rsidRPr="002F383C">
        <w:rPr>
          <w:rFonts w:cs="Times New Roman"/>
          <w:b/>
          <w:bCs/>
          <w:i/>
          <w:iCs/>
          <w:noProof/>
        </w:rPr>
        <w:t>4</w:t>
      </w:r>
      <w:r w:rsidRPr="002F383C">
        <w:rPr>
          <w:rFonts w:cs="Times New Roman"/>
          <w:b/>
          <w:bCs/>
          <w:i/>
          <w:iCs/>
        </w:rPr>
        <w:fldChar w:fldCharType="end"/>
      </w:r>
      <w:r w:rsidRPr="002F383C">
        <w:rPr>
          <w:rFonts w:cs="Times New Roman"/>
          <w:b/>
          <w:bCs/>
          <w:i/>
          <w:iCs/>
        </w:rPr>
        <w:t>: Conceptual Framework</w:t>
      </w:r>
      <w:bookmarkEnd w:id="47"/>
    </w:p>
    <w:p w14:paraId="3DC1502A" w14:textId="77777777" w:rsidR="007B6807" w:rsidRPr="002F383C" w:rsidRDefault="007B6807" w:rsidP="00D23C43">
      <w:pPr>
        <w:spacing w:before="240" w:after="240"/>
        <w:jc w:val="center"/>
        <w:rPr>
          <w:rFonts w:cs="Times New Roman"/>
          <w:b/>
          <w:bCs/>
          <w:i/>
          <w:iCs/>
        </w:rPr>
      </w:pPr>
      <w:r w:rsidRPr="002F383C">
        <w:rPr>
          <w:rFonts w:cs="Times New Roman"/>
          <w:b/>
          <w:bCs/>
          <w:i/>
          <w:iCs/>
        </w:rPr>
        <w:t>(Source: Author)</w:t>
      </w:r>
    </w:p>
    <w:p w14:paraId="3C2D1E2B" w14:textId="0DDCB3DE" w:rsidR="007B6807" w:rsidRPr="002F383C" w:rsidRDefault="007B6807" w:rsidP="00D23C43">
      <w:pPr>
        <w:spacing w:before="240" w:after="240"/>
        <w:rPr>
          <w:rFonts w:cs="Times New Roman"/>
        </w:rPr>
      </w:pPr>
      <w:r w:rsidRPr="002F383C">
        <w:rPr>
          <w:rFonts w:cs="Times New Roman"/>
        </w:rPr>
        <w:t>The conceptual framework demonstrates how supply chain resilience is related to international growth. Collaboration, diversity of suppliers, flexibility, visibility and</w:t>
      </w:r>
      <w:r w:rsidR="00C96374" w:rsidRPr="002F383C">
        <w:rPr>
          <w:rFonts w:cs="Times New Roman"/>
        </w:rPr>
        <w:t xml:space="preserve"> adaptability have been recognis</w:t>
      </w:r>
      <w:r w:rsidRPr="002F383C">
        <w:rPr>
          <w:rFonts w:cs="Times New Roman"/>
        </w:rPr>
        <w:t xml:space="preserve">ed as major resilience capabilities that may help companies overcome disruption during international growth.  Moreover, the framework focuses on the importance of market selection, market entry, and supply chain design in international expansion. The entire framework proposes that resilience in the supply chain </w:t>
      </w:r>
      <w:r w:rsidR="00C96374" w:rsidRPr="002F383C">
        <w:rPr>
          <w:rFonts w:cs="Times New Roman"/>
        </w:rPr>
        <w:t>can result in stability, minimis</w:t>
      </w:r>
      <w:r w:rsidRPr="002F383C">
        <w:rPr>
          <w:rFonts w:cs="Times New Roman"/>
        </w:rPr>
        <w:t xml:space="preserve">e disruptions, and promote sustainability in international growth of UK food manufacturing firms.  </w:t>
      </w:r>
    </w:p>
    <w:p w14:paraId="29EB3954" w14:textId="67C16F81" w:rsidR="007B6807" w:rsidRPr="002F383C" w:rsidRDefault="007B6807" w:rsidP="00D23C43">
      <w:pPr>
        <w:pStyle w:val="Heading2"/>
        <w:spacing w:before="240" w:after="240"/>
        <w:rPr>
          <w:rFonts w:cs="Times New Roman"/>
          <w:szCs w:val="24"/>
        </w:rPr>
      </w:pPr>
      <w:bookmarkStart w:id="48" w:name="_Toc237877891"/>
      <w:bookmarkStart w:id="49" w:name="_Toc240316930"/>
      <w:bookmarkStart w:id="50" w:name="_Toc241252024"/>
      <w:r w:rsidRPr="002F383C">
        <w:rPr>
          <w:rFonts w:cs="Times New Roman"/>
          <w:szCs w:val="24"/>
        </w:rPr>
        <w:t>2.1</w:t>
      </w:r>
      <w:r w:rsidR="004970D8" w:rsidRPr="002F383C">
        <w:rPr>
          <w:rFonts w:cs="Times New Roman"/>
          <w:szCs w:val="24"/>
        </w:rPr>
        <w:t>1</w:t>
      </w:r>
      <w:r w:rsidRPr="002F383C">
        <w:rPr>
          <w:rFonts w:cs="Times New Roman"/>
          <w:szCs w:val="24"/>
        </w:rPr>
        <w:t xml:space="preserve"> Research Gap</w:t>
      </w:r>
      <w:bookmarkEnd w:id="48"/>
      <w:bookmarkEnd w:id="49"/>
      <w:bookmarkEnd w:id="50"/>
    </w:p>
    <w:p w14:paraId="50A5841B" w14:textId="40FDD0C2" w:rsidR="0087114F" w:rsidRPr="0087114F" w:rsidRDefault="00AB5AED" w:rsidP="0087114F">
      <w:pPr>
        <w:spacing w:before="240" w:after="240"/>
        <w:rPr>
          <w:rFonts w:cs="Times New Roman"/>
        </w:rPr>
      </w:pPr>
      <w:r>
        <w:rPr>
          <w:rFonts w:cs="Times New Roman"/>
        </w:rPr>
        <w:t xml:space="preserve">Existing Literature </w:t>
      </w:r>
      <w:r w:rsidR="00DA5C62" w:rsidRPr="00DA5C62">
        <w:rPr>
          <w:rFonts w:cs="Times New Roman"/>
        </w:rPr>
        <w:t>discusses some of the key aspects of supply chain resilience. Collaboration is explained by Zhang and Yi</w:t>
      </w:r>
      <w:r w:rsidR="0047781D">
        <w:rPr>
          <w:rFonts w:cs="Times New Roman"/>
        </w:rPr>
        <w:t>,</w:t>
      </w:r>
      <w:r w:rsidR="00DA5C62" w:rsidRPr="00DA5C62">
        <w:rPr>
          <w:rFonts w:cs="Times New Roman"/>
        </w:rPr>
        <w:t xml:space="preserve"> (2026), and supplier diversification</w:t>
      </w:r>
      <w:r w:rsidR="0047781D">
        <w:rPr>
          <w:rFonts w:cs="Times New Roman"/>
        </w:rPr>
        <w:t>, digitalisation,</w:t>
      </w:r>
      <w:r w:rsidR="00DA5C62" w:rsidRPr="00DA5C62">
        <w:rPr>
          <w:rFonts w:cs="Times New Roman"/>
        </w:rPr>
        <w:t xml:space="preserve"> and adaptive supply chain concepts are discussed by Mamun</w:t>
      </w:r>
      <w:r w:rsidR="0047781D">
        <w:rPr>
          <w:rFonts w:cs="Times New Roman"/>
        </w:rPr>
        <w:t>,</w:t>
      </w:r>
      <w:r w:rsidR="00DA5C62" w:rsidRPr="00DA5C62">
        <w:rPr>
          <w:rFonts w:cs="Times New Roman"/>
        </w:rPr>
        <w:t xml:space="preserve"> (2026)</w:t>
      </w:r>
      <w:r w:rsidR="0047781D">
        <w:rPr>
          <w:rFonts w:cs="Times New Roman"/>
        </w:rPr>
        <w:t>,</w:t>
      </w:r>
      <w:r w:rsidR="00DA5C62" w:rsidRPr="00DA5C62">
        <w:rPr>
          <w:rFonts w:cs="Times New Roman"/>
        </w:rPr>
        <w:t xml:space="preserve"> and Li, et al. (2025). It indicates that resilience capabilities can help to cope with supply chain disruptions.</w:t>
      </w:r>
      <w:r w:rsidR="00DA5C62">
        <w:rPr>
          <w:rFonts w:cs="Times New Roman"/>
        </w:rPr>
        <w:t xml:space="preserve"> </w:t>
      </w:r>
    </w:p>
    <w:p w14:paraId="40031FF6" w14:textId="1BC5D94B" w:rsidR="007B6807" w:rsidRPr="002F383C" w:rsidRDefault="0047781D" w:rsidP="0087114F">
      <w:pPr>
        <w:spacing w:before="240" w:after="240"/>
        <w:rPr>
          <w:rFonts w:cs="Times New Roman"/>
        </w:rPr>
      </w:pPr>
      <w:r w:rsidRPr="0047781D">
        <w:rPr>
          <w:rFonts w:cs="Times New Roman"/>
        </w:rPr>
        <w:t xml:space="preserve">The effect of uncertainties and supply risks on </w:t>
      </w:r>
      <w:r w:rsidR="0080354A">
        <w:rPr>
          <w:rFonts w:cs="Times New Roman"/>
        </w:rPr>
        <w:t>internationalisation</w:t>
      </w:r>
      <w:r w:rsidRPr="0047781D">
        <w:rPr>
          <w:rFonts w:cs="Times New Roman"/>
        </w:rPr>
        <w:t xml:space="preserve"> has been </w:t>
      </w:r>
      <w:r w:rsidR="0080354A">
        <w:rPr>
          <w:rFonts w:cs="Times New Roman"/>
        </w:rPr>
        <w:t>proven</w:t>
      </w:r>
      <w:r w:rsidRPr="0047781D">
        <w:rPr>
          <w:rFonts w:cs="Times New Roman"/>
        </w:rPr>
        <w:t xml:space="preserve"> by </w:t>
      </w:r>
      <w:r w:rsidR="0080354A">
        <w:rPr>
          <w:rFonts w:cs="Times New Roman"/>
        </w:rPr>
        <w:t>internationalisation</w:t>
      </w:r>
      <w:r w:rsidRPr="0047781D">
        <w:rPr>
          <w:rFonts w:cs="Times New Roman"/>
        </w:rPr>
        <w:t xml:space="preserve"> research as well. Shan, et al.</w:t>
      </w:r>
      <w:r w:rsidR="00111AD4">
        <w:rPr>
          <w:rFonts w:cs="Times New Roman"/>
        </w:rPr>
        <w:t>,</w:t>
      </w:r>
      <w:r w:rsidRPr="0047781D">
        <w:rPr>
          <w:rFonts w:cs="Times New Roman"/>
        </w:rPr>
        <w:t xml:space="preserve"> (2023)</w:t>
      </w:r>
      <w:r w:rsidR="00111AD4">
        <w:rPr>
          <w:rFonts w:cs="Times New Roman"/>
        </w:rPr>
        <w:t>,</w:t>
      </w:r>
      <w:r w:rsidRPr="0047781D">
        <w:rPr>
          <w:rFonts w:cs="Times New Roman"/>
        </w:rPr>
        <w:t xml:space="preserve"> prove the effect of uncertainties and supply risks on the selection of markets, and Shekarabi, et al.</w:t>
      </w:r>
      <w:r w:rsidR="00111AD4">
        <w:rPr>
          <w:rFonts w:cs="Times New Roman"/>
        </w:rPr>
        <w:t>,</w:t>
      </w:r>
      <w:r w:rsidRPr="0047781D">
        <w:rPr>
          <w:rFonts w:cs="Times New Roman"/>
        </w:rPr>
        <w:t xml:space="preserve"> (2025)</w:t>
      </w:r>
      <w:r w:rsidR="00111AD4">
        <w:rPr>
          <w:rFonts w:cs="Times New Roman"/>
        </w:rPr>
        <w:t>,</w:t>
      </w:r>
      <w:r w:rsidRPr="0047781D">
        <w:rPr>
          <w:rFonts w:cs="Times New Roman"/>
        </w:rPr>
        <w:t xml:space="preserve"> relate resilience to managing uncertainties when entering into a new market. Nevertheless, neither study explains how resilience capabilities complement each other in the </w:t>
      </w:r>
      <w:r w:rsidR="0080354A">
        <w:rPr>
          <w:rFonts w:cs="Times New Roman"/>
        </w:rPr>
        <w:t>internationalisation</w:t>
      </w:r>
      <w:r w:rsidRPr="0047781D">
        <w:rPr>
          <w:rFonts w:cs="Times New Roman"/>
        </w:rPr>
        <w:t xml:space="preserve"> process.</w:t>
      </w:r>
      <w:r>
        <w:rPr>
          <w:rFonts w:cs="Times New Roman"/>
        </w:rPr>
        <w:t xml:space="preserve"> </w:t>
      </w:r>
      <w:r w:rsidR="0080354A" w:rsidRPr="0080354A">
        <w:rPr>
          <w:rFonts w:cs="Times New Roman"/>
        </w:rPr>
        <w:t xml:space="preserve">In the UK food manufacturing industry, food manufacturers experience disruptions and vulnerabilities within their supply chains (Gov UK, 2024). There is </w:t>
      </w:r>
      <w:r w:rsidR="00924456">
        <w:rPr>
          <w:rFonts w:cs="Times New Roman"/>
        </w:rPr>
        <w:t>limited</w:t>
      </w:r>
      <w:r w:rsidR="0080354A" w:rsidRPr="0080354A">
        <w:rPr>
          <w:rFonts w:cs="Times New Roman"/>
        </w:rPr>
        <w:t xml:space="preserve"> literature on how collaboration, diversification, flexibility, visibility, and adaptability can be </w:t>
      </w:r>
      <w:r w:rsidR="008B1C22">
        <w:rPr>
          <w:rFonts w:cs="Times New Roman"/>
        </w:rPr>
        <w:t>utilised</w:t>
      </w:r>
      <w:r w:rsidR="0080354A" w:rsidRPr="0080354A">
        <w:rPr>
          <w:rFonts w:cs="Times New Roman"/>
        </w:rPr>
        <w:t xml:space="preserve"> to enable the international growth of </w:t>
      </w:r>
      <w:r w:rsidR="008B1C22">
        <w:rPr>
          <w:rFonts w:cs="Times New Roman"/>
        </w:rPr>
        <w:t>organisations</w:t>
      </w:r>
      <w:r w:rsidR="0080354A" w:rsidRPr="0080354A">
        <w:rPr>
          <w:rFonts w:cs="Times New Roman"/>
        </w:rPr>
        <w:t xml:space="preserve"> within this particular industry.</w:t>
      </w:r>
      <w:r w:rsidR="0080354A">
        <w:rPr>
          <w:rFonts w:cs="Times New Roman"/>
        </w:rPr>
        <w:t xml:space="preserve"> </w:t>
      </w:r>
      <w:r w:rsidR="008B1C22" w:rsidRPr="008B1C22">
        <w:rPr>
          <w:rFonts w:cs="Times New Roman"/>
        </w:rPr>
        <w:t xml:space="preserve">In addition, there is limited literature on how the above capabilities impact the choice of markets, market entry, and the supply chain. Consequently, this research aims to bridge this gap by exploring the impact of the above capabilities in the </w:t>
      </w:r>
      <w:r w:rsidR="007327CA">
        <w:rPr>
          <w:rFonts w:cs="Times New Roman"/>
        </w:rPr>
        <w:t>internationalisation</w:t>
      </w:r>
      <w:r w:rsidR="008B1C22" w:rsidRPr="008B1C22">
        <w:rPr>
          <w:rFonts w:cs="Times New Roman"/>
        </w:rPr>
        <w:t xml:space="preserve"> of UK food manufacturing firms.</w:t>
      </w:r>
      <w:r w:rsidR="008B1C22">
        <w:rPr>
          <w:rFonts w:cs="Times New Roman"/>
        </w:rPr>
        <w:t xml:space="preserve"> </w:t>
      </w:r>
      <w:r w:rsidR="007B6807" w:rsidRPr="002F383C">
        <w:rPr>
          <w:rFonts w:cs="Times New Roman"/>
        </w:rPr>
        <w:t xml:space="preserve">  </w:t>
      </w:r>
    </w:p>
    <w:p w14:paraId="52EDEF0B" w14:textId="723D2C37" w:rsidR="007B6807" w:rsidRPr="002F383C" w:rsidRDefault="007B6807" w:rsidP="00D23C43">
      <w:pPr>
        <w:pStyle w:val="Heading2"/>
        <w:spacing w:before="240" w:after="240"/>
        <w:rPr>
          <w:rFonts w:cs="Times New Roman"/>
          <w:szCs w:val="24"/>
        </w:rPr>
      </w:pPr>
      <w:bookmarkStart w:id="51" w:name="_Toc237877892"/>
      <w:bookmarkStart w:id="52" w:name="_Toc240316931"/>
      <w:bookmarkStart w:id="53" w:name="_Toc241252025"/>
      <w:r w:rsidRPr="002F383C">
        <w:rPr>
          <w:rFonts w:cs="Times New Roman"/>
          <w:szCs w:val="24"/>
        </w:rPr>
        <w:t>2.1</w:t>
      </w:r>
      <w:r w:rsidR="003B2939" w:rsidRPr="002F383C">
        <w:rPr>
          <w:rFonts w:cs="Times New Roman"/>
          <w:szCs w:val="24"/>
        </w:rPr>
        <w:t>2</w:t>
      </w:r>
      <w:r w:rsidRPr="002F383C">
        <w:rPr>
          <w:rFonts w:cs="Times New Roman"/>
          <w:szCs w:val="24"/>
        </w:rPr>
        <w:t xml:space="preserve"> Summary</w:t>
      </w:r>
      <w:bookmarkEnd w:id="51"/>
      <w:bookmarkEnd w:id="52"/>
      <w:bookmarkEnd w:id="53"/>
      <w:r w:rsidRPr="002F383C">
        <w:rPr>
          <w:rFonts w:cs="Times New Roman"/>
          <w:szCs w:val="24"/>
        </w:rPr>
        <w:t xml:space="preserve"> </w:t>
      </w:r>
    </w:p>
    <w:p w14:paraId="2BF67FC8" w14:textId="4B15CA62" w:rsidR="007B6807" w:rsidRPr="002F383C" w:rsidRDefault="007B6807" w:rsidP="00D23C43">
      <w:pPr>
        <w:spacing w:before="240" w:after="240"/>
        <w:rPr>
          <w:rFonts w:cs="Times New Roman"/>
        </w:rPr>
      </w:pPr>
      <w:r w:rsidRPr="002F383C">
        <w:rPr>
          <w:rFonts w:cs="Times New Roman"/>
        </w:rPr>
        <w:t xml:space="preserve">The literature review reveals that supply chain resilience can contribute to the international expansion of a UK food manufacturing company. Key capabilities for responding to disruption and ensuring supply chain continuity are identified as collaboration, supplier diversification, flexibility, visibility and adaptability. Dynamic Capabilities Theory emphasises the ability of the firm to adjust its resources and processes to change and the Uppsala Model emphasises the role of knowledge in internationalisation and the experience of the firms. </w:t>
      </w:r>
      <w:r w:rsidR="00872139" w:rsidRPr="002F383C">
        <w:rPr>
          <w:rFonts w:cs="Times New Roman"/>
        </w:rPr>
        <w:t xml:space="preserve">Moreover, the literature reveals that such capabilities should not be viewed </w:t>
      </w:r>
      <w:r w:rsidR="006A7243" w:rsidRPr="002F383C">
        <w:rPr>
          <w:rFonts w:cs="Times New Roman"/>
        </w:rPr>
        <w:t>as separate entity</w:t>
      </w:r>
      <w:r w:rsidR="00872139" w:rsidRPr="002F383C">
        <w:rPr>
          <w:rFonts w:cs="Times New Roman"/>
        </w:rPr>
        <w:t>, as their application together can assist companies in dealing with uncertainties in the supply chain, logistics, and markets.</w:t>
      </w:r>
      <w:r w:rsidR="00F75D0B" w:rsidRPr="002F383C">
        <w:rPr>
          <w:rFonts w:cs="Times New Roman"/>
        </w:rPr>
        <w:t xml:space="preserve"> </w:t>
      </w:r>
      <w:r w:rsidR="00823627" w:rsidRPr="002F383C">
        <w:rPr>
          <w:rFonts w:cs="Times New Roman"/>
        </w:rPr>
        <w:t>However</w:t>
      </w:r>
      <w:r w:rsidR="00F75D0B" w:rsidRPr="002F383C">
        <w:rPr>
          <w:rFonts w:cs="Times New Roman"/>
        </w:rPr>
        <w:t>, building resilience might come with further expenses and organi</w:t>
      </w:r>
      <w:r w:rsidR="009B44E9" w:rsidRPr="002F383C">
        <w:rPr>
          <w:rFonts w:cs="Times New Roman"/>
        </w:rPr>
        <w:t>s</w:t>
      </w:r>
      <w:r w:rsidR="00F75D0B" w:rsidRPr="002F383C">
        <w:rPr>
          <w:rFonts w:cs="Times New Roman"/>
        </w:rPr>
        <w:t>ational complications.</w:t>
      </w:r>
      <w:r w:rsidR="0047084A" w:rsidRPr="002F383C">
        <w:rPr>
          <w:rFonts w:cs="Times New Roman"/>
        </w:rPr>
        <w:t xml:space="preserve"> Thus, companies have to ensure that resilience is balanced with efficiency while going international.</w:t>
      </w:r>
      <w:r w:rsidR="00227650" w:rsidRPr="002F383C">
        <w:rPr>
          <w:rFonts w:cs="Times New Roman"/>
        </w:rPr>
        <w:t xml:space="preserve"> </w:t>
      </w:r>
      <w:r w:rsidRPr="002F383C">
        <w:rPr>
          <w:rFonts w:cs="Times New Roman"/>
        </w:rPr>
        <w:t xml:space="preserve">The review concludes that resilience should be viewed as a strategic capability, which can help to mitigate uncertainty and facilitate better and more sustainable decisions on international expansion.  </w:t>
      </w:r>
    </w:p>
    <w:p w14:paraId="2A90D86D" w14:textId="77777777" w:rsidR="007B6807" w:rsidRPr="002F383C" w:rsidRDefault="007B6807" w:rsidP="00D23C43">
      <w:pPr>
        <w:pStyle w:val="Heading1"/>
        <w:spacing w:before="240" w:after="240"/>
        <w:rPr>
          <w:rFonts w:cs="Times New Roman"/>
          <w:szCs w:val="24"/>
        </w:rPr>
      </w:pPr>
      <w:bookmarkStart w:id="54" w:name="_Toc240316932"/>
      <w:bookmarkStart w:id="55" w:name="_Toc241252026"/>
      <w:r w:rsidRPr="002F383C">
        <w:rPr>
          <w:rFonts w:cs="Times New Roman"/>
          <w:szCs w:val="24"/>
        </w:rPr>
        <w:t>Chapter 3: Research Methodology</w:t>
      </w:r>
      <w:bookmarkEnd w:id="54"/>
      <w:bookmarkEnd w:id="55"/>
    </w:p>
    <w:p w14:paraId="11CB8CFD" w14:textId="77777777" w:rsidR="007B6807" w:rsidRPr="002F383C" w:rsidRDefault="007B6807" w:rsidP="00D23C43">
      <w:pPr>
        <w:pStyle w:val="Heading2"/>
        <w:spacing w:before="240" w:after="240"/>
        <w:rPr>
          <w:rFonts w:cs="Times New Roman"/>
          <w:szCs w:val="24"/>
        </w:rPr>
      </w:pPr>
      <w:bookmarkStart w:id="56" w:name="_Toc240316933"/>
      <w:bookmarkStart w:id="57" w:name="_Toc241252027"/>
      <w:r w:rsidRPr="002F383C">
        <w:rPr>
          <w:rFonts w:cs="Times New Roman"/>
          <w:szCs w:val="24"/>
        </w:rPr>
        <w:t>3.1 Introduction</w:t>
      </w:r>
      <w:bookmarkEnd w:id="56"/>
      <w:bookmarkEnd w:id="57"/>
    </w:p>
    <w:p w14:paraId="48EC9303" w14:textId="77777777" w:rsidR="007B6807" w:rsidRPr="002F383C" w:rsidRDefault="007B6807" w:rsidP="00D23C43">
      <w:pPr>
        <w:spacing w:before="240" w:after="240"/>
        <w:rPr>
          <w:rFonts w:cs="Times New Roman"/>
        </w:rPr>
      </w:pPr>
      <w:r w:rsidRPr="002F383C">
        <w:rPr>
          <w:rFonts w:cs="Times New Roman"/>
        </w:rPr>
        <w:t>This chapter describes the research methodology applied to answer the research aim and objectives. It addresses the research philosophy, research approach, research design and research strategy. It also describes the mode of data collection, selection criteria of data sources and data analysis process. In addition, the chapter discusses research quality and trustworthiness, ethical considerations and data management. Lastly, methodological limitations of the study are addressed to offer transparency on the research process.</w:t>
      </w:r>
    </w:p>
    <w:p w14:paraId="36D0B068" w14:textId="77777777" w:rsidR="007B6807" w:rsidRPr="002F383C" w:rsidRDefault="007B6807" w:rsidP="00D23C43">
      <w:pPr>
        <w:pStyle w:val="Heading2"/>
        <w:spacing w:before="240" w:after="240"/>
        <w:rPr>
          <w:rFonts w:cs="Times New Roman"/>
          <w:szCs w:val="24"/>
        </w:rPr>
      </w:pPr>
      <w:bookmarkStart w:id="58" w:name="_Toc240316934"/>
      <w:bookmarkStart w:id="59" w:name="_Toc241252028"/>
      <w:r w:rsidRPr="002F383C">
        <w:rPr>
          <w:rFonts w:cs="Times New Roman"/>
          <w:szCs w:val="24"/>
        </w:rPr>
        <w:t>3.2 Research Philosophy</w:t>
      </w:r>
      <w:bookmarkEnd w:id="58"/>
      <w:bookmarkEnd w:id="59"/>
    </w:p>
    <w:p w14:paraId="7F0C6935" w14:textId="77777777" w:rsidR="007B6807" w:rsidRPr="002F383C" w:rsidRDefault="007B6807" w:rsidP="00D23C43">
      <w:pPr>
        <w:spacing w:before="240" w:after="240"/>
        <w:rPr>
          <w:rFonts w:cs="Times New Roman"/>
        </w:rPr>
      </w:pPr>
      <w:r w:rsidRPr="002F383C">
        <w:rPr>
          <w:rFonts w:cs="Times New Roman"/>
        </w:rPr>
        <w:t>Research philosophy is the set of assumptions according to which the knowledge about a research problem is comprehended and created (Alsharidi, 2025). Positivism and interpretivism are two popular stances that have been used in business research. Positivism typically presumes that the phenomena can be measured and studied objectively by observing evidence (Khanday, et al., 2024). It is thus usually identified with quantitative research, hypothesis testing and statistical analysis. Conversely, Interpretivism is about knowing meanings, explanations and how a phenomenon may be grasped in various ways in its context (Alharahsheh and Pius, 2020).</w:t>
      </w:r>
    </w:p>
    <w:p w14:paraId="1A2D17E2" w14:textId="77777777" w:rsidR="007B6807" w:rsidRPr="002F383C" w:rsidRDefault="007B6807" w:rsidP="00D23C43">
      <w:pPr>
        <w:spacing w:before="240" w:after="240"/>
        <w:rPr>
          <w:rFonts w:cs="Times New Roman"/>
        </w:rPr>
      </w:pPr>
      <w:r w:rsidRPr="002F383C">
        <w:rPr>
          <w:rFonts w:cs="Times New Roman"/>
        </w:rPr>
        <w:t>This research adopted an interpretivism philosophy because the research did not attempt to calculate the statistical effect of supply chain resilience on international expansion. It instead critically interpreted the available evidence to comprehend the way resilience capabilities were elucidated in the supply chain and international business literature. Positivism would have been less suitable because it would normally require measurable variables and quantitative evidence to test predetermined relationships. Interpretivism was particularly appropriate because the meaning and application of resilience may differ across organisations, supply chain settings and international contexts. Subjective interpretation allowed the study to compare these different perspectives and identify how resilience capabilities influence firms’ ability to manage disruptions and support international expansion. This directly contributed to answering the research question by explaining how and why supply chain resilience supports international expansion, rather than only measuring whether a statistical relationship exists.</w:t>
      </w:r>
    </w:p>
    <w:p w14:paraId="4EF9F5DE" w14:textId="77777777" w:rsidR="007B6807" w:rsidRPr="002F383C" w:rsidRDefault="007B6807" w:rsidP="00D23C43">
      <w:pPr>
        <w:spacing w:before="240" w:after="240"/>
        <w:rPr>
          <w:rFonts w:cs="Times New Roman"/>
        </w:rPr>
      </w:pPr>
    </w:p>
    <w:p w14:paraId="665A2B66" w14:textId="77777777" w:rsidR="007B6807" w:rsidRPr="002F383C" w:rsidRDefault="007B6807" w:rsidP="00D23C43">
      <w:pPr>
        <w:pStyle w:val="Heading2"/>
        <w:spacing w:before="240" w:after="240"/>
        <w:rPr>
          <w:rFonts w:cs="Times New Roman"/>
          <w:szCs w:val="24"/>
        </w:rPr>
      </w:pPr>
      <w:r w:rsidRPr="002F383C">
        <w:rPr>
          <w:rFonts w:cs="Times New Roman"/>
          <w:szCs w:val="24"/>
        </w:rPr>
        <w:t xml:space="preserve"> </w:t>
      </w:r>
      <w:bookmarkStart w:id="60" w:name="_Toc240316935"/>
      <w:bookmarkStart w:id="61" w:name="_Toc241252029"/>
      <w:r w:rsidRPr="002F383C">
        <w:rPr>
          <w:rFonts w:cs="Times New Roman"/>
          <w:szCs w:val="24"/>
        </w:rPr>
        <w:t>3.3 Research Approach</w:t>
      </w:r>
      <w:bookmarkEnd w:id="60"/>
      <w:bookmarkEnd w:id="61"/>
    </w:p>
    <w:p w14:paraId="2C3FDB85" w14:textId="77777777" w:rsidR="007B6807" w:rsidRPr="002F383C" w:rsidRDefault="007B6807" w:rsidP="00D23C43">
      <w:pPr>
        <w:spacing w:before="240" w:after="240"/>
        <w:rPr>
          <w:rFonts w:cs="Times New Roman"/>
        </w:rPr>
      </w:pPr>
      <w:r w:rsidRPr="002F383C">
        <w:rPr>
          <w:rFonts w:cs="Times New Roman"/>
        </w:rPr>
        <w:t xml:space="preserve">A research approach establishes how theoretical ideas and empirical evidence are connected during the research process (Okoli, 2023). The deductive approach usually utilises an existing theory and formulates propositions or hypotheses that are subsequently evaluated based on evidence (Yuwono and Rachmawati, 2023). Conversely, an inductive approach starts with evidence and derives general patterns with the help of which more general interpretations may be created (Naeem, et al., 2023). The research primarily adopted an inductive approach because the analysis was not designed to statistically test either theory or confirm predetermined hypotheses. Instead, relevant evidence from selected sources was coded, compared and organised into themes. The themes were formulated based on repeated findings in the evidence. In this regard, existing theories informed the wider study, particularly Dynamic Capabilities Theory and the Uppsala Internationalisation Model. These theories were applied in the literature review to offer explanations on organisational adaptation and the contribution of knowledge, experience and commitment in the internationalisation process.  </w:t>
      </w:r>
    </w:p>
    <w:p w14:paraId="28D553A3" w14:textId="77777777" w:rsidR="007B6807" w:rsidRPr="002F383C" w:rsidRDefault="007B6807" w:rsidP="00D23C43">
      <w:pPr>
        <w:spacing w:before="240" w:after="240"/>
        <w:rPr>
          <w:rFonts w:cs="Times New Roman"/>
        </w:rPr>
      </w:pPr>
      <w:r w:rsidRPr="002F383C">
        <w:rPr>
          <w:rFonts w:cs="Times New Roman"/>
        </w:rPr>
        <w:t>Inductive approach was thus more adequate than a deductive approach since it enabled final outcomes to emerge through the chosen literature. This was particularly important because the identified research gap concerned how different resilience capabilities work in relation to international expansion within UK food manufacturing. The inductive approach allowed the study to reveal meaningful patterns and relationships in the evidence gathered without being limited by a set of predetermined assumptions. This supported the research objectives by allowing relevant resilience capabilities, their influence on international expansion decisions and effective resilience strategies to emerge directly through the analysis.</w:t>
      </w:r>
    </w:p>
    <w:p w14:paraId="1AF65149" w14:textId="77777777" w:rsidR="007B6807" w:rsidRPr="002F383C" w:rsidRDefault="007B6807" w:rsidP="00D23C43">
      <w:pPr>
        <w:pStyle w:val="Heading2"/>
        <w:spacing w:before="240" w:after="240"/>
        <w:rPr>
          <w:rFonts w:cs="Times New Roman"/>
          <w:szCs w:val="24"/>
        </w:rPr>
      </w:pPr>
      <w:r w:rsidRPr="002F383C">
        <w:rPr>
          <w:rFonts w:cs="Times New Roman"/>
          <w:szCs w:val="24"/>
        </w:rPr>
        <w:t xml:space="preserve"> </w:t>
      </w:r>
      <w:bookmarkStart w:id="62" w:name="_Toc240316936"/>
      <w:bookmarkStart w:id="63" w:name="_Toc241252030"/>
      <w:r w:rsidRPr="002F383C">
        <w:rPr>
          <w:rFonts w:cs="Times New Roman"/>
          <w:szCs w:val="24"/>
        </w:rPr>
        <w:t>3.4 Research Design and Strategy</w:t>
      </w:r>
      <w:bookmarkEnd w:id="62"/>
      <w:bookmarkEnd w:id="63"/>
    </w:p>
    <w:p w14:paraId="7699126A" w14:textId="77777777" w:rsidR="007B6807" w:rsidRPr="002F383C" w:rsidRDefault="007B6807" w:rsidP="00D23C43">
      <w:pPr>
        <w:spacing w:before="240" w:after="240"/>
        <w:rPr>
          <w:rFonts w:cs="Times New Roman"/>
        </w:rPr>
      </w:pPr>
      <w:r w:rsidRPr="002F383C">
        <w:rPr>
          <w:rFonts w:cs="Times New Roman"/>
        </w:rPr>
        <w:t xml:space="preserve">A qualitative research design based on secondary research was adopted. Qualitative research is concerned with detailed interpretation of non numerical information and is particularly useful when the purpose of a study is to explore concepts, explanations, relationships and contextual differences (Lim, 2025). The Research Onion Framework was adopted to provide a structured foundation for the research methodology (Melnikovas, 2018). It assisted in organising key methodological decisions concerning research philosophy, approach, design, strategy, data collection and analysis. Its application also helped maintain consistency between the research objectives and the methods used to address them. </w:t>
      </w:r>
    </w:p>
    <w:p w14:paraId="696475D9" w14:textId="77777777" w:rsidR="007B6807" w:rsidRPr="002F383C" w:rsidRDefault="007B6807" w:rsidP="00D23C43">
      <w:pPr>
        <w:pStyle w:val="Caption"/>
        <w:keepNext/>
        <w:spacing w:before="240" w:after="240" w:line="360" w:lineRule="auto"/>
        <w:jc w:val="center"/>
        <w:rPr>
          <w:rFonts w:cs="Times New Roman"/>
          <w:szCs w:val="24"/>
        </w:rPr>
      </w:pPr>
      <w:r w:rsidRPr="002F383C">
        <w:rPr>
          <w:rFonts w:cs="Times New Roman"/>
          <w:b w:val="0"/>
          <w:i w:val="0"/>
          <w:noProof/>
          <w:szCs w:val="24"/>
          <w:lang w:eastAsia="en-GB"/>
        </w:rPr>
        <w:drawing>
          <wp:inline distT="0" distB="0" distL="0" distR="0" wp14:anchorId="2AA50C0C" wp14:editId="18CBE80D">
            <wp:extent cx="4861560" cy="3116580"/>
            <wp:effectExtent l="19050" t="19050" r="15240" b="266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61560" cy="3116580"/>
                    </a:xfrm>
                    <a:prstGeom prst="rect">
                      <a:avLst/>
                    </a:prstGeom>
                    <a:noFill/>
                    <a:ln w="19050" cmpd="sng">
                      <a:solidFill>
                        <a:srgbClr val="000000"/>
                      </a:solidFill>
                      <a:miter lim="800000"/>
                      <a:headEnd/>
                      <a:tailEnd/>
                    </a:ln>
                    <a:effectLst/>
                  </pic:spPr>
                </pic:pic>
              </a:graphicData>
            </a:graphic>
          </wp:inline>
        </w:drawing>
      </w:r>
    </w:p>
    <w:p w14:paraId="4E0A0416" w14:textId="1DFD16DC" w:rsidR="007B6807" w:rsidRPr="002F383C" w:rsidRDefault="007B6807" w:rsidP="00D23C43">
      <w:pPr>
        <w:pStyle w:val="Caption"/>
        <w:spacing w:before="240" w:after="240" w:line="360" w:lineRule="auto"/>
        <w:jc w:val="center"/>
        <w:rPr>
          <w:rFonts w:cs="Times New Roman"/>
          <w:b w:val="0"/>
          <w:bCs/>
          <w:szCs w:val="24"/>
        </w:rPr>
      </w:pPr>
      <w:bookmarkStart w:id="64" w:name="_Toc240471241"/>
      <w:r w:rsidRPr="002F383C">
        <w:rPr>
          <w:rFonts w:cs="Times New Roman"/>
          <w:szCs w:val="24"/>
        </w:rPr>
        <w:t xml:space="preserve">Figure </w:t>
      </w:r>
      <w:r w:rsidRPr="002F383C">
        <w:rPr>
          <w:rFonts w:cs="Times New Roman"/>
          <w:b w:val="0"/>
          <w:szCs w:val="24"/>
        </w:rPr>
        <w:fldChar w:fldCharType="begin"/>
      </w:r>
      <w:r w:rsidRPr="002F383C">
        <w:rPr>
          <w:rFonts w:cs="Times New Roman"/>
          <w:szCs w:val="24"/>
        </w:rPr>
        <w:instrText xml:space="preserve"> SEQ Figure \* ARABIC </w:instrText>
      </w:r>
      <w:r w:rsidRPr="002F383C">
        <w:rPr>
          <w:rFonts w:cs="Times New Roman"/>
          <w:b w:val="0"/>
          <w:szCs w:val="24"/>
        </w:rPr>
        <w:fldChar w:fldCharType="separate"/>
      </w:r>
      <w:r w:rsidR="00C23D49" w:rsidRPr="002F383C">
        <w:rPr>
          <w:rFonts w:cs="Times New Roman"/>
          <w:noProof/>
          <w:szCs w:val="24"/>
        </w:rPr>
        <w:t>5</w:t>
      </w:r>
      <w:r w:rsidRPr="002F383C">
        <w:rPr>
          <w:rFonts w:cs="Times New Roman"/>
          <w:b w:val="0"/>
          <w:szCs w:val="24"/>
        </w:rPr>
        <w:fldChar w:fldCharType="end"/>
      </w:r>
      <w:r w:rsidRPr="002F383C">
        <w:rPr>
          <w:rFonts w:cs="Times New Roman"/>
          <w:szCs w:val="24"/>
        </w:rPr>
        <w:t>: Saunders’s Research Onion Model</w:t>
      </w:r>
      <w:bookmarkEnd w:id="64"/>
    </w:p>
    <w:p w14:paraId="714B9C4D" w14:textId="77777777" w:rsidR="007B6807" w:rsidRPr="002F383C" w:rsidRDefault="007B6807" w:rsidP="00D23C43">
      <w:pPr>
        <w:spacing w:before="240" w:after="240"/>
        <w:jc w:val="center"/>
        <w:rPr>
          <w:rFonts w:cs="Times New Roman"/>
          <w:b/>
          <w:bCs/>
          <w:i/>
          <w:iCs/>
        </w:rPr>
      </w:pPr>
      <w:r w:rsidRPr="002F383C">
        <w:rPr>
          <w:rFonts w:cs="Times New Roman"/>
          <w:b/>
          <w:bCs/>
          <w:i/>
          <w:iCs/>
        </w:rPr>
        <w:t xml:space="preserve"> (Source: </w:t>
      </w:r>
      <w:r w:rsidRPr="002F383C">
        <w:rPr>
          <w:rFonts w:cs="Times New Roman"/>
          <w:b/>
          <w:bCs/>
          <w:i/>
          <w:iCs/>
          <w:shd w:val="clear" w:color="auto" w:fill="FFFFFF"/>
        </w:rPr>
        <w:t>Saunders, et al., 2019)</w:t>
      </w:r>
    </w:p>
    <w:p w14:paraId="7CB82DC8" w14:textId="77777777" w:rsidR="007B6807" w:rsidRPr="002F383C" w:rsidRDefault="007B6807" w:rsidP="00D23C43">
      <w:pPr>
        <w:spacing w:before="240" w:after="240"/>
        <w:rPr>
          <w:rFonts w:cs="Times New Roman"/>
        </w:rPr>
      </w:pPr>
      <w:r w:rsidRPr="002F383C">
        <w:rPr>
          <w:rFonts w:cs="Times New Roman"/>
        </w:rPr>
        <w:t>Moreover, A keyword search strategy with Boolean operators was applied to locate the relevant secondary sources. Logical operators like AND and OR were implemented to combine and expand search terms, including, but not limited to, supply chain resilience AND UK food manufacturing and international expansion AND flexibility OR supplier diversification. This improved the relevance and coverage of the search results. The chosen format was suitable since the study was intended to critically examine the current body of knowledge dealing with supply chain resilience and international expansion. In this regard, peer reviewed journal articles, scholarly publications, government sources and recognised institutional publications were used to provide the evidence for the study.  This allowed evidence from different supply chain and international business settings to be considered and compared.</w:t>
      </w:r>
    </w:p>
    <w:p w14:paraId="40C13C94" w14:textId="77777777" w:rsidR="007B6807" w:rsidRPr="002F383C" w:rsidRDefault="007B6807" w:rsidP="00D23C43">
      <w:pPr>
        <w:pStyle w:val="Heading2"/>
        <w:spacing w:before="240" w:after="240"/>
        <w:rPr>
          <w:rFonts w:cs="Times New Roman"/>
          <w:color w:val="auto"/>
          <w:szCs w:val="24"/>
        </w:rPr>
      </w:pPr>
      <w:r w:rsidRPr="002F383C">
        <w:rPr>
          <w:rFonts w:cs="Times New Roman"/>
          <w:color w:val="auto"/>
          <w:szCs w:val="24"/>
        </w:rPr>
        <w:t xml:space="preserve"> </w:t>
      </w:r>
      <w:bookmarkStart w:id="65" w:name="_Toc240316937"/>
      <w:bookmarkStart w:id="66" w:name="_Toc241252031"/>
      <w:r w:rsidRPr="002F383C">
        <w:rPr>
          <w:rFonts w:cs="Times New Roman"/>
          <w:color w:val="auto"/>
          <w:szCs w:val="24"/>
        </w:rPr>
        <w:t>3.5 Secondary Data Collection</w:t>
      </w:r>
      <w:bookmarkEnd w:id="65"/>
      <w:bookmarkEnd w:id="66"/>
    </w:p>
    <w:p w14:paraId="503DDB66" w14:textId="77777777" w:rsidR="007B6807" w:rsidRPr="002F383C" w:rsidRDefault="007B6807" w:rsidP="00D23C43">
      <w:pPr>
        <w:spacing w:before="240" w:after="240"/>
        <w:rPr>
          <w:rFonts w:cs="Times New Roman"/>
        </w:rPr>
      </w:pPr>
      <w:r w:rsidRPr="002F383C">
        <w:rPr>
          <w:rFonts w:cs="Times New Roman"/>
        </w:rPr>
        <w:t>Secondary research refers to the study of information that has already been created or gathered instead of creating evidence directly through the study of participants (Chatfield, 2020). Secondary data collection was conducted through a structured search for literature relevant to the research question and objectives. The primary sources were peer reviewed journal articles, with scholarly books and trustworthy government and institutional publications providing support where needed. The sources included government and institutional publications where they had factual evidence concerning risks in the supply chain and international trade of the UK food sector.</w:t>
      </w:r>
    </w:p>
    <w:p w14:paraId="7016A587" w14:textId="3795FD6D" w:rsidR="007B6807" w:rsidRPr="002F383C" w:rsidRDefault="001B16A9" w:rsidP="00D23C43">
      <w:pPr>
        <w:spacing w:before="240" w:after="240"/>
        <w:rPr>
          <w:rFonts w:cs="Times New Roman"/>
        </w:rPr>
      </w:pPr>
      <w:r w:rsidRPr="001B16A9">
        <w:rPr>
          <w:rFonts w:cs="Times New Roman"/>
          <w:highlight w:val="yellow"/>
        </w:rPr>
        <w:t>The literature search was conducted using ResearchGate, MDPI and Springer, which provided access to relevant academic studies on supply chain resilience and international expansion. Search terms included “supply chain resilience”, “UK food manufacturing”, “food supply chain”, “international expansion”, “supplier diversification”, “supply chain flexibility”, “supply chain visibility” and “internationalisation”. In addition, Government and institutional websites were also searched for supporting evidence relating specifically to the UK food sector</w:t>
      </w:r>
      <w:r w:rsidR="007B6807" w:rsidRPr="001B16A9">
        <w:rPr>
          <w:rFonts w:cs="Times New Roman"/>
          <w:highlight w:val="yellow"/>
        </w:rPr>
        <w:t>.</w:t>
      </w:r>
    </w:p>
    <w:p w14:paraId="2FD92534" w14:textId="77777777" w:rsidR="007B6807" w:rsidRPr="002F383C" w:rsidRDefault="007B6807" w:rsidP="00D23C43">
      <w:pPr>
        <w:spacing w:before="240" w:after="240"/>
        <w:rPr>
          <w:rFonts w:cs="Times New Roman"/>
        </w:rPr>
      </w:pPr>
      <w:r w:rsidRPr="002F383C">
        <w:rPr>
          <w:rFonts w:cs="Times New Roman"/>
        </w:rPr>
        <w:t>Primary data collection was not selected because the research aimed to critically examine and synthesise existing knowledge rather than measure individual experiences or opinions. Interviews would only have limited the evidence to a relatively small sample and surveys would have needed measurable variables and statistical analysis. Secondary research thus offered a more appropriate foundation of comparison of the existing results, as well as detecting patterns and responding to the research aims in the context of the given research timeframe.</w:t>
      </w:r>
    </w:p>
    <w:p w14:paraId="38750ACA" w14:textId="77777777" w:rsidR="007B6807" w:rsidRPr="002F383C" w:rsidRDefault="007B6807" w:rsidP="00D23C43">
      <w:pPr>
        <w:pStyle w:val="Heading2"/>
        <w:spacing w:before="240" w:after="240"/>
        <w:rPr>
          <w:rFonts w:cs="Times New Roman"/>
          <w:szCs w:val="24"/>
        </w:rPr>
      </w:pPr>
      <w:r w:rsidRPr="002F383C">
        <w:rPr>
          <w:rFonts w:cs="Times New Roman"/>
          <w:szCs w:val="24"/>
        </w:rPr>
        <w:t xml:space="preserve"> </w:t>
      </w:r>
      <w:bookmarkStart w:id="67" w:name="_Toc240316938"/>
      <w:bookmarkStart w:id="68" w:name="_Toc241252032"/>
      <w:r w:rsidRPr="001F5261">
        <w:rPr>
          <w:rFonts w:cs="Times New Roman"/>
          <w:szCs w:val="24"/>
          <w:highlight w:val="yellow"/>
        </w:rPr>
        <w:t>3.6 Selection of Secondary Sources</w:t>
      </w:r>
      <w:bookmarkEnd w:id="67"/>
      <w:bookmarkEnd w:id="68"/>
    </w:p>
    <w:p w14:paraId="7D2BCB7C" w14:textId="318ECDE8" w:rsidR="007B6807" w:rsidRDefault="007B6807" w:rsidP="00D23C43">
      <w:pPr>
        <w:spacing w:before="240" w:after="240"/>
        <w:rPr>
          <w:rFonts w:cs="Times New Roman"/>
        </w:rPr>
      </w:pPr>
      <w:r w:rsidRPr="002F383C">
        <w:rPr>
          <w:rFonts w:cs="Times New Roman"/>
        </w:rPr>
        <w:t>As the research did not recruit participants, conventional participant sampling was not applicable. As an alternative, the research employed purposive sampling of secondary sources. Purposive selection means that information sources are selected based on their relevance to a specific research purpose as opposed to conducting random selections (Ahmad and Wilkins, 2025). The selection of evidence was controlled by clear inclusion and exclusion criteria to retain relevance and quality of evidence.</w:t>
      </w:r>
      <w:r w:rsidR="00C81726">
        <w:rPr>
          <w:rFonts w:cs="Times New Roman"/>
        </w:rPr>
        <w:t xml:space="preserve"> </w:t>
      </w:r>
    </w:p>
    <w:p w14:paraId="447F600F" w14:textId="77777777" w:rsidR="00C81726" w:rsidRPr="00C81726" w:rsidRDefault="00C81726" w:rsidP="00C81726">
      <w:pPr>
        <w:spacing w:before="240" w:after="240"/>
        <w:rPr>
          <w:rFonts w:cs="Times New Roman"/>
        </w:rPr>
      </w:pPr>
      <w:r w:rsidRPr="00C81726">
        <w:rPr>
          <w:rFonts w:cs="Times New Roman"/>
        </w:rPr>
        <w:t>The structured search helped to find the evidence that was relevant to the supply chain resilience and the internationalization of the UK food manufacturing companies. The academic literature was located in ResearchGate and publisher databases such as MDPI, SpringerLink, Wiley Online Library and Taylor &amp; Frances Online. Government and industry evidence was obtained from official sources, including DEFRA, the UK Parliament, Statista and KPMG. Titles, abstracts and available full texts underwent review to establish relevance to the research aim and objectives.</w:t>
      </w:r>
    </w:p>
    <w:p w14:paraId="6594F730" w14:textId="77777777" w:rsidR="00C81726" w:rsidRPr="00C81726" w:rsidRDefault="00C81726" w:rsidP="00C81726">
      <w:pPr>
        <w:spacing w:before="240" w:after="240"/>
        <w:rPr>
          <w:rFonts w:cs="Times New Roman"/>
        </w:rPr>
      </w:pPr>
    </w:p>
    <w:p w14:paraId="1EDBE12E" w14:textId="77777777" w:rsidR="00C81726" w:rsidRPr="00C81726" w:rsidRDefault="00C81726" w:rsidP="00C81726">
      <w:pPr>
        <w:spacing w:before="240" w:after="240"/>
        <w:rPr>
          <w:rFonts w:cs="Times New Roman"/>
        </w:rPr>
      </w:pPr>
      <w:r w:rsidRPr="00C81726">
        <w:rPr>
          <w:rFonts w:cs="Times New Roman"/>
        </w:rPr>
        <w:t>The selection was largely restricted to sources published since 2021 and offered freely available full text and evidence of relevance to the topic of food supply chains, resilience capabilities, disruption management, international trade, market access or supply network configuration. Sources that were not very relevant to the study objectives, lacked viable findings or lacked a definite relation to the food supply chain context were excluded. Evidence that was UK-focused was given priority, and the general evidence was considered when it had a key role in the research objectives.</w:t>
      </w:r>
    </w:p>
    <w:p w14:paraId="28D1555D" w14:textId="4237091A" w:rsidR="007B6807" w:rsidRPr="002F383C" w:rsidRDefault="007B6807" w:rsidP="00D23C43">
      <w:pPr>
        <w:pStyle w:val="Caption"/>
        <w:keepNext/>
        <w:spacing w:before="240" w:after="240" w:line="360" w:lineRule="auto"/>
        <w:rPr>
          <w:rFonts w:cs="Times New Roman"/>
          <w:b w:val="0"/>
          <w:szCs w:val="24"/>
        </w:rPr>
      </w:pPr>
      <w:bookmarkStart w:id="69" w:name="_Toc240472755"/>
      <w:r w:rsidRPr="002F383C">
        <w:rPr>
          <w:rFonts w:cs="Times New Roman"/>
          <w:szCs w:val="24"/>
        </w:rPr>
        <w:t xml:space="preserve">Table </w:t>
      </w:r>
      <w:r w:rsidRPr="002F383C">
        <w:rPr>
          <w:rFonts w:cs="Times New Roman"/>
          <w:b w:val="0"/>
          <w:szCs w:val="24"/>
        </w:rPr>
        <w:fldChar w:fldCharType="begin"/>
      </w:r>
      <w:r w:rsidRPr="002F383C">
        <w:rPr>
          <w:rFonts w:cs="Times New Roman"/>
          <w:szCs w:val="24"/>
        </w:rPr>
        <w:instrText xml:space="preserve"> SEQ Table \* ARABIC </w:instrText>
      </w:r>
      <w:r w:rsidRPr="002F383C">
        <w:rPr>
          <w:rFonts w:cs="Times New Roman"/>
          <w:b w:val="0"/>
          <w:szCs w:val="24"/>
        </w:rPr>
        <w:fldChar w:fldCharType="separate"/>
      </w:r>
      <w:r w:rsidRPr="002F383C">
        <w:rPr>
          <w:rFonts w:cs="Times New Roman"/>
          <w:noProof/>
          <w:szCs w:val="24"/>
        </w:rPr>
        <w:t>1</w:t>
      </w:r>
      <w:r w:rsidRPr="002F383C">
        <w:rPr>
          <w:rFonts w:cs="Times New Roman"/>
          <w:b w:val="0"/>
          <w:szCs w:val="24"/>
        </w:rPr>
        <w:fldChar w:fldCharType="end"/>
      </w:r>
      <w:r w:rsidRPr="002F383C">
        <w:rPr>
          <w:rFonts w:cs="Times New Roman"/>
          <w:szCs w:val="24"/>
        </w:rPr>
        <w:t>: Inclusion and Exclusion criteria</w:t>
      </w:r>
      <w:bookmarkEnd w:id="69"/>
    </w:p>
    <w:tbl>
      <w:tblPr>
        <w:tblStyle w:val="TableGrid"/>
        <w:tblW w:w="0" w:type="auto"/>
        <w:tblLook w:val="04A0" w:firstRow="1" w:lastRow="0" w:firstColumn="1" w:lastColumn="0" w:noHBand="0" w:noVBand="1"/>
      </w:tblPr>
      <w:tblGrid>
        <w:gridCol w:w="1563"/>
        <w:gridCol w:w="4084"/>
        <w:gridCol w:w="3373"/>
      </w:tblGrid>
      <w:tr w:rsidR="007B6807" w:rsidRPr="002F383C" w14:paraId="50718275" w14:textId="77777777" w:rsidTr="0055320A">
        <w:tc>
          <w:tcPr>
            <w:tcW w:w="0" w:type="auto"/>
            <w:hideMark/>
          </w:tcPr>
          <w:p w14:paraId="01C4A8AE" w14:textId="77777777" w:rsidR="007B6807" w:rsidRPr="002F383C" w:rsidRDefault="007B6807" w:rsidP="00D23C43">
            <w:pPr>
              <w:spacing w:before="240" w:after="240" w:line="360" w:lineRule="auto"/>
              <w:jc w:val="center"/>
              <w:rPr>
                <w:rFonts w:eastAsia="Times New Roman" w:cs="Times New Roman"/>
                <w:b/>
                <w:bCs/>
                <w:sz w:val="24"/>
                <w:szCs w:val="24"/>
                <w:lang w:eastAsia="en-GB"/>
              </w:rPr>
            </w:pPr>
            <w:r w:rsidRPr="002F383C">
              <w:rPr>
                <w:rFonts w:eastAsia="Times New Roman" w:cs="Times New Roman"/>
                <w:b/>
                <w:bCs/>
                <w:sz w:val="24"/>
                <w:szCs w:val="24"/>
                <w:lang w:eastAsia="en-GB"/>
              </w:rPr>
              <w:t>Criteria</w:t>
            </w:r>
          </w:p>
        </w:tc>
        <w:tc>
          <w:tcPr>
            <w:tcW w:w="0" w:type="auto"/>
            <w:hideMark/>
          </w:tcPr>
          <w:p w14:paraId="7087D128" w14:textId="77777777" w:rsidR="007B6807" w:rsidRPr="002F383C" w:rsidRDefault="007B6807" w:rsidP="00D23C43">
            <w:pPr>
              <w:spacing w:before="240" w:after="240" w:line="360" w:lineRule="auto"/>
              <w:jc w:val="center"/>
              <w:rPr>
                <w:rFonts w:eastAsia="Times New Roman" w:cs="Times New Roman"/>
                <w:b/>
                <w:bCs/>
                <w:sz w:val="24"/>
                <w:szCs w:val="24"/>
                <w:lang w:eastAsia="en-GB"/>
              </w:rPr>
            </w:pPr>
            <w:r w:rsidRPr="002F383C">
              <w:rPr>
                <w:rFonts w:eastAsia="Times New Roman" w:cs="Times New Roman"/>
                <w:b/>
                <w:bCs/>
                <w:sz w:val="24"/>
                <w:szCs w:val="24"/>
                <w:lang w:eastAsia="en-GB"/>
              </w:rPr>
              <w:t>Inclusion Criteria</w:t>
            </w:r>
          </w:p>
        </w:tc>
        <w:tc>
          <w:tcPr>
            <w:tcW w:w="0" w:type="auto"/>
            <w:hideMark/>
          </w:tcPr>
          <w:p w14:paraId="256FE359" w14:textId="77777777" w:rsidR="007B6807" w:rsidRPr="002F383C" w:rsidRDefault="007B6807" w:rsidP="00D23C43">
            <w:pPr>
              <w:spacing w:before="240" w:after="240" w:line="360" w:lineRule="auto"/>
              <w:jc w:val="center"/>
              <w:rPr>
                <w:rFonts w:eastAsia="Times New Roman" w:cs="Times New Roman"/>
                <w:b/>
                <w:bCs/>
                <w:sz w:val="24"/>
                <w:szCs w:val="24"/>
                <w:lang w:eastAsia="en-GB"/>
              </w:rPr>
            </w:pPr>
            <w:r w:rsidRPr="002F383C">
              <w:rPr>
                <w:rFonts w:eastAsia="Times New Roman" w:cs="Times New Roman"/>
                <w:b/>
                <w:bCs/>
                <w:sz w:val="24"/>
                <w:szCs w:val="24"/>
                <w:lang w:eastAsia="en-GB"/>
              </w:rPr>
              <w:t>Exclusion Criteria</w:t>
            </w:r>
          </w:p>
        </w:tc>
      </w:tr>
      <w:tr w:rsidR="007B6807" w:rsidRPr="002F383C" w14:paraId="730442CF" w14:textId="77777777" w:rsidTr="0055320A">
        <w:tc>
          <w:tcPr>
            <w:tcW w:w="0" w:type="auto"/>
            <w:hideMark/>
          </w:tcPr>
          <w:p w14:paraId="2DA69407" w14:textId="77777777" w:rsidR="007B6807" w:rsidRPr="002F383C" w:rsidRDefault="007B6807" w:rsidP="00D23C43">
            <w:pPr>
              <w:spacing w:before="240" w:after="240" w:line="360" w:lineRule="auto"/>
              <w:rPr>
                <w:rFonts w:eastAsia="Times New Roman" w:cs="Times New Roman"/>
                <w:sz w:val="24"/>
                <w:szCs w:val="24"/>
                <w:lang w:eastAsia="en-GB"/>
              </w:rPr>
            </w:pPr>
            <w:r w:rsidRPr="002F383C">
              <w:rPr>
                <w:rFonts w:eastAsia="Times New Roman" w:cs="Times New Roman"/>
                <w:b/>
                <w:bCs/>
                <w:sz w:val="24"/>
                <w:szCs w:val="24"/>
                <w:lang w:eastAsia="en-GB"/>
              </w:rPr>
              <w:t>Source type</w:t>
            </w:r>
          </w:p>
        </w:tc>
        <w:tc>
          <w:tcPr>
            <w:tcW w:w="0" w:type="auto"/>
            <w:hideMark/>
          </w:tcPr>
          <w:p w14:paraId="6A899BFE" w14:textId="77777777" w:rsidR="007B6807" w:rsidRPr="002F383C" w:rsidRDefault="007B6807" w:rsidP="00D23C43">
            <w:pPr>
              <w:spacing w:before="240" w:after="240" w:line="360" w:lineRule="auto"/>
              <w:jc w:val="both"/>
              <w:rPr>
                <w:rFonts w:eastAsia="Times New Roman" w:cs="Times New Roman"/>
                <w:sz w:val="24"/>
                <w:szCs w:val="24"/>
                <w:lang w:eastAsia="en-GB"/>
              </w:rPr>
            </w:pPr>
            <w:r w:rsidRPr="002F383C">
              <w:rPr>
                <w:rFonts w:eastAsia="Times New Roman" w:cs="Times New Roman"/>
                <w:sz w:val="24"/>
                <w:szCs w:val="24"/>
                <w:lang w:eastAsia="en-GB"/>
              </w:rPr>
              <w:t>Peer reviewed journal articles, scholarly publications, government reports and recognised institutional publications</w:t>
            </w:r>
          </w:p>
        </w:tc>
        <w:tc>
          <w:tcPr>
            <w:tcW w:w="0" w:type="auto"/>
            <w:hideMark/>
          </w:tcPr>
          <w:p w14:paraId="3C325C1B" w14:textId="77777777" w:rsidR="007B6807" w:rsidRPr="002F383C" w:rsidRDefault="007B6807" w:rsidP="00D23C43">
            <w:pPr>
              <w:spacing w:before="240" w:after="240" w:line="360" w:lineRule="auto"/>
              <w:jc w:val="both"/>
              <w:rPr>
                <w:rFonts w:eastAsia="Times New Roman" w:cs="Times New Roman"/>
                <w:sz w:val="24"/>
                <w:szCs w:val="24"/>
                <w:lang w:eastAsia="en-GB"/>
              </w:rPr>
            </w:pPr>
            <w:r w:rsidRPr="002F383C">
              <w:rPr>
                <w:rFonts w:eastAsia="Times New Roman" w:cs="Times New Roman"/>
                <w:sz w:val="24"/>
                <w:szCs w:val="24"/>
                <w:lang w:eastAsia="en-GB"/>
              </w:rPr>
              <w:t>Blogs, informal websites, opinion based material and unsupported online sources</w:t>
            </w:r>
          </w:p>
        </w:tc>
      </w:tr>
      <w:tr w:rsidR="007B6807" w:rsidRPr="002F383C" w14:paraId="3B0E2E29" w14:textId="77777777" w:rsidTr="0055320A">
        <w:tc>
          <w:tcPr>
            <w:tcW w:w="0" w:type="auto"/>
            <w:hideMark/>
          </w:tcPr>
          <w:p w14:paraId="0583F896" w14:textId="77777777" w:rsidR="007B6807" w:rsidRPr="002F383C" w:rsidRDefault="007B6807" w:rsidP="00D23C43">
            <w:pPr>
              <w:spacing w:before="240" w:after="240" w:line="360" w:lineRule="auto"/>
              <w:rPr>
                <w:rFonts w:eastAsia="Times New Roman" w:cs="Times New Roman"/>
                <w:sz w:val="24"/>
                <w:szCs w:val="24"/>
                <w:lang w:eastAsia="en-GB"/>
              </w:rPr>
            </w:pPr>
            <w:r w:rsidRPr="002F383C">
              <w:rPr>
                <w:rFonts w:eastAsia="Times New Roman" w:cs="Times New Roman"/>
                <w:b/>
                <w:bCs/>
                <w:sz w:val="24"/>
                <w:szCs w:val="24"/>
                <w:lang w:eastAsia="en-GB"/>
              </w:rPr>
              <w:t>Subject relevance</w:t>
            </w:r>
          </w:p>
        </w:tc>
        <w:tc>
          <w:tcPr>
            <w:tcW w:w="0" w:type="auto"/>
            <w:hideMark/>
          </w:tcPr>
          <w:p w14:paraId="32E44FDC" w14:textId="77777777" w:rsidR="007B6807" w:rsidRPr="002F383C" w:rsidRDefault="007B6807" w:rsidP="00D23C43">
            <w:pPr>
              <w:spacing w:before="240" w:after="240" w:line="360" w:lineRule="auto"/>
              <w:jc w:val="both"/>
              <w:rPr>
                <w:rFonts w:eastAsia="Times New Roman" w:cs="Times New Roman"/>
                <w:sz w:val="24"/>
                <w:szCs w:val="24"/>
                <w:lang w:eastAsia="en-GB"/>
              </w:rPr>
            </w:pPr>
            <w:r w:rsidRPr="002F383C">
              <w:rPr>
                <w:rFonts w:eastAsia="Times New Roman" w:cs="Times New Roman"/>
                <w:sz w:val="24"/>
                <w:szCs w:val="24"/>
                <w:lang w:eastAsia="en-GB"/>
              </w:rPr>
              <w:t>Sources addressing supply chain resilience, food manufacturing, international expansion or international supply networks</w:t>
            </w:r>
          </w:p>
        </w:tc>
        <w:tc>
          <w:tcPr>
            <w:tcW w:w="0" w:type="auto"/>
            <w:hideMark/>
          </w:tcPr>
          <w:p w14:paraId="7BD87BB1" w14:textId="77777777" w:rsidR="007B6807" w:rsidRPr="002F383C" w:rsidRDefault="007B6807" w:rsidP="00D23C43">
            <w:pPr>
              <w:spacing w:before="240" w:after="240" w:line="360" w:lineRule="auto"/>
              <w:jc w:val="both"/>
              <w:rPr>
                <w:rFonts w:eastAsia="Times New Roman" w:cs="Times New Roman"/>
                <w:sz w:val="24"/>
                <w:szCs w:val="24"/>
                <w:lang w:eastAsia="en-GB"/>
              </w:rPr>
            </w:pPr>
            <w:r w:rsidRPr="002F383C">
              <w:rPr>
                <w:rFonts w:eastAsia="Times New Roman" w:cs="Times New Roman"/>
                <w:sz w:val="24"/>
                <w:szCs w:val="24"/>
                <w:lang w:eastAsia="en-GB"/>
              </w:rPr>
              <w:t>Sources with no clear connection to supply chain resilience or international expansion</w:t>
            </w:r>
          </w:p>
        </w:tc>
      </w:tr>
      <w:tr w:rsidR="007B6807" w:rsidRPr="002F383C" w14:paraId="10CEC222" w14:textId="77777777" w:rsidTr="0055320A">
        <w:tc>
          <w:tcPr>
            <w:tcW w:w="0" w:type="auto"/>
            <w:hideMark/>
          </w:tcPr>
          <w:p w14:paraId="2A0DB449" w14:textId="77777777" w:rsidR="007B6807" w:rsidRPr="002F383C" w:rsidRDefault="007B6807" w:rsidP="00D23C43">
            <w:pPr>
              <w:spacing w:before="240" w:after="240" w:line="360" w:lineRule="auto"/>
              <w:rPr>
                <w:rFonts w:eastAsia="Times New Roman" w:cs="Times New Roman"/>
                <w:sz w:val="24"/>
                <w:szCs w:val="24"/>
                <w:lang w:eastAsia="en-GB"/>
              </w:rPr>
            </w:pPr>
            <w:r w:rsidRPr="002F383C">
              <w:rPr>
                <w:rFonts w:eastAsia="Times New Roman" w:cs="Times New Roman"/>
                <w:b/>
                <w:bCs/>
                <w:sz w:val="24"/>
                <w:szCs w:val="24"/>
                <w:lang w:eastAsia="en-GB"/>
              </w:rPr>
              <w:t>Research focus</w:t>
            </w:r>
          </w:p>
        </w:tc>
        <w:tc>
          <w:tcPr>
            <w:tcW w:w="0" w:type="auto"/>
            <w:hideMark/>
          </w:tcPr>
          <w:p w14:paraId="6ACA22BE" w14:textId="77777777" w:rsidR="007B6807" w:rsidRPr="002F383C" w:rsidRDefault="007B6807" w:rsidP="00D23C43">
            <w:pPr>
              <w:spacing w:before="240" w:after="240" w:line="360" w:lineRule="auto"/>
              <w:jc w:val="both"/>
              <w:rPr>
                <w:rFonts w:eastAsia="Times New Roman" w:cs="Times New Roman"/>
                <w:sz w:val="24"/>
                <w:szCs w:val="24"/>
                <w:lang w:eastAsia="en-GB"/>
              </w:rPr>
            </w:pPr>
            <w:r w:rsidRPr="002F383C">
              <w:rPr>
                <w:rFonts w:eastAsia="Times New Roman" w:cs="Times New Roman"/>
                <w:sz w:val="24"/>
                <w:szCs w:val="24"/>
                <w:lang w:eastAsia="en-GB"/>
              </w:rPr>
              <w:t>Studies examining collaboration, supplier diversification, flexibility, visibility, adaptability and relevant resilience strategies</w:t>
            </w:r>
          </w:p>
        </w:tc>
        <w:tc>
          <w:tcPr>
            <w:tcW w:w="0" w:type="auto"/>
            <w:hideMark/>
          </w:tcPr>
          <w:p w14:paraId="67A3C523" w14:textId="77777777" w:rsidR="007B6807" w:rsidRPr="002F383C" w:rsidRDefault="007B6807" w:rsidP="00D23C43">
            <w:pPr>
              <w:spacing w:before="240" w:after="240" w:line="360" w:lineRule="auto"/>
              <w:jc w:val="both"/>
              <w:rPr>
                <w:rFonts w:eastAsia="Times New Roman" w:cs="Times New Roman"/>
                <w:sz w:val="24"/>
                <w:szCs w:val="24"/>
                <w:lang w:eastAsia="en-GB"/>
              </w:rPr>
            </w:pPr>
            <w:r w:rsidRPr="002F383C">
              <w:rPr>
                <w:rFonts w:eastAsia="Times New Roman" w:cs="Times New Roman"/>
                <w:sz w:val="24"/>
                <w:szCs w:val="24"/>
                <w:lang w:eastAsia="en-GB"/>
              </w:rPr>
              <w:t>Studies focusing on unrelated supply chain issues that did not contribute to the research objectives</w:t>
            </w:r>
          </w:p>
        </w:tc>
      </w:tr>
      <w:tr w:rsidR="007B6807" w:rsidRPr="002F383C" w14:paraId="4618CEA8" w14:textId="77777777" w:rsidTr="0055320A">
        <w:tc>
          <w:tcPr>
            <w:tcW w:w="0" w:type="auto"/>
            <w:hideMark/>
          </w:tcPr>
          <w:p w14:paraId="66FA53D6" w14:textId="77777777" w:rsidR="007B6807" w:rsidRPr="002F383C" w:rsidRDefault="007B6807" w:rsidP="00D23C43">
            <w:pPr>
              <w:spacing w:before="240" w:after="240" w:line="360" w:lineRule="auto"/>
              <w:rPr>
                <w:rFonts w:eastAsia="Times New Roman" w:cs="Times New Roman"/>
                <w:sz w:val="24"/>
                <w:szCs w:val="24"/>
                <w:lang w:eastAsia="en-GB"/>
              </w:rPr>
            </w:pPr>
            <w:r w:rsidRPr="002F383C">
              <w:rPr>
                <w:rFonts w:eastAsia="Times New Roman" w:cs="Times New Roman"/>
                <w:b/>
                <w:bCs/>
                <w:sz w:val="24"/>
                <w:szCs w:val="24"/>
                <w:lang w:eastAsia="en-GB"/>
              </w:rPr>
              <w:t>Context</w:t>
            </w:r>
          </w:p>
        </w:tc>
        <w:tc>
          <w:tcPr>
            <w:tcW w:w="0" w:type="auto"/>
            <w:hideMark/>
          </w:tcPr>
          <w:p w14:paraId="2C6F2F81" w14:textId="77777777" w:rsidR="007B6807" w:rsidRPr="002F383C" w:rsidRDefault="007B6807" w:rsidP="00D23C43">
            <w:pPr>
              <w:spacing w:before="240" w:after="240" w:line="360" w:lineRule="auto"/>
              <w:jc w:val="both"/>
              <w:rPr>
                <w:rFonts w:eastAsia="Times New Roman" w:cs="Times New Roman"/>
                <w:sz w:val="24"/>
                <w:szCs w:val="24"/>
                <w:lang w:eastAsia="en-GB"/>
              </w:rPr>
            </w:pPr>
            <w:r w:rsidRPr="002F383C">
              <w:rPr>
                <w:rFonts w:eastAsia="Times New Roman" w:cs="Times New Roman"/>
                <w:sz w:val="24"/>
                <w:szCs w:val="24"/>
                <w:lang w:eastAsia="en-GB"/>
              </w:rPr>
              <w:t>UK focused evidence and relevant international studies providing useful insights for UK food manufacturing</w:t>
            </w:r>
          </w:p>
        </w:tc>
        <w:tc>
          <w:tcPr>
            <w:tcW w:w="0" w:type="auto"/>
            <w:hideMark/>
          </w:tcPr>
          <w:p w14:paraId="407E3DE2" w14:textId="77777777" w:rsidR="007B6807" w:rsidRPr="002F383C" w:rsidRDefault="007B6807" w:rsidP="00D23C43">
            <w:pPr>
              <w:spacing w:before="240" w:after="240" w:line="360" w:lineRule="auto"/>
              <w:jc w:val="both"/>
              <w:rPr>
                <w:rFonts w:eastAsia="Times New Roman" w:cs="Times New Roman"/>
                <w:sz w:val="24"/>
                <w:szCs w:val="24"/>
                <w:lang w:eastAsia="en-GB"/>
              </w:rPr>
            </w:pPr>
            <w:r w:rsidRPr="002F383C">
              <w:rPr>
                <w:rFonts w:eastAsia="Times New Roman" w:cs="Times New Roman"/>
                <w:sz w:val="24"/>
                <w:szCs w:val="24"/>
                <w:lang w:eastAsia="en-GB"/>
              </w:rPr>
              <w:t>Studies from unrelated industries or contexts with limited relevance to the research</w:t>
            </w:r>
          </w:p>
        </w:tc>
      </w:tr>
      <w:tr w:rsidR="007B6807" w:rsidRPr="002F383C" w14:paraId="3A77A46B" w14:textId="77777777" w:rsidTr="0055320A">
        <w:tc>
          <w:tcPr>
            <w:tcW w:w="0" w:type="auto"/>
            <w:hideMark/>
          </w:tcPr>
          <w:p w14:paraId="40BCEEC7" w14:textId="77777777" w:rsidR="007B6807" w:rsidRPr="002F383C" w:rsidRDefault="007B6807" w:rsidP="00D23C43">
            <w:pPr>
              <w:spacing w:before="240" w:after="240" w:line="360" w:lineRule="auto"/>
              <w:rPr>
                <w:rFonts w:eastAsia="Times New Roman" w:cs="Times New Roman"/>
                <w:sz w:val="24"/>
                <w:szCs w:val="24"/>
                <w:lang w:eastAsia="en-GB"/>
              </w:rPr>
            </w:pPr>
            <w:r w:rsidRPr="002F383C">
              <w:rPr>
                <w:rFonts w:eastAsia="Times New Roman" w:cs="Times New Roman"/>
                <w:b/>
                <w:bCs/>
                <w:sz w:val="24"/>
                <w:szCs w:val="24"/>
                <w:lang w:eastAsia="en-GB"/>
              </w:rPr>
              <w:t>Quality</w:t>
            </w:r>
          </w:p>
        </w:tc>
        <w:tc>
          <w:tcPr>
            <w:tcW w:w="0" w:type="auto"/>
            <w:hideMark/>
          </w:tcPr>
          <w:p w14:paraId="2B2129C7" w14:textId="77777777" w:rsidR="007B6807" w:rsidRPr="002F383C" w:rsidRDefault="007B6807" w:rsidP="00D23C43">
            <w:pPr>
              <w:spacing w:before="240" w:after="240" w:line="360" w:lineRule="auto"/>
              <w:jc w:val="both"/>
              <w:rPr>
                <w:rFonts w:eastAsia="Times New Roman" w:cs="Times New Roman"/>
                <w:sz w:val="24"/>
                <w:szCs w:val="24"/>
                <w:lang w:eastAsia="en-GB"/>
              </w:rPr>
            </w:pPr>
            <w:r w:rsidRPr="002F383C">
              <w:rPr>
                <w:rFonts w:eastAsia="Times New Roman" w:cs="Times New Roman"/>
                <w:sz w:val="24"/>
                <w:szCs w:val="24"/>
                <w:lang w:eastAsia="en-GB"/>
              </w:rPr>
              <w:t>Sources with clear academic or institutional credibility and sufficient evidence to support analysis</w:t>
            </w:r>
          </w:p>
        </w:tc>
        <w:tc>
          <w:tcPr>
            <w:tcW w:w="0" w:type="auto"/>
            <w:hideMark/>
          </w:tcPr>
          <w:p w14:paraId="324C76D5" w14:textId="77777777" w:rsidR="007B6807" w:rsidRPr="002F383C" w:rsidRDefault="007B6807" w:rsidP="00D23C43">
            <w:pPr>
              <w:spacing w:before="240" w:after="240" w:line="360" w:lineRule="auto"/>
              <w:jc w:val="both"/>
              <w:rPr>
                <w:rFonts w:eastAsia="Times New Roman" w:cs="Times New Roman"/>
                <w:sz w:val="24"/>
                <w:szCs w:val="24"/>
                <w:lang w:eastAsia="en-GB"/>
              </w:rPr>
            </w:pPr>
            <w:r w:rsidRPr="002F383C">
              <w:rPr>
                <w:rFonts w:eastAsia="Times New Roman" w:cs="Times New Roman"/>
                <w:sz w:val="24"/>
                <w:szCs w:val="24"/>
                <w:lang w:eastAsia="en-GB"/>
              </w:rPr>
              <w:t>Sources containing unsupported claims or lacking adequate research credibility</w:t>
            </w:r>
          </w:p>
        </w:tc>
      </w:tr>
      <w:tr w:rsidR="007B6807" w:rsidRPr="002F383C" w14:paraId="2BB98D52" w14:textId="77777777" w:rsidTr="0055320A">
        <w:tc>
          <w:tcPr>
            <w:tcW w:w="0" w:type="auto"/>
            <w:hideMark/>
          </w:tcPr>
          <w:p w14:paraId="1AEB6AF3" w14:textId="77777777" w:rsidR="007B6807" w:rsidRPr="002F383C" w:rsidRDefault="007B6807" w:rsidP="00D23C43">
            <w:pPr>
              <w:spacing w:before="240" w:after="240" w:line="360" w:lineRule="auto"/>
              <w:rPr>
                <w:rFonts w:eastAsia="Times New Roman" w:cs="Times New Roman"/>
                <w:sz w:val="24"/>
                <w:szCs w:val="24"/>
                <w:lang w:eastAsia="en-GB"/>
              </w:rPr>
            </w:pPr>
            <w:r w:rsidRPr="002F383C">
              <w:rPr>
                <w:rFonts w:eastAsia="Times New Roman" w:cs="Times New Roman"/>
                <w:b/>
                <w:bCs/>
                <w:sz w:val="24"/>
                <w:szCs w:val="24"/>
                <w:lang w:eastAsia="en-GB"/>
              </w:rPr>
              <w:t>Relevance to objectives</w:t>
            </w:r>
          </w:p>
        </w:tc>
        <w:tc>
          <w:tcPr>
            <w:tcW w:w="0" w:type="auto"/>
            <w:hideMark/>
          </w:tcPr>
          <w:p w14:paraId="5472AA18" w14:textId="77777777" w:rsidR="007B6807" w:rsidRPr="002F383C" w:rsidRDefault="007B6807" w:rsidP="00D23C43">
            <w:pPr>
              <w:spacing w:before="240" w:after="240" w:line="360" w:lineRule="auto"/>
              <w:jc w:val="both"/>
              <w:rPr>
                <w:rFonts w:eastAsia="Times New Roman" w:cs="Times New Roman"/>
                <w:sz w:val="24"/>
                <w:szCs w:val="24"/>
                <w:lang w:eastAsia="en-GB"/>
              </w:rPr>
            </w:pPr>
            <w:r w:rsidRPr="002F383C">
              <w:rPr>
                <w:rFonts w:eastAsia="Times New Roman" w:cs="Times New Roman"/>
                <w:sz w:val="24"/>
                <w:szCs w:val="24"/>
                <w:lang w:eastAsia="en-GB"/>
              </w:rPr>
              <w:t>Evidence that contributed directly to one or more research objectives</w:t>
            </w:r>
          </w:p>
        </w:tc>
        <w:tc>
          <w:tcPr>
            <w:tcW w:w="0" w:type="auto"/>
            <w:hideMark/>
          </w:tcPr>
          <w:p w14:paraId="4DF42EF0" w14:textId="77777777" w:rsidR="007B6807" w:rsidRPr="002F383C" w:rsidRDefault="007B6807" w:rsidP="00D23C43">
            <w:pPr>
              <w:spacing w:before="240" w:after="240" w:line="360" w:lineRule="auto"/>
              <w:jc w:val="both"/>
              <w:rPr>
                <w:rFonts w:eastAsia="Times New Roman" w:cs="Times New Roman"/>
                <w:sz w:val="24"/>
                <w:szCs w:val="24"/>
                <w:lang w:eastAsia="en-GB"/>
              </w:rPr>
            </w:pPr>
            <w:r w:rsidRPr="002F383C">
              <w:rPr>
                <w:rFonts w:eastAsia="Times New Roman" w:cs="Times New Roman"/>
                <w:sz w:val="24"/>
                <w:szCs w:val="24"/>
                <w:lang w:eastAsia="en-GB"/>
              </w:rPr>
              <w:t>Evidence that did not contribute meaningfully to the research question or objectives</w:t>
            </w:r>
          </w:p>
        </w:tc>
      </w:tr>
    </w:tbl>
    <w:p w14:paraId="086F5E5B" w14:textId="77777777" w:rsidR="007B6807" w:rsidRPr="002F383C" w:rsidRDefault="007B6807" w:rsidP="00D23C43">
      <w:pPr>
        <w:pStyle w:val="Heading2"/>
        <w:spacing w:before="240" w:after="240"/>
        <w:rPr>
          <w:rFonts w:cs="Times New Roman"/>
          <w:szCs w:val="24"/>
        </w:rPr>
      </w:pPr>
      <w:r w:rsidRPr="002F383C">
        <w:rPr>
          <w:rFonts w:cs="Times New Roman"/>
          <w:szCs w:val="24"/>
        </w:rPr>
        <w:t xml:space="preserve"> </w:t>
      </w:r>
      <w:bookmarkStart w:id="70" w:name="_Toc240316939"/>
      <w:bookmarkStart w:id="71" w:name="_Toc241252033"/>
      <w:r w:rsidRPr="002F383C">
        <w:rPr>
          <w:rFonts w:cs="Times New Roman"/>
          <w:szCs w:val="24"/>
        </w:rPr>
        <w:t>3.7 Data Analysis</w:t>
      </w:r>
      <w:bookmarkEnd w:id="70"/>
      <w:bookmarkEnd w:id="71"/>
    </w:p>
    <w:p w14:paraId="33837B30" w14:textId="77777777" w:rsidR="007B6807" w:rsidRPr="002F383C" w:rsidRDefault="007B6807" w:rsidP="00D23C43">
      <w:pPr>
        <w:spacing w:before="240" w:after="240"/>
        <w:rPr>
          <w:rFonts w:cs="Times New Roman"/>
        </w:rPr>
      </w:pPr>
      <w:r w:rsidRPr="002F383C">
        <w:rPr>
          <w:rFonts w:cs="Times New Roman"/>
        </w:rPr>
        <w:t xml:space="preserve">Thematic analysis was used to analyse the secondary qualitative evidence. Thematic analysis is a qualitative method of analysis that operates to recognise, systematise and explain repetitive trends of significance within a collection of evidence (Ahmed, et al., 2025). It was chosen due to the need to determine general trends in the existing body of research as well as finding differences and contrasting results. The analysis was conducted in a systematic manner whereby the chosen sources were read severally to gain familiarity with the findings and extract evidence that would be applied to the research objectives. Relevant textual findings were then recorded and assigned initial codes that represented their main meaning. Similar codes were matched and sorted into new wider categories depending on shared patten in the evidence. These categories were then examined to develop potential themes. The proposed themes were reviewed against the original evidence to ensure that they accurately represented the selected sources and were not based on unsupported interpretations. </w:t>
      </w:r>
    </w:p>
    <w:p w14:paraId="5619A7C5" w14:textId="77777777" w:rsidR="007B6807" w:rsidRPr="002F383C" w:rsidRDefault="007B6807" w:rsidP="00D23C43">
      <w:pPr>
        <w:spacing w:before="240" w:after="240"/>
        <w:rPr>
          <w:rFonts w:cs="Times New Roman"/>
        </w:rPr>
      </w:pPr>
      <w:r w:rsidRPr="002F383C">
        <w:rPr>
          <w:rFonts w:cs="Times New Roman"/>
        </w:rPr>
        <w:t>Thematic analysis was more suitable as compared to statistical analysis since this study examined qualitative secondary evidence and not numerical data. Measurement of variables, testing relationships and establishing patterns using numeric values generally necessitates statistical analysis (Mweshi and Muhyila, 2024). The use of thematic analysis on the other hand allowed the research to make sense of repeating concepts, associations and similarities and differences between the chosen sources. It also enabled contrasting results to be taken into account instead of converting the evidence into numbers. The resulting themes were interpreted in relation to the research question, research objectives, theoretical framework and conceptual framework.</w:t>
      </w:r>
    </w:p>
    <w:p w14:paraId="31460769" w14:textId="77777777" w:rsidR="007B6807" w:rsidRPr="002F383C" w:rsidRDefault="007B6807" w:rsidP="00D23C43">
      <w:pPr>
        <w:pStyle w:val="Heading2"/>
        <w:spacing w:before="240" w:after="240"/>
        <w:rPr>
          <w:rFonts w:cs="Times New Roman"/>
          <w:szCs w:val="24"/>
        </w:rPr>
      </w:pPr>
      <w:bookmarkStart w:id="72" w:name="_Toc240316940"/>
      <w:bookmarkStart w:id="73" w:name="_Toc241252034"/>
      <w:r w:rsidRPr="002F383C">
        <w:rPr>
          <w:rFonts w:cs="Times New Roman"/>
          <w:szCs w:val="24"/>
        </w:rPr>
        <w:t>3.8 Quality and Trustworthiness of the Research</w:t>
      </w:r>
      <w:bookmarkEnd w:id="72"/>
      <w:bookmarkEnd w:id="73"/>
    </w:p>
    <w:p w14:paraId="66970EA0" w14:textId="77777777" w:rsidR="007B6807" w:rsidRPr="002F383C" w:rsidRDefault="007B6807" w:rsidP="00D23C43">
      <w:pPr>
        <w:spacing w:before="240" w:after="240"/>
        <w:rPr>
          <w:rFonts w:cs="Times New Roman"/>
        </w:rPr>
      </w:pPr>
      <w:r w:rsidRPr="002F383C">
        <w:rPr>
          <w:rFonts w:cs="Times New Roman"/>
        </w:rPr>
        <w:t>Several measures were used to strengthen the quality of the research. The research considered peer reviewed articles of study and identified government and institutional publications which ultimately eliminated the reliance on unsupported online sources. The research was also based on clear inclusion and exclusion criteria so that the evidence selected was relevant to the research objectives. The coding process followed a consistent sequence in which relevant textual evidence was assigned initial codes, grouped into categories and developed into final themes. These themes were verified by referring to the original sources to provide the interpretation that was reasonable based on the existing evidence. Similarities and differences of studies were also taken into consideration in the analysis and this contributed to minimising the chances of researcher bias that could have been caused by the selective use of supporting evidence. Citation and referencing was upheld throughout to create a clear relationship between the interpretations and the original sources. These measures strengthened the transparency and trustworthiness of the research and provided a clear basis for developing the findings and recommendations.</w:t>
      </w:r>
    </w:p>
    <w:p w14:paraId="4C18F4E7" w14:textId="77777777" w:rsidR="007B6807" w:rsidRPr="002F383C" w:rsidRDefault="007B6807" w:rsidP="00D23C43">
      <w:pPr>
        <w:pStyle w:val="Heading2"/>
        <w:spacing w:before="240" w:after="240"/>
        <w:rPr>
          <w:rFonts w:cs="Times New Roman"/>
          <w:szCs w:val="24"/>
        </w:rPr>
      </w:pPr>
      <w:bookmarkStart w:id="74" w:name="_Toc240316941"/>
      <w:bookmarkStart w:id="75" w:name="_Toc241252035"/>
      <w:r w:rsidRPr="002F383C">
        <w:rPr>
          <w:rFonts w:cs="Times New Roman"/>
          <w:szCs w:val="24"/>
        </w:rPr>
        <w:t>3.9 Ethical Considerations</w:t>
      </w:r>
      <w:bookmarkEnd w:id="74"/>
      <w:bookmarkEnd w:id="75"/>
    </w:p>
    <w:p w14:paraId="74782785" w14:textId="77777777" w:rsidR="007B6807" w:rsidRPr="002F383C" w:rsidRDefault="007B6807" w:rsidP="00D23C43">
      <w:pPr>
        <w:spacing w:before="240" w:after="240"/>
        <w:rPr>
          <w:rFonts w:cs="Times New Roman"/>
        </w:rPr>
      </w:pPr>
      <w:r w:rsidRPr="002F383C">
        <w:rPr>
          <w:rFonts w:cs="Times New Roman"/>
        </w:rPr>
        <w:t>Research ethics can be defined as the standards that guide researchers in carrying out a study in a responsible, honest and respectful manner that upholds the rights, integrity and responsible use of the research information (Ali, et al., 2025). Accordingly, the research had been developed in accordance with the UWTSD Research Ethics and Integrity Code of Practice and the UWTSD Research Data Management Policy.  The ethics form described that the study was a secondary qualitative research and that no names, contact information or personal opinions, sensitive information or any other identifiable personal data would be obtained.  In addition, potential risks of secondary study such as misinterpretation of literature, researcher bias, copyright infringement and poor data management were addressed through the use of credible sources, accurate referencing and avoidance of data manipulation. The storage of research materials was done electronically through password secured devices and safe University approved storage. These provisions assisted in responsible management of research information during the project.</w:t>
      </w:r>
    </w:p>
    <w:p w14:paraId="4090FED8" w14:textId="77777777" w:rsidR="007B6807" w:rsidRPr="002F383C" w:rsidRDefault="007B6807" w:rsidP="00D23C43">
      <w:pPr>
        <w:pStyle w:val="Heading2"/>
        <w:spacing w:before="240" w:after="240"/>
        <w:rPr>
          <w:rFonts w:cs="Times New Roman"/>
          <w:szCs w:val="24"/>
        </w:rPr>
      </w:pPr>
      <w:r w:rsidRPr="002F383C">
        <w:rPr>
          <w:rFonts w:cs="Times New Roman"/>
          <w:szCs w:val="24"/>
        </w:rPr>
        <w:t xml:space="preserve"> </w:t>
      </w:r>
      <w:bookmarkStart w:id="76" w:name="_Toc240316942"/>
      <w:bookmarkStart w:id="77" w:name="_Toc241252036"/>
      <w:r w:rsidRPr="002F383C">
        <w:rPr>
          <w:rFonts w:cs="Times New Roman"/>
          <w:szCs w:val="24"/>
        </w:rPr>
        <w:t>3.10 Methodological Limitations</w:t>
      </w:r>
      <w:bookmarkEnd w:id="76"/>
      <w:bookmarkEnd w:id="77"/>
    </w:p>
    <w:p w14:paraId="694374B5" w14:textId="158D831B" w:rsidR="00CE7A1C" w:rsidRPr="002F383C" w:rsidRDefault="007B6807" w:rsidP="00D23C43">
      <w:pPr>
        <w:spacing w:before="240" w:after="240"/>
        <w:rPr>
          <w:rFonts w:cs="Times New Roman"/>
        </w:rPr>
      </w:pPr>
      <w:r w:rsidRPr="002F383C">
        <w:rPr>
          <w:rFonts w:cs="Times New Roman"/>
        </w:rPr>
        <w:t>The chosen methodology was limited in a number of ways because it involved the use of secondary evidences. The researcher had no control over how the original studies collected their data, selected their samples or measured resilience. The variance in research settings and definitions may thus have an impact on direct comparison of sources. Another limitation was selection bias, as the choice of sources depended on the search criteria used. In addition, database access limitations may have prevented some relevant studies from being included. Another constraint was the access to studies that specifically focused on the UK food manufacturing firms when expanding internationally. This meant that evidence in greater manufacturing, food supply chain and international business contexts was needed where it was directly relevant. This increased the breadth of evidence but required careful selection of sources and interpretation when applying findings to UK food manufacturing</w:t>
      </w:r>
      <w:r w:rsidR="00CE7A1C" w:rsidRPr="002F383C">
        <w:rPr>
          <w:rFonts w:cs="Times New Roman"/>
        </w:rPr>
        <w:t>.</w:t>
      </w:r>
    </w:p>
    <w:p w14:paraId="7D27EED3" w14:textId="77777777" w:rsidR="00B97836" w:rsidRPr="002F383C" w:rsidRDefault="00B97836" w:rsidP="00D23C43">
      <w:pPr>
        <w:spacing w:before="240" w:after="240"/>
        <w:rPr>
          <w:rFonts w:cs="Times New Roman"/>
        </w:rPr>
      </w:pPr>
      <w:r w:rsidRPr="002F383C">
        <w:rPr>
          <w:rFonts w:cs="Times New Roman"/>
        </w:rPr>
        <w:br w:type="page"/>
      </w:r>
    </w:p>
    <w:p w14:paraId="1C5EA694" w14:textId="76293396" w:rsidR="00B97836" w:rsidRPr="002F383C" w:rsidRDefault="00B97836" w:rsidP="00D23C43">
      <w:pPr>
        <w:pStyle w:val="Heading1"/>
        <w:spacing w:before="240" w:after="240"/>
        <w:rPr>
          <w:rFonts w:cs="Times New Roman"/>
          <w:szCs w:val="24"/>
        </w:rPr>
      </w:pPr>
      <w:bookmarkStart w:id="78" w:name="_Toc241252037"/>
      <w:r w:rsidRPr="002F383C">
        <w:rPr>
          <w:rFonts w:cs="Times New Roman"/>
          <w:szCs w:val="24"/>
        </w:rPr>
        <w:t>Chapter 4: Data Analysis</w:t>
      </w:r>
      <w:bookmarkEnd w:id="78"/>
    </w:p>
    <w:p w14:paraId="25ACE7B2" w14:textId="6D2A0297" w:rsidR="00B97836" w:rsidRPr="002F383C" w:rsidRDefault="00B97836" w:rsidP="00D23C43">
      <w:pPr>
        <w:pStyle w:val="Heading2"/>
        <w:spacing w:before="240" w:after="240"/>
        <w:rPr>
          <w:rFonts w:cs="Times New Roman"/>
          <w:szCs w:val="24"/>
        </w:rPr>
      </w:pPr>
      <w:bookmarkStart w:id="79" w:name="_Toc241252038"/>
      <w:r w:rsidRPr="002F383C">
        <w:rPr>
          <w:rFonts w:cs="Times New Roman"/>
          <w:szCs w:val="24"/>
        </w:rPr>
        <w:t>4.1 Introduction</w:t>
      </w:r>
      <w:bookmarkEnd w:id="79"/>
    </w:p>
    <w:p w14:paraId="7FB259B5" w14:textId="7EDEDF36" w:rsidR="00B97836" w:rsidRPr="002F383C" w:rsidRDefault="002628FC" w:rsidP="00D23C43">
      <w:pPr>
        <w:spacing w:before="240" w:after="240"/>
        <w:rPr>
          <w:rFonts w:cs="Times New Roman"/>
        </w:rPr>
      </w:pPr>
      <w:r w:rsidRPr="002F383C">
        <w:rPr>
          <w:rFonts w:cs="Times New Roman"/>
        </w:rPr>
        <w:t xml:space="preserve">This chapter offers the analysis and findings of data related to the issue of supply chain resilience in </w:t>
      </w:r>
      <w:r w:rsidR="00A63CE8" w:rsidRPr="002F383C">
        <w:rPr>
          <w:rFonts w:cs="Times New Roman"/>
        </w:rPr>
        <w:t>facilitating the internationalis</w:t>
      </w:r>
      <w:r w:rsidRPr="002F383C">
        <w:rPr>
          <w:rFonts w:cs="Times New Roman"/>
        </w:rPr>
        <w:t>ation of UK food manufacturing companies. The analysis discusses the research aims by examining main resilience factors to handle disruptions, the role they take in internat</w:t>
      </w:r>
      <w:r w:rsidR="00A63CE8" w:rsidRPr="002F383C">
        <w:rPr>
          <w:rFonts w:cs="Times New Roman"/>
        </w:rPr>
        <w:t>ional expansion decision-making</w:t>
      </w:r>
      <w:r w:rsidRPr="002F383C">
        <w:rPr>
          <w:rFonts w:cs="Times New Roman"/>
        </w:rPr>
        <w:t xml:space="preserve"> and the strategies that help international growth to be sustainable. The secondary qualitative evidence is organised using thematic analysis by coded recurring themes and patterns and the results are presented objectively and directly connected to the research aims</w:t>
      </w:r>
      <w:r w:rsidR="00B97836" w:rsidRPr="002F383C">
        <w:rPr>
          <w:rFonts w:cs="Times New Roman"/>
        </w:rPr>
        <w:t>.</w:t>
      </w:r>
    </w:p>
    <w:p w14:paraId="7EB68745" w14:textId="1DA01CC8" w:rsidR="00F53433" w:rsidRPr="002F383C" w:rsidRDefault="00B97836" w:rsidP="00D23C43">
      <w:pPr>
        <w:pStyle w:val="Heading2"/>
        <w:spacing w:before="240" w:after="240"/>
        <w:rPr>
          <w:rFonts w:cs="Times New Roman"/>
          <w:szCs w:val="24"/>
        </w:rPr>
      </w:pPr>
      <w:bookmarkStart w:id="80" w:name="_Toc241252039"/>
      <w:r w:rsidRPr="002F383C">
        <w:rPr>
          <w:rFonts w:cs="Times New Roman"/>
          <w:szCs w:val="24"/>
        </w:rPr>
        <w:t xml:space="preserve">4.2 </w:t>
      </w:r>
      <w:r w:rsidR="00A93845" w:rsidRPr="002F383C">
        <w:rPr>
          <w:rFonts w:cs="Times New Roman"/>
          <w:szCs w:val="24"/>
        </w:rPr>
        <w:t>Data Extraction Table</w:t>
      </w:r>
      <w:bookmarkEnd w:id="80"/>
    </w:p>
    <w:p w14:paraId="227CF1D6" w14:textId="039F88A6" w:rsidR="006A6AFC" w:rsidRPr="002F383C" w:rsidRDefault="002628FC" w:rsidP="00D23C43">
      <w:pPr>
        <w:spacing w:before="240" w:after="240"/>
        <w:rPr>
          <w:rFonts w:cs="Times New Roman"/>
        </w:rPr>
      </w:pPr>
      <w:r w:rsidRPr="002F383C">
        <w:rPr>
          <w:rFonts w:cs="Times New Roman"/>
        </w:rPr>
        <w:t>Thes</w:t>
      </w:r>
      <w:r w:rsidR="00EB1EE6">
        <w:rPr>
          <w:rFonts w:cs="Times New Roman"/>
        </w:rPr>
        <w:t>e data were gathered based on 14</w:t>
      </w:r>
      <w:r w:rsidRPr="002F383C">
        <w:rPr>
          <w:rFonts w:cs="Times New Roman"/>
        </w:rPr>
        <w:t xml:space="preserve"> secondary sources which had been selected on grounds of offering the relevant evidence of supply chain resilience and international food supply chains. The sources involved peer reviewed journal articles, UK government and parliament reports, industry reports and statistical evidence. The academic materials were selected according to their relationship to resilience competencie</w:t>
      </w:r>
      <w:r w:rsidR="00A63CE8" w:rsidRPr="002F383C">
        <w:rPr>
          <w:rFonts w:cs="Times New Roman"/>
        </w:rPr>
        <w:t>s, disruptions, global sourcing</w:t>
      </w:r>
      <w:r w:rsidRPr="002F383C">
        <w:rPr>
          <w:rFonts w:cs="Times New Roman"/>
        </w:rPr>
        <w:t xml:space="preserve"> and food supply. Additional specific and practical evidence in the UK was given by government and industry sources. Relevant findings of every source were subsequently systematically extracted to be analysed thematically</w:t>
      </w:r>
      <w:r w:rsidR="006A6AFC" w:rsidRPr="002F383C">
        <w:rPr>
          <w:rFonts w:cs="Times New Roman"/>
        </w:rPr>
        <w:t>.</w:t>
      </w:r>
    </w:p>
    <w:tbl>
      <w:tblPr>
        <w:tblStyle w:val="TableGrid"/>
        <w:tblW w:w="0" w:type="auto"/>
        <w:tblLook w:val="04A0" w:firstRow="1" w:lastRow="0" w:firstColumn="1" w:lastColumn="0" w:noHBand="0" w:noVBand="1"/>
      </w:tblPr>
      <w:tblGrid>
        <w:gridCol w:w="1798"/>
        <w:gridCol w:w="2607"/>
        <w:gridCol w:w="2939"/>
        <w:gridCol w:w="1676"/>
      </w:tblGrid>
      <w:tr w:rsidR="00AE7948" w:rsidRPr="002F383C" w14:paraId="2F703A9C" w14:textId="77777777" w:rsidTr="00B00B30">
        <w:tc>
          <w:tcPr>
            <w:tcW w:w="0" w:type="auto"/>
            <w:hideMark/>
          </w:tcPr>
          <w:p w14:paraId="373C6F86" w14:textId="77777777" w:rsidR="00A93845" w:rsidRPr="002F383C" w:rsidRDefault="00A93845" w:rsidP="00D23C43">
            <w:pPr>
              <w:spacing w:before="240" w:after="240" w:line="360" w:lineRule="auto"/>
              <w:jc w:val="center"/>
              <w:rPr>
                <w:rFonts w:cs="Times New Roman"/>
                <w:b/>
                <w:bCs/>
                <w:color w:val="auto"/>
                <w:sz w:val="24"/>
                <w:szCs w:val="24"/>
              </w:rPr>
            </w:pPr>
            <w:r w:rsidRPr="002F383C">
              <w:rPr>
                <w:rFonts w:cs="Times New Roman"/>
                <w:b/>
                <w:bCs/>
                <w:sz w:val="24"/>
                <w:szCs w:val="24"/>
              </w:rPr>
              <w:t>Source</w:t>
            </w:r>
          </w:p>
        </w:tc>
        <w:tc>
          <w:tcPr>
            <w:tcW w:w="2607" w:type="dxa"/>
            <w:hideMark/>
          </w:tcPr>
          <w:p w14:paraId="248F4737" w14:textId="77777777" w:rsidR="00A93845" w:rsidRPr="002F383C" w:rsidRDefault="00A93845" w:rsidP="00D23C43">
            <w:pPr>
              <w:spacing w:before="240" w:after="240" w:line="360" w:lineRule="auto"/>
              <w:jc w:val="center"/>
              <w:rPr>
                <w:rFonts w:cs="Times New Roman"/>
                <w:b/>
                <w:bCs/>
                <w:sz w:val="24"/>
                <w:szCs w:val="24"/>
              </w:rPr>
            </w:pPr>
            <w:r w:rsidRPr="002F383C">
              <w:rPr>
                <w:rFonts w:cs="Times New Roman"/>
                <w:b/>
                <w:bCs/>
                <w:sz w:val="24"/>
                <w:szCs w:val="24"/>
              </w:rPr>
              <w:t>Methodology</w:t>
            </w:r>
          </w:p>
        </w:tc>
        <w:tc>
          <w:tcPr>
            <w:tcW w:w="2939" w:type="dxa"/>
            <w:hideMark/>
          </w:tcPr>
          <w:p w14:paraId="27ABD329" w14:textId="77777777" w:rsidR="00A93845" w:rsidRPr="002F383C" w:rsidRDefault="00A93845" w:rsidP="00D23C43">
            <w:pPr>
              <w:spacing w:before="240" w:after="240" w:line="360" w:lineRule="auto"/>
              <w:jc w:val="center"/>
              <w:rPr>
                <w:rFonts w:cs="Times New Roman"/>
                <w:b/>
                <w:bCs/>
                <w:sz w:val="24"/>
                <w:szCs w:val="24"/>
              </w:rPr>
            </w:pPr>
            <w:r w:rsidRPr="002F383C">
              <w:rPr>
                <w:rFonts w:cs="Times New Roman"/>
                <w:b/>
                <w:bCs/>
                <w:sz w:val="24"/>
                <w:szCs w:val="24"/>
              </w:rPr>
              <w:t>Relevance and reason for selection</w:t>
            </w:r>
          </w:p>
        </w:tc>
        <w:tc>
          <w:tcPr>
            <w:tcW w:w="1676" w:type="dxa"/>
            <w:hideMark/>
          </w:tcPr>
          <w:p w14:paraId="05D09EFE" w14:textId="77777777" w:rsidR="00A93845" w:rsidRPr="002F383C" w:rsidRDefault="00A93845" w:rsidP="00D23C43">
            <w:pPr>
              <w:spacing w:before="240" w:after="240" w:line="360" w:lineRule="auto"/>
              <w:jc w:val="center"/>
              <w:rPr>
                <w:rFonts w:cs="Times New Roman"/>
                <w:b/>
                <w:bCs/>
                <w:sz w:val="24"/>
                <w:szCs w:val="24"/>
              </w:rPr>
            </w:pPr>
            <w:r w:rsidRPr="002F383C">
              <w:rPr>
                <w:rFonts w:cs="Times New Roman"/>
                <w:b/>
                <w:bCs/>
                <w:sz w:val="24"/>
                <w:szCs w:val="24"/>
              </w:rPr>
              <w:t>Keywords</w:t>
            </w:r>
          </w:p>
        </w:tc>
      </w:tr>
      <w:tr w:rsidR="00AE7948" w:rsidRPr="002F383C" w14:paraId="45C93D7C" w14:textId="77777777" w:rsidTr="00B00B30">
        <w:tc>
          <w:tcPr>
            <w:tcW w:w="0" w:type="auto"/>
            <w:hideMark/>
          </w:tcPr>
          <w:p w14:paraId="7F853F52" w14:textId="77777777" w:rsidR="00A93845" w:rsidRPr="002F383C" w:rsidRDefault="00A93845" w:rsidP="00D23C43">
            <w:pPr>
              <w:spacing w:before="240" w:after="240" w:line="360" w:lineRule="auto"/>
              <w:jc w:val="both"/>
              <w:rPr>
                <w:rFonts w:cs="Times New Roman"/>
                <w:sz w:val="24"/>
                <w:szCs w:val="24"/>
              </w:rPr>
            </w:pPr>
            <w:r w:rsidRPr="002F383C">
              <w:rPr>
                <w:rStyle w:val="Strong"/>
                <w:rFonts w:cs="Times New Roman"/>
                <w:sz w:val="24"/>
                <w:szCs w:val="24"/>
              </w:rPr>
              <w:t>Vicario, et al., (2023)</w:t>
            </w:r>
          </w:p>
        </w:tc>
        <w:tc>
          <w:tcPr>
            <w:tcW w:w="2607" w:type="dxa"/>
            <w:hideMark/>
          </w:tcPr>
          <w:p w14:paraId="35DB2606" w14:textId="0C557ACC" w:rsidR="00A93845" w:rsidRPr="002F383C" w:rsidRDefault="00255462" w:rsidP="00D23C43">
            <w:pPr>
              <w:spacing w:before="240" w:after="240" w:line="360" w:lineRule="auto"/>
              <w:jc w:val="both"/>
              <w:rPr>
                <w:rFonts w:cs="Times New Roman"/>
                <w:sz w:val="24"/>
                <w:szCs w:val="24"/>
              </w:rPr>
            </w:pPr>
            <w:r w:rsidRPr="002F383C">
              <w:rPr>
                <w:rFonts w:cs="Times New Roman"/>
                <w:sz w:val="24"/>
                <w:szCs w:val="24"/>
              </w:rPr>
              <w:t>Online survey on 87 people with 27 interviews with growers, packers, processors and retailers, was used as a UK potato supply chain case study.</w:t>
            </w:r>
          </w:p>
        </w:tc>
        <w:tc>
          <w:tcPr>
            <w:tcW w:w="2939" w:type="dxa"/>
            <w:hideMark/>
          </w:tcPr>
          <w:p w14:paraId="334E8A20" w14:textId="44E661F6" w:rsidR="00A93845" w:rsidRPr="002F383C" w:rsidRDefault="00255462" w:rsidP="00D23C43">
            <w:pPr>
              <w:spacing w:before="240" w:after="240" w:line="360" w:lineRule="auto"/>
              <w:jc w:val="both"/>
              <w:rPr>
                <w:rFonts w:cs="Times New Roman"/>
                <w:sz w:val="24"/>
                <w:szCs w:val="24"/>
              </w:rPr>
            </w:pPr>
            <w:r w:rsidRPr="002F383C">
              <w:rPr>
                <w:rFonts w:cs="Times New Roman"/>
                <w:sz w:val="24"/>
                <w:szCs w:val="24"/>
              </w:rPr>
              <w:t>Chosen as the evidence on UK food supply chain resilience to disruptions and its emphasis on the relevance of geographical diversification, collaboration, coordination and long term resilience strategies</w:t>
            </w:r>
            <w:r w:rsidR="00B00B30" w:rsidRPr="002F383C">
              <w:rPr>
                <w:rFonts w:cs="Times New Roman"/>
                <w:sz w:val="24"/>
                <w:szCs w:val="24"/>
              </w:rPr>
              <w:t>.</w:t>
            </w:r>
          </w:p>
        </w:tc>
        <w:tc>
          <w:tcPr>
            <w:tcW w:w="1676" w:type="dxa"/>
            <w:hideMark/>
          </w:tcPr>
          <w:p w14:paraId="6715AE36" w14:textId="77777777" w:rsidR="00A93845" w:rsidRPr="002F383C" w:rsidRDefault="00A93845" w:rsidP="00D23C43">
            <w:pPr>
              <w:spacing w:before="240" w:after="240" w:line="360" w:lineRule="auto"/>
              <w:jc w:val="both"/>
              <w:rPr>
                <w:rFonts w:cs="Times New Roman"/>
                <w:sz w:val="24"/>
                <w:szCs w:val="24"/>
              </w:rPr>
            </w:pPr>
            <w:r w:rsidRPr="002F383C">
              <w:rPr>
                <w:rFonts w:cs="Times New Roman"/>
                <w:sz w:val="24"/>
                <w:szCs w:val="24"/>
              </w:rPr>
              <w:t>Resilience, collaboration, diversification, UK food supply chain</w:t>
            </w:r>
          </w:p>
        </w:tc>
      </w:tr>
      <w:tr w:rsidR="00AE7948" w:rsidRPr="002F383C" w14:paraId="5D864A51" w14:textId="77777777" w:rsidTr="00B00B30">
        <w:tc>
          <w:tcPr>
            <w:tcW w:w="0" w:type="auto"/>
            <w:hideMark/>
          </w:tcPr>
          <w:p w14:paraId="54489F27" w14:textId="77777777" w:rsidR="00A93845" w:rsidRPr="002F383C" w:rsidRDefault="00A93845" w:rsidP="00D23C43">
            <w:pPr>
              <w:spacing w:before="240" w:after="240" w:line="360" w:lineRule="auto"/>
              <w:jc w:val="both"/>
              <w:rPr>
                <w:rFonts w:cs="Times New Roman"/>
                <w:sz w:val="24"/>
                <w:szCs w:val="24"/>
              </w:rPr>
            </w:pPr>
            <w:r w:rsidRPr="002F383C">
              <w:rPr>
                <w:rStyle w:val="Strong"/>
                <w:rFonts w:cs="Times New Roman"/>
                <w:sz w:val="24"/>
                <w:szCs w:val="24"/>
              </w:rPr>
              <w:t>Ul Haq, et al., (2022)</w:t>
            </w:r>
          </w:p>
        </w:tc>
        <w:tc>
          <w:tcPr>
            <w:tcW w:w="2607" w:type="dxa"/>
            <w:hideMark/>
          </w:tcPr>
          <w:p w14:paraId="010E8499" w14:textId="4AFD3B26" w:rsidR="00A93845" w:rsidRPr="002F383C" w:rsidRDefault="00255462" w:rsidP="00D23C43">
            <w:pPr>
              <w:spacing w:before="240" w:after="240" w:line="360" w:lineRule="auto"/>
              <w:jc w:val="both"/>
              <w:rPr>
                <w:rFonts w:cs="Times New Roman"/>
                <w:sz w:val="24"/>
                <w:szCs w:val="24"/>
              </w:rPr>
            </w:pPr>
            <w:r w:rsidRPr="002F383C">
              <w:rPr>
                <w:rFonts w:cs="Times New Roman"/>
                <w:sz w:val="24"/>
                <w:szCs w:val="24"/>
              </w:rPr>
              <w:t>The research employs triangulation by examining secondary data, field observations and structured interviews of six subsectors of food manufacturing in the UK.</w:t>
            </w:r>
          </w:p>
        </w:tc>
        <w:tc>
          <w:tcPr>
            <w:tcW w:w="2939" w:type="dxa"/>
            <w:hideMark/>
          </w:tcPr>
          <w:p w14:paraId="25018480" w14:textId="5D866D0D" w:rsidR="00A93845" w:rsidRPr="002F383C" w:rsidRDefault="00255462" w:rsidP="00D23C43">
            <w:pPr>
              <w:spacing w:before="240" w:after="240" w:line="360" w:lineRule="auto"/>
              <w:jc w:val="both"/>
              <w:rPr>
                <w:rFonts w:cs="Times New Roman"/>
                <w:sz w:val="24"/>
                <w:szCs w:val="24"/>
              </w:rPr>
            </w:pPr>
            <w:r w:rsidRPr="002F383C">
              <w:rPr>
                <w:rFonts w:cs="Times New Roman"/>
                <w:sz w:val="24"/>
                <w:szCs w:val="24"/>
              </w:rPr>
              <w:t>In the context of the specific research, this paper will discuss the UK food manufacturing firms and name flexibility, visibility, agility and adaptability as the useful capabilities in dealing with supply chain disruptions</w:t>
            </w:r>
            <w:r w:rsidR="00B00B30" w:rsidRPr="002F383C">
              <w:rPr>
                <w:rFonts w:cs="Times New Roman"/>
                <w:sz w:val="24"/>
                <w:szCs w:val="24"/>
              </w:rPr>
              <w:t>.</w:t>
            </w:r>
          </w:p>
        </w:tc>
        <w:tc>
          <w:tcPr>
            <w:tcW w:w="1676" w:type="dxa"/>
            <w:hideMark/>
          </w:tcPr>
          <w:p w14:paraId="4644EEB4" w14:textId="77777777" w:rsidR="00A93845" w:rsidRPr="002F383C" w:rsidRDefault="00A93845" w:rsidP="00D23C43">
            <w:pPr>
              <w:spacing w:before="240" w:after="240" w:line="360" w:lineRule="auto"/>
              <w:jc w:val="both"/>
              <w:rPr>
                <w:rFonts w:cs="Times New Roman"/>
                <w:sz w:val="24"/>
                <w:szCs w:val="24"/>
              </w:rPr>
            </w:pPr>
            <w:r w:rsidRPr="002F383C">
              <w:rPr>
                <w:rFonts w:cs="Times New Roman"/>
                <w:sz w:val="24"/>
                <w:szCs w:val="24"/>
              </w:rPr>
              <w:t>Food manufacturing, resilience, flexibility, LDM</w:t>
            </w:r>
          </w:p>
        </w:tc>
      </w:tr>
      <w:tr w:rsidR="00AE7948" w:rsidRPr="002F383C" w14:paraId="68097328" w14:textId="77777777" w:rsidTr="00B00B30">
        <w:tc>
          <w:tcPr>
            <w:tcW w:w="0" w:type="auto"/>
            <w:hideMark/>
          </w:tcPr>
          <w:p w14:paraId="03DDDC32" w14:textId="77777777" w:rsidR="00A93845" w:rsidRPr="002F383C" w:rsidRDefault="00A93845" w:rsidP="00D23C43">
            <w:pPr>
              <w:spacing w:before="240" w:after="240" w:line="360" w:lineRule="auto"/>
              <w:jc w:val="both"/>
              <w:rPr>
                <w:rFonts w:cs="Times New Roman"/>
                <w:sz w:val="24"/>
                <w:szCs w:val="24"/>
              </w:rPr>
            </w:pPr>
            <w:r w:rsidRPr="002F383C">
              <w:rPr>
                <w:rStyle w:val="Strong"/>
                <w:rFonts w:cs="Times New Roman"/>
                <w:sz w:val="24"/>
                <w:szCs w:val="24"/>
              </w:rPr>
              <w:t>Poo, et al., (2024)</w:t>
            </w:r>
          </w:p>
        </w:tc>
        <w:tc>
          <w:tcPr>
            <w:tcW w:w="2607" w:type="dxa"/>
            <w:hideMark/>
          </w:tcPr>
          <w:p w14:paraId="71552AAD" w14:textId="6787D0F8" w:rsidR="00A93845" w:rsidRPr="002F383C" w:rsidRDefault="00255462" w:rsidP="00D23C43">
            <w:pPr>
              <w:spacing w:before="240" w:after="240" w:line="360" w:lineRule="auto"/>
              <w:jc w:val="both"/>
              <w:rPr>
                <w:rFonts w:cs="Times New Roman"/>
                <w:sz w:val="24"/>
                <w:szCs w:val="24"/>
              </w:rPr>
            </w:pPr>
            <w:r w:rsidRPr="002F383C">
              <w:rPr>
                <w:rFonts w:cs="Times New Roman"/>
                <w:sz w:val="24"/>
                <w:szCs w:val="24"/>
              </w:rPr>
              <w:t>The paper forms a National Food Resilience framework, integrating food production, supply ratios, import distance and shipping connectivity, on the UK and comparator countries.</w:t>
            </w:r>
          </w:p>
        </w:tc>
        <w:tc>
          <w:tcPr>
            <w:tcW w:w="2939" w:type="dxa"/>
            <w:hideMark/>
          </w:tcPr>
          <w:p w14:paraId="6B5317BF" w14:textId="624F62CB" w:rsidR="00A93845" w:rsidRPr="002F383C" w:rsidRDefault="00255462" w:rsidP="00D23C43">
            <w:pPr>
              <w:spacing w:before="240" w:after="240" w:line="360" w:lineRule="auto"/>
              <w:jc w:val="both"/>
              <w:rPr>
                <w:rFonts w:cs="Times New Roman"/>
                <w:sz w:val="24"/>
                <w:szCs w:val="24"/>
              </w:rPr>
            </w:pPr>
            <w:r w:rsidRPr="002F383C">
              <w:rPr>
                <w:rFonts w:cs="Times New Roman"/>
                <w:sz w:val="24"/>
                <w:szCs w:val="24"/>
              </w:rPr>
              <w:t>It provides UK specific evidence, linking food supply chain resilience to globalisation, international food imports, transportation connectivity and exposure to disruptions in global supply networks.</w:t>
            </w:r>
          </w:p>
        </w:tc>
        <w:tc>
          <w:tcPr>
            <w:tcW w:w="1676" w:type="dxa"/>
            <w:hideMark/>
          </w:tcPr>
          <w:p w14:paraId="6DC2DF9D" w14:textId="77777777" w:rsidR="00A93845" w:rsidRPr="002F383C" w:rsidRDefault="00A93845" w:rsidP="00D23C43">
            <w:pPr>
              <w:spacing w:before="240" w:after="240" w:line="360" w:lineRule="auto"/>
              <w:jc w:val="both"/>
              <w:rPr>
                <w:rFonts w:cs="Times New Roman"/>
                <w:sz w:val="24"/>
                <w:szCs w:val="24"/>
              </w:rPr>
            </w:pPr>
            <w:r w:rsidRPr="002F383C">
              <w:rPr>
                <w:rFonts w:cs="Times New Roman"/>
                <w:sz w:val="24"/>
                <w:szCs w:val="24"/>
              </w:rPr>
              <w:t>Globalisation, food imports, resilience, connectivity</w:t>
            </w:r>
          </w:p>
        </w:tc>
      </w:tr>
      <w:tr w:rsidR="00AE7948" w:rsidRPr="002F383C" w14:paraId="0DC413AA" w14:textId="77777777" w:rsidTr="00B00B30">
        <w:tc>
          <w:tcPr>
            <w:tcW w:w="0" w:type="auto"/>
            <w:hideMark/>
          </w:tcPr>
          <w:p w14:paraId="4D93BFBD" w14:textId="77777777" w:rsidR="00A93845" w:rsidRPr="002F383C" w:rsidRDefault="00A93845" w:rsidP="00D23C43">
            <w:pPr>
              <w:spacing w:before="240" w:after="240" w:line="360" w:lineRule="auto"/>
              <w:jc w:val="both"/>
              <w:rPr>
                <w:rFonts w:cs="Times New Roman"/>
                <w:sz w:val="24"/>
                <w:szCs w:val="24"/>
              </w:rPr>
            </w:pPr>
            <w:r w:rsidRPr="002F383C">
              <w:rPr>
                <w:rStyle w:val="Strong"/>
                <w:rFonts w:cs="Times New Roman"/>
                <w:sz w:val="24"/>
                <w:szCs w:val="24"/>
              </w:rPr>
              <w:t>Rimhanen, et al., (2023)</w:t>
            </w:r>
          </w:p>
        </w:tc>
        <w:tc>
          <w:tcPr>
            <w:tcW w:w="2607" w:type="dxa"/>
            <w:hideMark/>
          </w:tcPr>
          <w:p w14:paraId="382F9951" w14:textId="05ECFBFF" w:rsidR="00A93845" w:rsidRPr="002F383C" w:rsidRDefault="00255462" w:rsidP="00D23C43">
            <w:pPr>
              <w:spacing w:before="240" w:after="240" w:line="360" w:lineRule="auto"/>
              <w:jc w:val="both"/>
              <w:rPr>
                <w:rFonts w:cs="Times New Roman"/>
                <w:sz w:val="24"/>
                <w:szCs w:val="24"/>
              </w:rPr>
            </w:pPr>
            <w:r w:rsidRPr="002F383C">
              <w:rPr>
                <w:rFonts w:cs="Times New Roman"/>
                <w:sz w:val="24"/>
                <w:szCs w:val="24"/>
              </w:rPr>
              <w:t>This paper establishes the framework of the f</w:t>
            </w:r>
            <w:r w:rsidR="00A63CE8" w:rsidRPr="002F383C">
              <w:rPr>
                <w:rFonts w:cs="Times New Roman"/>
                <w:sz w:val="24"/>
                <w:szCs w:val="24"/>
              </w:rPr>
              <w:t>ood system resilience and analys</w:t>
            </w:r>
            <w:r w:rsidRPr="002F383C">
              <w:rPr>
                <w:rFonts w:cs="Times New Roman"/>
                <w:sz w:val="24"/>
                <w:szCs w:val="24"/>
              </w:rPr>
              <w:t>es national re</w:t>
            </w:r>
            <w:r w:rsidR="00A63CE8" w:rsidRPr="002F383C">
              <w:rPr>
                <w:rFonts w:cs="Times New Roman"/>
                <w:sz w:val="24"/>
                <w:szCs w:val="24"/>
              </w:rPr>
              <w:t>silience interventions, emphasis</w:t>
            </w:r>
            <w:r w:rsidRPr="002F383C">
              <w:rPr>
                <w:rFonts w:cs="Times New Roman"/>
                <w:sz w:val="24"/>
                <w:szCs w:val="24"/>
              </w:rPr>
              <w:t>ing system thinking, network redundancy, production diversity and buffering strategies.</w:t>
            </w:r>
          </w:p>
        </w:tc>
        <w:tc>
          <w:tcPr>
            <w:tcW w:w="2939" w:type="dxa"/>
            <w:hideMark/>
          </w:tcPr>
          <w:p w14:paraId="1519823C" w14:textId="1E30ABA6" w:rsidR="00A93845" w:rsidRPr="002F383C" w:rsidRDefault="00255462" w:rsidP="00D23C43">
            <w:pPr>
              <w:spacing w:before="240" w:after="240" w:line="360" w:lineRule="auto"/>
              <w:jc w:val="both"/>
              <w:rPr>
                <w:rFonts w:cs="Times New Roman"/>
                <w:sz w:val="24"/>
                <w:szCs w:val="24"/>
              </w:rPr>
            </w:pPr>
            <w:r w:rsidRPr="002F383C">
              <w:rPr>
                <w:rFonts w:cs="Times New Roman"/>
                <w:sz w:val="24"/>
                <w:szCs w:val="24"/>
              </w:rPr>
              <w:t>Relevant insights are given on the food system resilience via communication, network redundancy, diversity of partners and buffering approach, which enhance the ability to counteract unforeseen shocks</w:t>
            </w:r>
            <w:r w:rsidR="00B00B30" w:rsidRPr="002F383C">
              <w:rPr>
                <w:rFonts w:cs="Times New Roman"/>
                <w:sz w:val="24"/>
                <w:szCs w:val="24"/>
              </w:rPr>
              <w:t>.</w:t>
            </w:r>
          </w:p>
        </w:tc>
        <w:tc>
          <w:tcPr>
            <w:tcW w:w="1676" w:type="dxa"/>
            <w:hideMark/>
          </w:tcPr>
          <w:p w14:paraId="0EA5E80E" w14:textId="77777777" w:rsidR="00A93845" w:rsidRPr="002F383C" w:rsidRDefault="00A93845" w:rsidP="00D23C43">
            <w:pPr>
              <w:spacing w:before="240" w:after="240" w:line="360" w:lineRule="auto"/>
              <w:jc w:val="both"/>
              <w:rPr>
                <w:rFonts w:cs="Times New Roman"/>
                <w:sz w:val="24"/>
                <w:szCs w:val="24"/>
              </w:rPr>
            </w:pPr>
            <w:r w:rsidRPr="002F383C">
              <w:rPr>
                <w:rFonts w:cs="Times New Roman"/>
                <w:sz w:val="24"/>
                <w:szCs w:val="24"/>
              </w:rPr>
              <w:t>Redundancy, diversity, collaboration, resilience</w:t>
            </w:r>
          </w:p>
        </w:tc>
      </w:tr>
      <w:tr w:rsidR="00AE7948" w:rsidRPr="002F383C" w14:paraId="40119B71" w14:textId="77777777" w:rsidTr="00B00B30">
        <w:tc>
          <w:tcPr>
            <w:tcW w:w="0" w:type="auto"/>
            <w:hideMark/>
          </w:tcPr>
          <w:p w14:paraId="36332B8A" w14:textId="77777777" w:rsidR="00A93845" w:rsidRPr="002F383C" w:rsidRDefault="00A93845" w:rsidP="00D23C43">
            <w:pPr>
              <w:spacing w:before="240" w:after="240" w:line="360" w:lineRule="auto"/>
              <w:jc w:val="both"/>
              <w:rPr>
                <w:rFonts w:cs="Times New Roman"/>
                <w:sz w:val="24"/>
                <w:szCs w:val="24"/>
              </w:rPr>
            </w:pPr>
            <w:r w:rsidRPr="002F383C">
              <w:rPr>
                <w:rStyle w:val="Strong"/>
                <w:rFonts w:cs="Times New Roman"/>
                <w:sz w:val="24"/>
                <w:szCs w:val="24"/>
              </w:rPr>
              <w:t>Joshi, et al., (2023)</w:t>
            </w:r>
          </w:p>
        </w:tc>
        <w:tc>
          <w:tcPr>
            <w:tcW w:w="2607" w:type="dxa"/>
            <w:hideMark/>
          </w:tcPr>
          <w:p w14:paraId="641A0B3F" w14:textId="65365711" w:rsidR="00A93845" w:rsidRPr="002F383C" w:rsidRDefault="00255462" w:rsidP="00D23C43">
            <w:pPr>
              <w:spacing w:before="240" w:after="240" w:line="360" w:lineRule="auto"/>
              <w:jc w:val="both"/>
              <w:rPr>
                <w:rFonts w:cs="Times New Roman"/>
                <w:sz w:val="24"/>
                <w:szCs w:val="24"/>
              </w:rPr>
            </w:pPr>
            <w:r w:rsidRPr="002F383C">
              <w:rPr>
                <w:rFonts w:cs="Times New Roman"/>
                <w:sz w:val="24"/>
                <w:szCs w:val="24"/>
              </w:rPr>
              <w:t>The analysis uses Stepwise Weight Assessment Ratio Analysis to statistically assess and rank supply chain innovations.</w:t>
            </w:r>
          </w:p>
        </w:tc>
        <w:tc>
          <w:tcPr>
            <w:tcW w:w="2939" w:type="dxa"/>
            <w:hideMark/>
          </w:tcPr>
          <w:p w14:paraId="562E5FFA" w14:textId="21BE2034" w:rsidR="00A93845" w:rsidRPr="002F383C" w:rsidRDefault="0031577F" w:rsidP="00D23C43">
            <w:pPr>
              <w:spacing w:before="240" w:after="240" w:line="360" w:lineRule="auto"/>
              <w:jc w:val="both"/>
              <w:rPr>
                <w:rFonts w:cs="Times New Roman"/>
                <w:sz w:val="24"/>
                <w:szCs w:val="24"/>
              </w:rPr>
            </w:pPr>
            <w:r w:rsidRPr="002F383C">
              <w:rPr>
                <w:rFonts w:cs="Times New Roman"/>
                <w:sz w:val="24"/>
                <w:szCs w:val="24"/>
              </w:rPr>
              <w:t>The given research adds the study by suggesting strategic, technological and sourcing innovations that enhance the resilience of food supply chains and enable companies to continue sustainable operations in the case of disruptions</w:t>
            </w:r>
            <w:r w:rsidR="00B00B30" w:rsidRPr="002F383C">
              <w:rPr>
                <w:rFonts w:cs="Times New Roman"/>
                <w:sz w:val="24"/>
                <w:szCs w:val="24"/>
              </w:rPr>
              <w:t>.</w:t>
            </w:r>
          </w:p>
        </w:tc>
        <w:tc>
          <w:tcPr>
            <w:tcW w:w="1676" w:type="dxa"/>
            <w:hideMark/>
          </w:tcPr>
          <w:p w14:paraId="4C24EFD5" w14:textId="77777777" w:rsidR="00A93845" w:rsidRPr="002F383C" w:rsidRDefault="00A93845" w:rsidP="00D23C43">
            <w:pPr>
              <w:spacing w:before="240" w:after="240" w:line="360" w:lineRule="auto"/>
              <w:jc w:val="both"/>
              <w:rPr>
                <w:rFonts w:cs="Times New Roman"/>
                <w:sz w:val="24"/>
                <w:szCs w:val="24"/>
              </w:rPr>
            </w:pPr>
            <w:r w:rsidRPr="002F383C">
              <w:rPr>
                <w:rFonts w:cs="Times New Roman"/>
                <w:sz w:val="24"/>
                <w:szCs w:val="24"/>
              </w:rPr>
              <w:t>Innovation, technology, resilience, food supply chains</w:t>
            </w:r>
          </w:p>
        </w:tc>
      </w:tr>
      <w:tr w:rsidR="00AE7948" w:rsidRPr="002F383C" w14:paraId="70AC3DF9" w14:textId="77777777" w:rsidTr="00B00B30">
        <w:tc>
          <w:tcPr>
            <w:tcW w:w="0" w:type="auto"/>
            <w:hideMark/>
          </w:tcPr>
          <w:p w14:paraId="7E850873" w14:textId="77777777" w:rsidR="00A93845" w:rsidRPr="002F383C" w:rsidRDefault="00A93845" w:rsidP="00D23C43">
            <w:pPr>
              <w:spacing w:before="240" w:after="240" w:line="360" w:lineRule="auto"/>
              <w:jc w:val="both"/>
              <w:rPr>
                <w:rFonts w:cs="Times New Roman"/>
                <w:sz w:val="24"/>
                <w:szCs w:val="24"/>
              </w:rPr>
            </w:pPr>
            <w:r w:rsidRPr="002F383C">
              <w:rPr>
                <w:rStyle w:val="Strong"/>
                <w:rFonts w:cs="Times New Roman"/>
                <w:sz w:val="24"/>
                <w:szCs w:val="24"/>
              </w:rPr>
              <w:t>Galanakis, et al., (2021)</w:t>
            </w:r>
          </w:p>
        </w:tc>
        <w:tc>
          <w:tcPr>
            <w:tcW w:w="2607" w:type="dxa"/>
            <w:hideMark/>
          </w:tcPr>
          <w:p w14:paraId="50A23224" w14:textId="24E4FE5F" w:rsidR="00A93845" w:rsidRPr="002F383C" w:rsidRDefault="00255462" w:rsidP="00D23C43">
            <w:pPr>
              <w:spacing w:before="240" w:after="240" w:line="360" w:lineRule="auto"/>
              <w:jc w:val="both"/>
              <w:rPr>
                <w:rFonts w:cs="Times New Roman"/>
                <w:sz w:val="24"/>
                <w:szCs w:val="24"/>
              </w:rPr>
            </w:pPr>
            <w:r w:rsidRPr="002F383C">
              <w:rPr>
                <w:rFonts w:cs="Times New Roman"/>
                <w:sz w:val="24"/>
                <w:szCs w:val="24"/>
              </w:rPr>
              <w:t>This review discusses food sector innovation surrounding COVID 19 in the areas of food safety, food security, sustainability and bioactive food compounds.</w:t>
            </w:r>
          </w:p>
        </w:tc>
        <w:tc>
          <w:tcPr>
            <w:tcW w:w="2939" w:type="dxa"/>
            <w:hideMark/>
          </w:tcPr>
          <w:p w14:paraId="796A6D69" w14:textId="0DA73E4A" w:rsidR="00A93845" w:rsidRPr="002F383C" w:rsidRDefault="0031577F" w:rsidP="00D23C43">
            <w:pPr>
              <w:spacing w:before="240" w:after="240" w:line="360" w:lineRule="auto"/>
              <w:jc w:val="both"/>
              <w:rPr>
                <w:rFonts w:cs="Times New Roman"/>
                <w:sz w:val="24"/>
                <w:szCs w:val="24"/>
              </w:rPr>
            </w:pPr>
            <w:r w:rsidRPr="002F383C">
              <w:rPr>
                <w:rFonts w:cs="Times New Roman"/>
                <w:sz w:val="24"/>
                <w:szCs w:val="24"/>
              </w:rPr>
              <w:t>There is valuable evidence provided on the way digitalisation, Industry 4.0 and technological innovation can enhance adaptation and assist food supply chains to respond more efficiently to significant disruptions.</w:t>
            </w:r>
          </w:p>
        </w:tc>
        <w:tc>
          <w:tcPr>
            <w:tcW w:w="1676" w:type="dxa"/>
            <w:hideMark/>
          </w:tcPr>
          <w:p w14:paraId="02F4494A" w14:textId="77777777" w:rsidR="00A93845" w:rsidRPr="002F383C" w:rsidRDefault="00A93845" w:rsidP="00D23C43">
            <w:pPr>
              <w:spacing w:before="240" w:after="240" w:line="360" w:lineRule="auto"/>
              <w:jc w:val="both"/>
              <w:rPr>
                <w:rFonts w:cs="Times New Roman"/>
                <w:sz w:val="24"/>
                <w:szCs w:val="24"/>
              </w:rPr>
            </w:pPr>
            <w:r w:rsidRPr="002F383C">
              <w:rPr>
                <w:rFonts w:cs="Times New Roman"/>
                <w:sz w:val="24"/>
                <w:szCs w:val="24"/>
              </w:rPr>
              <w:t>Technology, innovation, adaptation, food security</w:t>
            </w:r>
          </w:p>
        </w:tc>
      </w:tr>
      <w:tr w:rsidR="00AE7948" w:rsidRPr="002F383C" w14:paraId="5ED4D955" w14:textId="77777777" w:rsidTr="00B00B30">
        <w:tc>
          <w:tcPr>
            <w:tcW w:w="0" w:type="auto"/>
            <w:hideMark/>
          </w:tcPr>
          <w:p w14:paraId="1AD26C1A" w14:textId="77777777" w:rsidR="00A93845" w:rsidRPr="002F383C" w:rsidRDefault="00A93845" w:rsidP="00D23C43">
            <w:pPr>
              <w:spacing w:before="240" w:after="240" w:line="360" w:lineRule="auto"/>
              <w:jc w:val="both"/>
              <w:rPr>
                <w:rFonts w:cs="Times New Roman"/>
                <w:sz w:val="24"/>
                <w:szCs w:val="24"/>
              </w:rPr>
            </w:pPr>
            <w:r w:rsidRPr="002F383C">
              <w:rPr>
                <w:rStyle w:val="Strong"/>
                <w:rFonts w:cs="Times New Roman"/>
                <w:sz w:val="24"/>
                <w:szCs w:val="24"/>
              </w:rPr>
              <w:t>Boyacı Gündüz, et al., (2021)</w:t>
            </w:r>
          </w:p>
        </w:tc>
        <w:tc>
          <w:tcPr>
            <w:tcW w:w="2607" w:type="dxa"/>
            <w:hideMark/>
          </w:tcPr>
          <w:p w14:paraId="1589E88E" w14:textId="2F5CF2EB" w:rsidR="00A93845" w:rsidRPr="002F383C" w:rsidRDefault="00255462" w:rsidP="00D23C43">
            <w:pPr>
              <w:spacing w:before="240" w:after="240" w:line="360" w:lineRule="auto"/>
              <w:jc w:val="both"/>
              <w:rPr>
                <w:rFonts w:cs="Times New Roman"/>
                <w:sz w:val="24"/>
                <w:szCs w:val="24"/>
              </w:rPr>
            </w:pPr>
            <w:r w:rsidRPr="002F383C">
              <w:rPr>
                <w:rFonts w:cs="Times New Roman"/>
                <w:sz w:val="24"/>
                <w:szCs w:val="24"/>
              </w:rPr>
              <w:t>The review summarises the evidence on food security in epidemics and pandemics, such as food shortages, changes in prices, food waste, resilience and mitigation measures.</w:t>
            </w:r>
          </w:p>
        </w:tc>
        <w:tc>
          <w:tcPr>
            <w:tcW w:w="2939" w:type="dxa"/>
            <w:hideMark/>
          </w:tcPr>
          <w:p w14:paraId="66AB5185" w14:textId="6375F067" w:rsidR="00A93845" w:rsidRPr="002F383C" w:rsidRDefault="0031577F" w:rsidP="00D23C43">
            <w:pPr>
              <w:spacing w:before="240" w:after="240" w:line="360" w:lineRule="auto"/>
              <w:jc w:val="both"/>
              <w:rPr>
                <w:rFonts w:cs="Times New Roman"/>
                <w:sz w:val="24"/>
                <w:szCs w:val="24"/>
              </w:rPr>
            </w:pPr>
            <w:r w:rsidRPr="002F383C">
              <w:rPr>
                <w:rFonts w:cs="Times New Roman"/>
                <w:sz w:val="24"/>
                <w:szCs w:val="24"/>
              </w:rPr>
              <w:t>The research can be helpful in studying the vulnerability of the food chain in the supply and proves the value of contingency planning and mitigation, innovation and quick adaptability to build resilience.</w:t>
            </w:r>
          </w:p>
        </w:tc>
        <w:tc>
          <w:tcPr>
            <w:tcW w:w="1676" w:type="dxa"/>
            <w:hideMark/>
          </w:tcPr>
          <w:p w14:paraId="55635586" w14:textId="77777777" w:rsidR="00A93845" w:rsidRPr="002F383C" w:rsidRDefault="00A93845" w:rsidP="00D23C43">
            <w:pPr>
              <w:spacing w:before="240" w:after="240" w:line="360" w:lineRule="auto"/>
              <w:jc w:val="both"/>
              <w:rPr>
                <w:rFonts w:cs="Times New Roman"/>
                <w:sz w:val="24"/>
                <w:szCs w:val="24"/>
              </w:rPr>
            </w:pPr>
            <w:r w:rsidRPr="002F383C">
              <w:rPr>
                <w:rFonts w:cs="Times New Roman"/>
                <w:sz w:val="24"/>
                <w:szCs w:val="24"/>
              </w:rPr>
              <w:t>Contingency planning, resilience, adaptation, sustainability</w:t>
            </w:r>
          </w:p>
        </w:tc>
      </w:tr>
      <w:tr w:rsidR="00AE7948" w:rsidRPr="002F383C" w14:paraId="4E7FFBE0" w14:textId="77777777" w:rsidTr="00B00B30">
        <w:tc>
          <w:tcPr>
            <w:tcW w:w="0" w:type="auto"/>
            <w:hideMark/>
          </w:tcPr>
          <w:p w14:paraId="26A2820C" w14:textId="6273BA97" w:rsidR="00A93845" w:rsidRPr="002F383C" w:rsidRDefault="00A93845" w:rsidP="00D23C43">
            <w:pPr>
              <w:spacing w:before="240" w:after="240" w:line="360" w:lineRule="auto"/>
              <w:jc w:val="both"/>
              <w:rPr>
                <w:rFonts w:cs="Times New Roman"/>
                <w:sz w:val="24"/>
                <w:szCs w:val="24"/>
              </w:rPr>
            </w:pPr>
            <w:r w:rsidRPr="002F383C">
              <w:rPr>
                <w:rStyle w:val="Strong"/>
                <w:rFonts w:cs="Times New Roman"/>
                <w:sz w:val="24"/>
                <w:szCs w:val="24"/>
              </w:rPr>
              <w:t>DEFRA, (2024)</w:t>
            </w:r>
          </w:p>
        </w:tc>
        <w:tc>
          <w:tcPr>
            <w:tcW w:w="2607" w:type="dxa"/>
            <w:hideMark/>
          </w:tcPr>
          <w:p w14:paraId="4363DCFA" w14:textId="2C4A02AC" w:rsidR="00A93845" w:rsidRPr="002F383C" w:rsidRDefault="00255462" w:rsidP="00D23C43">
            <w:pPr>
              <w:spacing w:before="240" w:after="240" w:line="360" w:lineRule="auto"/>
              <w:jc w:val="both"/>
              <w:rPr>
                <w:rFonts w:cs="Times New Roman"/>
                <w:sz w:val="24"/>
                <w:szCs w:val="24"/>
              </w:rPr>
            </w:pPr>
            <w:r w:rsidRPr="002F383C">
              <w:rPr>
                <w:rFonts w:cs="Times New Roman"/>
                <w:sz w:val="24"/>
                <w:szCs w:val="24"/>
              </w:rPr>
              <w:t>The government report evaluates the stability of the UK food supply chain based on inputs and the movement of goods and food business resilience using national indicators and official evidence.</w:t>
            </w:r>
          </w:p>
        </w:tc>
        <w:tc>
          <w:tcPr>
            <w:tcW w:w="2939" w:type="dxa"/>
            <w:hideMark/>
          </w:tcPr>
          <w:p w14:paraId="69213BC2" w14:textId="78F34F17" w:rsidR="00A93845" w:rsidRPr="002F383C" w:rsidRDefault="0031577F" w:rsidP="00D23C43">
            <w:pPr>
              <w:spacing w:before="240" w:after="240" w:line="360" w:lineRule="auto"/>
              <w:jc w:val="both"/>
              <w:rPr>
                <w:rFonts w:cs="Times New Roman"/>
                <w:sz w:val="24"/>
                <w:szCs w:val="24"/>
              </w:rPr>
            </w:pPr>
            <w:r w:rsidRPr="002F383C">
              <w:rPr>
                <w:rFonts w:cs="Times New Roman"/>
                <w:sz w:val="24"/>
                <w:szCs w:val="24"/>
              </w:rPr>
              <w:t>This source is one of the sources of official UK evidence that specifically deals with the food supply chain resilience, imports, adaptability and exposure to global disruption.</w:t>
            </w:r>
          </w:p>
        </w:tc>
        <w:tc>
          <w:tcPr>
            <w:tcW w:w="1676" w:type="dxa"/>
            <w:hideMark/>
          </w:tcPr>
          <w:p w14:paraId="3AFE729E" w14:textId="77777777" w:rsidR="00A93845" w:rsidRPr="002F383C" w:rsidRDefault="00A93845" w:rsidP="00D23C43">
            <w:pPr>
              <w:spacing w:before="240" w:after="240" w:line="360" w:lineRule="auto"/>
              <w:jc w:val="both"/>
              <w:rPr>
                <w:rFonts w:cs="Times New Roman"/>
                <w:sz w:val="24"/>
                <w:szCs w:val="24"/>
              </w:rPr>
            </w:pPr>
            <w:r w:rsidRPr="002F383C">
              <w:rPr>
                <w:rFonts w:cs="Times New Roman"/>
                <w:sz w:val="24"/>
                <w:szCs w:val="24"/>
              </w:rPr>
              <w:t>UK food supply, adaptability, imports, resilience</w:t>
            </w:r>
          </w:p>
        </w:tc>
      </w:tr>
      <w:tr w:rsidR="00AE7948" w:rsidRPr="002F383C" w14:paraId="1C263332" w14:textId="77777777" w:rsidTr="00B00B30">
        <w:tc>
          <w:tcPr>
            <w:tcW w:w="0" w:type="auto"/>
            <w:hideMark/>
          </w:tcPr>
          <w:p w14:paraId="1EEEB078" w14:textId="124B010B" w:rsidR="00A93845" w:rsidRPr="002F383C" w:rsidRDefault="00A93845" w:rsidP="00D23C43">
            <w:pPr>
              <w:spacing w:before="240" w:after="240" w:line="360" w:lineRule="auto"/>
              <w:jc w:val="both"/>
              <w:rPr>
                <w:rFonts w:cs="Times New Roman"/>
                <w:sz w:val="24"/>
                <w:szCs w:val="24"/>
              </w:rPr>
            </w:pPr>
            <w:r w:rsidRPr="002F383C">
              <w:rPr>
                <w:rStyle w:val="Strong"/>
                <w:rFonts w:cs="Times New Roman"/>
                <w:sz w:val="24"/>
                <w:szCs w:val="24"/>
              </w:rPr>
              <w:t>House of Commons Environment, F</w:t>
            </w:r>
            <w:r w:rsidR="00297091" w:rsidRPr="002F383C">
              <w:rPr>
                <w:rStyle w:val="Strong"/>
                <w:rFonts w:cs="Times New Roman"/>
                <w:sz w:val="24"/>
                <w:szCs w:val="24"/>
              </w:rPr>
              <w:t xml:space="preserve">ood and Rural Affairs Committee, </w:t>
            </w:r>
            <w:r w:rsidRPr="002F383C">
              <w:rPr>
                <w:rStyle w:val="Strong"/>
                <w:rFonts w:cs="Times New Roman"/>
                <w:sz w:val="24"/>
                <w:szCs w:val="24"/>
              </w:rPr>
              <w:t>(2023)</w:t>
            </w:r>
          </w:p>
        </w:tc>
        <w:tc>
          <w:tcPr>
            <w:tcW w:w="2607" w:type="dxa"/>
            <w:hideMark/>
          </w:tcPr>
          <w:p w14:paraId="45F4BB3E" w14:textId="2C611362" w:rsidR="00A93845" w:rsidRPr="002F383C" w:rsidRDefault="00255462" w:rsidP="00D23C43">
            <w:pPr>
              <w:spacing w:before="240" w:after="240" w:line="360" w:lineRule="auto"/>
              <w:jc w:val="both"/>
              <w:rPr>
                <w:rFonts w:cs="Times New Roman"/>
                <w:sz w:val="24"/>
                <w:szCs w:val="24"/>
              </w:rPr>
            </w:pPr>
            <w:r w:rsidRPr="002F383C">
              <w:rPr>
                <w:rFonts w:cs="Times New Roman"/>
                <w:sz w:val="24"/>
                <w:szCs w:val="24"/>
              </w:rPr>
              <w:t xml:space="preserve">Parliamentary inquiry assesses the UK food security by evaluating evidence with regard to supply chain shocks, </w:t>
            </w:r>
            <w:r w:rsidR="00A63CE8" w:rsidRPr="002F383C">
              <w:rPr>
                <w:rFonts w:cs="Times New Roman"/>
                <w:sz w:val="24"/>
                <w:szCs w:val="24"/>
              </w:rPr>
              <w:t xml:space="preserve">input prices, labour shortages </w:t>
            </w:r>
            <w:r w:rsidRPr="002F383C">
              <w:rPr>
                <w:rFonts w:cs="Times New Roman"/>
                <w:sz w:val="24"/>
                <w:szCs w:val="24"/>
              </w:rPr>
              <w:t>and broader problems with food supply.</w:t>
            </w:r>
          </w:p>
        </w:tc>
        <w:tc>
          <w:tcPr>
            <w:tcW w:w="2939" w:type="dxa"/>
            <w:hideMark/>
          </w:tcPr>
          <w:p w14:paraId="58C01695" w14:textId="55B1D50F" w:rsidR="00A93845" w:rsidRPr="002F383C" w:rsidRDefault="0031577F" w:rsidP="00D23C43">
            <w:pPr>
              <w:spacing w:before="240" w:after="240" w:line="360" w:lineRule="auto"/>
              <w:jc w:val="both"/>
              <w:rPr>
                <w:rFonts w:cs="Times New Roman"/>
                <w:sz w:val="24"/>
                <w:szCs w:val="24"/>
              </w:rPr>
            </w:pPr>
            <w:r w:rsidRPr="002F383C">
              <w:rPr>
                <w:rFonts w:cs="Times New Roman"/>
                <w:sz w:val="24"/>
                <w:szCs w:val="24"/>
              </w:rPr>
              <w:t>Its UK specific evidence indicates vulnerabilities in the food supply chain and illustrates how significant external shocks can impact food availability, security and the resilience of supply networks.</w:t>
            </w:r>
          </w:p>
        </w:tc>
        <w:tc>
          <w:tcPr>
            <w:tcW w:w="1676" w:type="dxa"/>
            <w:hideMark/>
          </w:tcPr>
          <w:p w14:paraId="5C2F42E5" w14:textId="77777777" w:rsidR="00A93845" w:rsidRPr="002F383C" w:rsidRDefault="00A93845" w:rsidP="00D23C43">
            <w:pPr>
              <w:spacing w:before="240" w:after="240" w:line="360" w:lineRule="auto"/>
              <w:jc w:val="both"/>
              <w:rPr>
                <w:rFonts w:cs="Times New Roman"/>
                <w:sz w:val="24"/>
                <w:szCs w:val="24"/>
              </w:rPr>
            </w:pPr>
            <w:r w:rsidRPr="002F383C">
              <w:rPr>
                <w:rFonts w:cs="Times New Roman"/>
                <w:sz w:val="24"/>
                <w:szCs w:val="24"/>
              </w:rPr>
              <w:t>Food security, disruption, UK supply chain, resilience</w:t>
            </w:r>
          </w:p>
        </w:tc>
      </w:tr>
      <w:tr w:rsidR="00AE7948" w:rsidRPr="002F383C" w14:paraId="18854EF2" w14:textId="77777777" w:rsidTr="00B00B30">
        <w:tc>
          <w:tcPr>
            <w:tcW w:w="0" w:type="auto"/>
            <w:hideMark/>
          </w:tcPr>
          <w:p w14:paraId="0086BD24" w14:textId="66928BB9" w:rsidR="00A93845" w:rsidRPr="002F383C" w:rsidRDefault="00A93845" w:rsidP="00D23C43">
            <w:pPr>
              <w:spacing w:before="240" w:after="240" w:line="360" w:lineRule="auto"/>
              <w:jc w:val="both"/>
              <w:rPr>
                <w:rFonts w:cs="Times New Roman"/>
                <w:sz w:val="24"/>
                <w:szCs w:val="24"/>
              </w:rPr>
            </w:pPr>
            <w:r w:rsidRPr="002F383C">
              <w:rPr>
                <w:rStyle w:val="Strong"/>
                <w:rFonts w:cs="Times New Roman"/>
                <w:sz w:val="24"/>
                <w:szCs w:val="24"/>
              </w:rPr>
              <w:t>Statista, (2024)</w:t>
            </w:r>
          </w:p>
        </w:tc>
        <w:tc>
          <w:tcPr>
            <w:tcW w:w="2607" w:type="dxa"/>
            <w:hideMark/>
          </w:tcPr>
          <w:p w14:paraId="4C12B57D" w14:textId="21B1F93C" w:rsidR="00A93845" w:rsidRPr="002F383C" w:rsidRDefault="00A93845" w:rsidP="00D23C43">
            <w:pPr>
              <w:spacing w:before="240" w:after="240" w:line="360" w:lineRule="auto"/>
              <w:jc w:val="both"/>
              <w:rPr>
                <w:rFonts w:cs="Times New Roman"/>
                <w:sz w:val="24"/>
                <w:szCs w:val="24"/>
              </w:rPr>
            </w:pPr>
            <w:r w:rsidRPr="002F383C">
              <w:rPr>
                <w:rFonts w:cs="Times New Roman"/>
                <w:sz w:val="24"/>
                <w:szCs w:val="24"/>
              </w:rPr>
              <w:t xml:space="preserve">Statista compiles quantitative historical data showing the contribution of food, feed and drink </w:t>
            </w:r>
            <w:r w:rsidR="00AE7948" w:rsidRPr="002F383C">
              <w:rPr>
                <w:rFonts w:cs="Times New Roman"/>
                <w:sz w:val="24"/>
                <w:szCs w:val="24"/>
              </w:rPr>
              <w:t>to total UK imports and exports.</w:t>
            </w:r>
          </w:p>
        </w:tc>
        <w:tc>
          <w:tcPr>
            <w:tcW w:w="2939" w:type="dxa"/>
            <w:hideMark/>
          </w:tcPr>
          <w:p w14:paraId="04C96B16" w14:textId="79AB4320" w:rsidR="00A93845" w:rsidRPr="002F383C" w:rsidRDefault="0031577F" w:rsidP="00D23C43">
            <w:pPr>
              <w:spacing w:before="240" w:after="240" w:line="360" w:lineRule="auto"/>
              <w:jc w:val="both"/>
              <w:rPr>
                <w:rFonts w:cs="Times New Roman"/>
                <w:sz w:val="24"/>
                <w:szCs w:val="24"/>
              </w:rPr>
            </w:pPr>
            <w:r w:rsidRPr="002F383C">
              <w:rPr>
                <w:rFonts w:cs="Times New Roman"/>
                <w:sz w:val="24"/>
                <w:szCs w:val="24"/>
              </w:rPr>
              <w:t>The source is a quantitative context that shows the international trading of the UK food, feed and drink industry.</w:t>
            </w:r>
          </w:p>
        </w:tc>
        <w:tc>
          <w:tcPr>
            <w:tcW w:w="1676" w:type="dxa"/>
            <w:hideMark/>
          </w:tcPr>
          <w:p w14:paraId="3E1DCE6F" w14:textId="77777777" w:rsidR="00A93845" w:rsidRPr="002F383C" w:rsidRDefault="00A93845" w:rsidP="00D23C43">
            <w:pPr>
              <w:spacing w:before="240" w:after="240" w:line="360" w:lineRule="auto"/>
              <w:jc w:val="both"/>
              <w:rPr>
                <w:rFonts w:cs="Times New Roman"/>
                <w:sz w:val="24"/>
                <w:szCs w:val="24"/>
              </w:rPr>
            </w:pPr>
            <w:r w:rsidRPr="002F383C">
              <w:rPr>
                <w:rFonts w:cs="Times New Roman"/>
                <w:sz w:val="24"/>
                <w:szCs w:val="24"/>
              </w:rPr>
              <w:t>Imports, exports, UK food, international trade</w:t>
            </w:r>
          </w:p>
        </w:tc>
      </w:tr>
      <w:tr w:rsidR="00AE7948" w:rsidRPr="002F383C" w14:paraId="527EA0E9" w14:textId="77777777" w:rsidTr="00B00B30">
        <w:tc>
          <w:tcPr>
            <w:tcW w:w="0" w:type="auto"/>
            <w:hideMark/>
          </w:tcPr>
          <w:p w14:paraId="4D324C7D" w14:textId="052437B7" w:rsidR="00A93845" w:rsidRPr="002F383C" w:rsidRDefault="00A93845" w:rsidP="00D23C43">
            <w:pPr>
              <w:spacing w:before="240" w:after="240" w:line="360" w:lineRule="auto"/>
              <w:jc w:val="both"/>
              <w:rPr>
                <w:rFonts w:cs="Times New Roman"/>
                <w:sz w:val="24"/>
                <w:szCs w:val="24"/>
              </w:rPr>
            </w:pPr>
            <w:r w:rsidRPr="002F383C">
              <w:rPr>
                <w:rStyle w:val="Strong"/>
                <w:rFonts w:cs="Times New Roman"/>
                <w:sz w:val="24"/>
                <w:szCs w:val="24"/>
              </w:rPr>
              <w:t>KPMG,</w:t>
            </w:r>
            <w:r w:rsidR="00297091" w:rsidRPr="002F383C">
              <w:rPr>
                <w:rStyle w:val="Strong"/>
                <w:rFonts w:cs="Times New Roman"/>
                <w:sz w:val="24"/>
                <w:szCs w:val="24"/>
              </w:rPr>
              <w:t xml:space="preserve"> (2025)</w:t>
            </w:r>
            <w:r w:rsidRPr="002F383C">
              <w:rPr>
                <w:rStyle w:val="Strong"/>
                <w:rFonts w:cs="Times New Roman"/>
                <w:sz w:val="24"/>
                <w:szCs w:val="24"/>
              </w:rPr>
              <w:t xml:space="preserve"> </w:t>
            </w:r>
          </w:p>
        </w:tc>
        <w:tc>
          <w:tcPr>
            <w:tcW w:w="2607" w:type="dxa"/>
            <w:hideMark/>
          </w:tcPr>
          <w:p w14:paraId="1DAD488E" w14:textId="543EF158" w:rsidR="00A93845" w:rsidRPr="002F383C" w:rsidRDefault="00255462" w:rsidP="00D23C43">
            <w:pPr>
              <w:spacing w:before="240" w:after="240" w:line="360" w:lineRule="auto"/>
              <w:jc w:val="both"/>
              <w:rPr>
                <w:rFonts w:cs="Times New Roman"/>
                <w:sz w:val="24"/>
                <w:szCs w:val="24"/>
              </w:rPr>
            </w:pPr>
            <w:r w:rsidRPr="002F383C">
              <w:rPr>
                <w:rFonts w:cs="Times New Roman"/>
                <w:sz w:val="24"/>
                <w:szCs w:val="24"/>
              </w:rPr>
              <w:t>The survey conducted by KPMG involved over 200 leaders around the world in in depth interviews complemented by expert interviews and desk research on current and future food systems.</w:t>
            </w:r>
          </w:p>
        </w:tc>
        <w:tc>
          <w:tcPr>
            <w:tcW w:w="2939" w:type="dxa"/>
            <w:hideMark/>
          </w:tcPr>
          <w:p w14:paraId="1BC52DB4" w14:textId="0479C920" w:rsidR="00A93845" w:rsidRPr="002F383C" w:rsidRDefault="0031577F" w:rsidP="00D23C43">
            <w:pPr>
              <w:spacing w:before="240" w:after="240" w:line="360" w:lineRule="auto"/>
              <w:jc w:val="both"/>
              <w:rPr>
                <w:rFonts w:cs="Times New Roman"/>
                <w:sz w:val="24"/>
                <w:szCs w:val="24"/>
              </w:rPr>
            </w:pPr>
            <w:r w:rsidRPr="002F383C">
              <w:rPr>
                <w:rFonts w:cs="Times New Roman"/>
                <w:sz w:val="24"/>
                <w:szCs w:val="24"/>
              </w:rPr>
              <w:t>Industry level insights relate resilience of global food systems to international trade, access to markets, collaboration and supply chain transformation, which renders the report as applicable to international development.</w:t>
            </w:r>
          </w:p>
        </w:tc>
        <w:tc>
          <w:tcPr>
            <w:tcW w:w="1676" w:type="dxa"/>
            <w:hideMark/>
          </w:tcPr>
          <w:p w14:paraId="76771C1E" w14:textId="77777777" w:rsidR="00A93845" w:rsidRPr="002F383C" w:rsidRDefault="00A93845" w:rsidP="00D23C43">
            <w:pPr>
              <w:spacing w:before="240" w:after="240" w:line="360" w:lineRule="auto"/>
              <w:jc w:val="both"/>
              <w:rPr>
                <w:rFonts w:cs="Times New Roman"/>
                <w:sz w:val="24"/>
                <w:szCs w:val="24"/>
              </w:rPr>
            </w:pPr>
            <w:r w:rsidRPr="002F383C">
              <w:rPr>
                <w:rFonts w:cs="Times New Roman"/>
                <w:sz w:val="24"/>
                <w:szCs w:val="24"/>
              </w:rPr>
              <w:t>Global resilience, free trade, collaboration, technology</w:t>
            </w:r>
          </w:p>
        </w:tc>
      </w:tr>
      <w:tr w:rsidR="008D2E23" w:rsidRPr="002F383C" w14:paraId="70BFF185" w14:textId="77777777" w:rsidTr="00B00B30">
        <w:tc>
          <w:tcPr>
            <w:tcW w:w="0" w:type="auto"/>
          </w:tcPr>
          <w:p w14:paraId="52DC15C4" w14:textId="759BA4F6" w:rsidR="008D2E23" w:rsidRPr="008D2E23" w:rsidRDefault="008D2E23" w:rsidP="008D2E23">
            <w:pPr>
              <w:rPr>
                <w:rStyle w:val="Strong"/>
                <w:rFonts w:cs="Times New Roman"/>
                <w:sz w:val="24"/>
                <w:szCs w:val="24"/>
              </w:rPr>
            </w:pPr>
            <w:r w:rsidRPr="008D2E23">
              <w:rPr>
                <w:rStyle w:val="Strong"/>
                <w:rFonts w:cs="Times New Roman"/>
                <w:sz w:val="24"/>
                <w:szCs w:val="24"/>
              </w:rPr>
              <w:t>Du</w:t>
            </w:r>
            <w:r>
              <w:rPr>
                <w:rStyle w:val="Strong"/>
                <w:rFonts w:cs="Times New Roman"/>
                <w:sz w:val="24"/>
                <w:szCs w:val="24"/>
              </w:rPr>
              <w:t>, et al., (2025)</w:t>
            </w:r>
          </w:p>
        </w:tc>
        <w:tc>
          <w:tcPr>
            <w:tcW w:w="2607" w:type="dxa"/>
          </w:tcPr>
          <w:p w14:paraId="603BDE50" w14:textId="286A5F85" w:rsidR="008D2E23" w:rsidRPr="008D2E23" w:rsidRDefault="008D2E23" w:rsidP="008D2E23">
            <w:pPr>
              <w:spacing w:line="360" w:lineRule="auto"/>
              <w:jc w:val="both"/>
              <w:rPr>
                <w:rFonts w:cs="Times New Roman"/>
                <w:sz w:val="24"/>
                <w:szCs w:val="24"/>
              </w:rPr>
            </w:pPr>
            <w:r w:rsidRPr="008D2E23">
              <w:rPr>
                <w:sz w:val="24"/>
                <w:szCs w:val="24"/>
              </w:rPr>
              <w:t>The study applies a quantitative difference in differences methodology to assess the causal impact of the Trade and Cooperation Agreement on UK agri food imports and exports.</w:t>
            </w:r>
          </w:p>
        </w:tc>
        <w:tc>
          <w:tcPr>
            <w:tcW w:w="2939" w:type="dxa"/>
          </w:tcPr>
          <w:p w14:paraId="73CC824B" w14:textId="6B979DB5" w:rsidR="008D2E23" w:rsidRPr="002F383C" w:rsidRDefault="008D2E23" w:rsidP="008D2E23">
            <w:pPr>
              <w:spacing w:line="360" w:lineRule="auto"/>
              <w:jc w:val="both"/>
              <w:rPr>
                <w:rFonts w:cs="Times New Roman"/>
              </w:rPr>
            </w:pPr>
            <w:r w:rsidRPr="008D2E23">
              <w:rPr>
                <w:sz w:val="24"/>
                <w:szCs w:val="24"/>
              </w:rPr>
              <w:t>Provides direct UK evidence showing how market access, border checks and additional trade costs influence agri food trade, supporting analysis of international market access and expansion decisions.</w:t>
            </w:r>
          </w:p>
        </w:tc>
        <w:tc>
          <w:tcPr>
            <w:tcW w:w="1676" w:type="dxa"/>
          </w:tcPr>
          <w:p w14:paraId="07AF7248" w14:textId="1A17E73D" w:rsidR="008D2E23" w:rsidRPr="002F383C" w:rsidRDefault="008D2E23" w:rsidP="008D2E23">
            <w:pPr>
              <w:spacing w:before="240" w:after="240" w:line="360" w:lineRule="auto"/>
              <w:rPr>
                <w:rFonts w:cs="Times New Roman"/>
              </w:rPr>
            </w:pPr>
            <w:r w:rsidRPr="008D2E23">
              <w:rPr>
                <w:sz w:val="24"/>
              </w:rPr>
              <w:t>Market access, agri food trade, Brexit, trade costs</w:t>
            </w:r>
          </w:p>
        </w:tc>
      </w:tr>
      <w:tr w:rsidR="008D2E23" w:rsidRPr="002F383C" w14:paraId="7BA68838" w14:textId="77777777" w:rsidTr="00B00B30">
        <w:tc>
          <w:tcPr>
            <w:tcW w:w="0" w:type="auto"/>
          </w:tcPr>
          <w:p w14:paraId="5F2C724F" w14:textId="7136C656" w:rsidR="008D2E23" w:rsidRPr="00EC7C75" w:rsidRDefault="008D2E23" w:rsidP="008D2E23">
            <w:pPr>
              <w:spacing w:before="240" w:after="240" w:line="360" w:lineRule="auto"/>
              <w:rPr>
                <w:b/>
                <w:bCs/>
                <w:sz w:val="24"/>
                <w:szCs w:val="24"/>
              </w:rPr>
            </w:pPr>
            <w:r w:rsidRPr="00EC7C75">
              <w:rPr>
                <w:b/>
                <w:sz w:val="24"/>
                <w:szCs w:val="24"/>
              </w:rPr>
              <w:t>Smith, (2023)</w:t>
            </w:r>
          </w:p>
        </w:tc>
        <w:tc>
          <w:tcPr>
            <w:tcW w:w="2607" w:type="dxa"/>
          </w:tcPr>
          <w:p w14:paraId="472A2361" w14:textId="791FC915" w:rsidR="008D2E23" w:rsidRPr="008D2E23" w:rsidRDefault="008D2E23" w:rsidP="008D2E23">
            <w:pPr>
              <w:spacing w:before="240" w:after="240" w:line="360" w:lineRule="auto"/>
              <w:rPr>
                <w:sz w:val="24"/>
                <w:szCs w:val="24"/>
              </w:rPr>
            </w:pPr>
            <w:r w:rsidRPr="008D2E23">
              <w:rPr>
                <w:sz w:val="24"/>
                <w:szCs w:val="24"/>
              </w:rPr>
              <w:t>The study uses a qualitative legal and policy analysis to examine the development of the UK agri food trade strategy following withdrawal from the European Union.</w:t>
            </w:r>
          </w:p>
        </w:tc>
        <w:tc>
          <w:tcPr>
            <w:tcW w:w="2939" w:type="dxa"/>
          </w:tcPr>
          <w:p w14:paraId="369C228C" w14:textId="025430F9" w:rsidR="008D2E23" w:rsidRPr="008D2E23" w:rsidRDefault="008D2E23" w:rsidP="008D2E23">
            <w:pPr>
              <w:spacing w:before="240" w:after="240" w:line="360" w:lineRule="auto"/>
              <w:rPr>
                <w:sz w:val="24"/>
                <w:szCs w:val="24"/>
              </w:rPr>
            </w:pPr>
            <w:r w:rsidRPr="008D2E23">
              <w:rPr>
                <w:sz w:val="24"/>
                <w:szCs w:val="24"/>
              </w:rPr>
              <w:t>The study uses a qualitative legal and policy analysis to examine the development of the UK agri food trade strategy following withdrawal from the European Union.</w:t>
            </w:r>
          </w:p>
        </w:tc>
        <w:tc>
          <w:tcPr>
            <w:tcW w:w="1676" w:type="dxa"/>
          </w:tcPr>
          <w:p w14:paraId="1EE61453" w14:textId="29AFDDF4" w:rsidR="008D2E23" w:rsidRPr="008D2E23" w:rsidRDefault="008D2E23" w:rsidP="008D2E23">
            <w:pPr>
              <w:spacing w:before="240" w:after="240" w:line="360" w:lineRule="auto"/>
              <w:rPr>
                <w:sz w:val="24"/>
                <w:szCs w:val="24"/>
              </w:rPr>
            </w:pPr>
            <w:r w:rsidRPr="008D2E23">
              <w:rPr>
                <w:sz w:val="24"/>
                <w:szCs w:val="24"/>
              </w:rPr>
              <w:t>Trade strategy, market access, agri food, international trade</w:t>
            </w:r>
          </w:p>
        </w:tc>
      </w:tr>
      <w:tr w:rsidR="008D2E23" w:rsidRPr="002F383C" w14:paraId="077EE598" w14:textId="77777777" w:rsidTr="00B00B30">
        <w:tc>
          <w:tcPr>
            <w:tcW w:w="0" w:type="auto"/>
          </w:tcPr>
          <w:p w14:paraId="2C93B300" w14:textId="5A54826D" w:rsidR="008D2E23" w:rsidRPr="00EC7C75" w:rsidRDefault="008D2E23" w:rsidP="008D2E23">
            <w:pPr>
              <w:spacing w:before="240" w:after="240" w:line="360" w:lineRule="auto"/>
              <w:rPr>
                <w:b/>
                <w:bCs/>
                <w:sz w:val="24"/>
                <w:szCs w:val="24"/>
              </w:rPr>
            </w:pPr>
            <w:r w:rsidRPr="00EC7C75">
              <w:rPr>
                <w:b/>
                <w:sz w:val="24"/>
                <w:szCs w:val="24"/>
              </w:rPr>
              <w:t>Masters and Finaret, (2024)</w:t>
            </w:r>
          </w:p>
        </w:tc>
        <w:tc>
          <w:tcPr>
            <w:tcW w:w="2607" w:type="dxa"/>
          </w:tcPr>
          <w:p w14:paraId="3946CE42" w14:textId="2E189EA7" w:rsidR="008D2E23" w:rsidRPr="008D2E23" w:rsidRDefault="008D2E23" w:rsidP="008D2E23">
            <w:pPr>
              <w:spacing w:before="240" w:after="240" w:line="360" w:lineRule="auto"/>
              <w:rPr>
                <w:sz w:val="24"/>
                <w:szCs w:val="24"/>
              </w:rPr>
            </w:pPr>
            <w:r w:rsidRPr="008D2E23">
              <w:rPr>
                <w:sz w:val="24"/>
                <w:szCs w:val="24"/>
              </w:rPr>
              <w:t>The open access study uses economic concepts and analytical frameworks to examine international food trade, value chains, comparative advantage, transportation costs, storage and trade policy interventions.</w:t>
            </w:r>
          </w:p>
        </w:tc>
        <w:tc>
          <w:tcPr>
            <w:tcW w:w="2939" w:type="dxa"/>
          </w:tcPr>
          <w:p w14:paraId="6C6389D9" w14:textId="246A68AC" w:rsidR="008D2E23" w:rsidRPr="008D2E23" w:rsidRDefault="008D2E23" w:rsidP="008D2E23">
            <w:pPr>
              <w:spacing w:before="240" w:after="240" w:line="360" w:lineRule="auto"/>
              <w:rPr>
                <w:sz w:val="24"/>
                <w:szCs w:val="24"/>
              </w:rPr>
            </w:pPr>
            <w:r w:rsidRPr="008D2E23">
              <w:rPr>
                <w:sz w:val="24"/>
                <w:szCs w:val="24"/>
              </w:rPr>
              <w:t>The open access study uses economic concepts and analytical frameworks to examine international food trade, value chains, comparative advantage, transportation costs, storage and trade policy interventions.</w:t>
            </w:r>
          </w:p>
        </w:tc>
        <w:tc>
          <w:tcPr>
            <w:tcW w:w="1676" w:type="dxa"/>
          </w:tcPr>
          <w:p w14:paraId="41AC3BCC" w14:textId="768AA7C9" w:rsidR="008D2E23" w:rsidRPr="008D2E23" w:rsidRDefault="008D2E23" w:rsidP="008D2E23">
            <w:pPr>
              <w:spacing w:before="240" w:after="240" w:line="360" w:lineRule="auto"/>
              <w:rPr>
                <w:sz w:val="24"/>
                <w:szCs w:val="24"/>
              </w:rPr>
            </w:pPr>
            <w:r w:rsidRPr="008D2E23">
              <w:rPr>
                <w:sz w:val="24"/>
                <w:szCs w:val="24"/>
              </w:rPr>
              <w:t>International trade, food value chains, market access, transportation costs</w:t>
            </w:r>
          </w:p>
        </w:tc>
      </w:tr>
    </w:tbl>
    <w:p w14:paraId="1B5678D1" w14:textId="2B294103" w:rsidR="00B97836" w:rsidRPr="002F383C" w:rsidRDefault="00CD7731" w:rsidP="00D23C43">
      <w:pPr>
        <w:pStyle w:val="Heading2"/>
        <w:spacing w:before="240" w:after="240"/>
        <w:rPr>
          <w:rFonts w:cs="Times New Roman"/>
          <w:szCs w:val="24"/>
        </w:rPr>
      </w:pPr>
      <w:bookmarkStart w:id="81" w:name="_Toc241252040"/>
      <w:r w:rsidRPr="002F383C">
        <w:rPr>
          <w:rFonts w:cs="Times New Roman"/>
          <w:szCs w:val="24"/>
        </w:rPr>
        <w:t>4</w:t>
      </w:r>
      <w:r w:rsidR="00B00B30" w:rsidRPr="002F383C">
        <w:rPr>
          <w:rFonts w:cs="Times New Roman"/>
          <w:szCs w:val="24"/>
        </w:rPr>
        <w:t>.3 Theme Development Table</w:t>
      </w:r>
      <w:bookmarkEnd w:id="81"/>
    </w:p>
    <w:p w14:paraId="19BC7B5A" w14:textId="32DB2D13" w:rsidR="006A6AFC" w:rsidRPr="002F383C" w:rsidRDefault="00255462" w:rsidP="00D23C43">
      <w:pPr>
        <w:spacing w:before="240" w:after="240"/>
        <w:rPr>
          <w:rFonts w:cs="Times New Roman"/>
        </w:rPr>
      </w:pPr>
      <w:r w:rsidRPr="002F383C">
        <w:rPr>
          <w:rFonts w:cs="Times New Roman"/>
        </w:rPr>
        <w:t xml:space="preserve">A systematic review of the extracted evidence across the identified sources was used to develop the themes. Relevant findings were initially identified and given initial codes depending on the recurring ideas like flexibility, diversification, collaboration, visibility, innovation and adaptation. </w:t>
      </w:r>
      <w:r w:rsidR="00C81726" w:rsidRPr="00C81726">
        <w:rPr>
          <w:rFonts w:cs="Times New Roman"/>
          <w:highlight w:val="yellow"/>
        </w:rPr>
        <w:t>To ensure transparency in the analysis, a detailed thematic coding and theme development audit trail in Appendix 1. It shows how the extracted evidence was coded, grouped into categories and developed into final themes linked to the research objectives and research question.</w:t>
      </w:r>
      <w:r w:rsidR="00C81726">
        <w:rPr>
          <w:rFonts w:cs="Times New Roman"/>
        </w:rPr>
        <w:t xml:space="preserve"> </w:t>
      </w:r>
      <w:r w:rsidRPr="002F383C">
        <w:rPr>
          <w:rFonts w:cs="Times New Roman"/>
        </w:rPr>
        <w:t>The similar codes were then compared and grouped into larger categories based on their similarity in meaning. These themes were checked in reference to researc</w:t>
      </w:r>
      <w:r w:rsidR="00A63CE8" w:rsidRPr="002F383C">
        <w:rPr>
          <w:rFonts w:cs="Times New Roman"/>
        </w:rPr>
        <w:t>h goals and supporting evidence</w:t>
      </w:r>
      <w:r w:rsidRPr="002F383C">
        <w:rPr>
          <w:rFonts w:cs="Times New Roman"/>
        </w:rPr>
        <w:t xml:space="preserve"> and five final themes were derived that reflected the key patterns prevalent among the selected sources</w:t>
      </w:r>
      <w:r w:rsidR="006A6AFC" w:rsidRPr="002F383C">
        <w:rPr>
          <w:rFonts w:cs="Times New Roman"/>
        </w:rPr>
        <w:t>.</w:t>
      </w:r>
    </w:p>
    <w:tbl>
      <w:tblPr>
        <w:tblStyle w:val="TableGrid"/>
        <w:tblW w:w="0" w:type="auto"/>
        <w:tblLook w:val="04A0" w:firstRow="1" w:lastRow="0" w:firstColumn="1" w:lastColumn="0" w:noHBand="0" w:noVBand="1"/>
      </w:tblPr>
      <w:tblGrid>
        <w:gridCol w:w="3290"/>
        <w:gridCol w:w="3201"/>
        <w:gridCol w:w="2529"/>
      </w:tblGrid>
      <w:tr w:rsidR="006A6AFC" w:rsidRPr="002F383C" w14:paraId="3905ED45" w14:textId="2E76CAAF" w:rsidTr="006A6AFC">
        <w:tc>
          <w:tcPr>
            <w:tcW w:w="3290" w:type="dxa"/>
            <w:hideMark/>
          </w:tcPr>
          <w:p w14:paraId="53BC7B62" w14:textId="77777777" w:rsidR="006A6AFC" w:rsidRPr="002F383C" w:rsidRDefault="006A6AFC" w:rsidP="00D23C43">
            <w:pPr>
              <w:spacing w:before="240" w:after="240" w:line="360" w:lineRule="auto"/>
              <w:jc w:val="both"/>
              <w:rPr>
                <w:rFonts w:eastAsia="Times New Roman" w:cs="Times New Roman"/>
                <w:b/>
                <w:bCs/>
                <w:color w:val="auto"/>
                <w:sz w:val="24"/>
                <w:szCs w:val="24"/>
                <w:lang w:eastAsia="en-GB"/>
              </w:rPr>
            </w:pPr>
            <w:r w:rsidRPr="002F383C">
              <w:rPr>
                <w:rFonts w:eastAsia="Times New Roman" w:cs="Times New Roman"/>
                <w:b/>
                <w:bCs/>
                <w:color w:val="auto"/>
                <w:sz w:val="24"/>
                <w:szCs w:val="24"/>
                <w:lang w:eastAsia="en-GB"/>
              </w:rPr>
              <w:t>Theme</w:t>
            </w:r>
          </w:p>
        </w:tc>
        <w:tc>
          <w:tcPr>
            <w:tcW w:w="3201" w:type="dxa"/>
            <w:hideMark/>
          </w:tcPr>
          <w:p w14:paraId="00D6519F" w14:textId="77777777" w:rsidR="006A6AFC" w:rsidRPr="002F383C" w:rsidRDefault="006A6AFC" w:rsidP="00D23C43">
            <w:pPr>
              <w:spacing w:before="240" w:after="240" w:line="360" w:lineRule="auto"/>
              <w:jc w:val="both"/>
              <w:rPr>
                <w:rFonts w:eastAsia="Times New Roman" w:cs="Times New Roman"/>
                <w:b/>
                <w:bCs/>
                <w:color w:val="auto"/>
                <w:sz w:val="24"/>
                <w:szCs w:val="24"/>
                <w:lang w:eastAsia="en-GB"/>
              </w:rPr>
            </w:pPr>
            <w:r w:rsidRPr="002F383C">
              <w:rPr>
                <w:rFonts w:eastAsia="Times New Roman" w:cs="Times New Roman"/>
                <w:b/>
                <w:bCs/>
                <w:color w:val="auto"/>
                <w:sz w:val="24"/>
                <w:szCs w:val="24"/>
                <w:lang w:eastAsia="en-GB"/>
              </w:rPr>
              <w:t>Main codes from the provided content</w:t>
            </w:r>
          </w:p>
        </w:tc>
        <w:tc>
          <w:tcPr>
            <w:tcW w:w="2529" w:type="dxa"/>
          </w:tcPr>
          <w:p w14:paraId="1E4A66A8" w14:textId="6CEDD855" w:rsidR="006A6AFC" w:rsidRPr="002F383C" w:rsidRDefault="006A6AFC" w:rsidP="00D23C43">
            <w:pPr>
              <w:spacing w:before="240" w:after="240" w:line="360" w:lineRule="auto"/>
              <w:rPr>
                <w:rFonts w:eastAsia="Times New Roman" w:cs="Times New Roman"/>
                <w:b/>
                <w:bCs/>
                <w:color w:val="auto"/>
                <w:sz w:val="24"/>
                <w:szCs w:val="24"/>
                <w:lang w:eastAsia="en-GB"/>
              </w:rPr>
            </w:pPr>
            <w:r w:rsidRPr="002F383C">
              <w:rPr>
                <w:rFonts w:eastAsia="Times New Roman" w:cs="Times New Roman"/>
                <w:b/>
                <w:bCs/>
                <w:color w:val="auto"/>
                <w:sz w:val="24"/>
                <w:szCs w:val="24"/>
                <w:lang w:eastAsia="en-GB"/>
              </w:rPr>
              <w:t>Supporting studies</w:t>
            </w:r>
          </w:p>
        </w:tc>
      </w:tr>
      <w:tr w:rsidR="006A6AFC" w:rsidRPr="002F383C" w14:paraId="13605227" w14:textId="2750EEA9" w:rsidTr="006A6AFC">
        <w:tc>
          <w:tcPr>
            <w:tcW w:w="3290" w:type="dxa"/>
            <w:hideMark/>
          </w:tcPr>
          <w:p w14:paraId="336C45DD" w14:textId="77777777" w:rsidR="006A6AFC" w:rsidRPr="002F383C" w:rsidRDefault="006A6AFC" w:rsidP="00D23C43">
            <w:pPr>
              <w:spacing w:before="240" w:after="240" w:line="360" w:lineRule="auto"/>
              <w:jc w:val="both"/>
              <w:rPr>
                <w:rFonts w:eastAsia="Times New Roman" w:cs="Times New Roman"/>
                <w:color w:val="auto"/>
                <w:sz w:val="24"/>
                <w:szCs w:val="24"/>
                <w:lang w:eastAsia="en-GB"/>
              </w:rPr>
            </w:pPr>
            <w:r w:rsidRPr="002F383C">
              <w:rPr>
                <w:rFonts w:eastAsia="Times New Roman" w:cs="Times New Roman"/>
                <w:b/>
                <w:bCs/>
                <w:color w:val="auto"/>
                <w:sz w:val="24"/>
                <w:szCs w:val="24"/>
                <w:lang w:eastAsia="en-GB"/>
              </w:rPr>
              <w:t>Theme 1: Supply chain resilience strengthens the ability of food supply chains to withstand and adapt to international disruptions</w:t>
            </w:r>
          </w:p>
        </w:tc>
        <w:tc>
          <w:tcPr>
            <w:tcW w:w="3201" w:type="dxa"/>
            <w:hideMark/>
          </w:tcPr>
          <w:p w14:paraId="5BC0ED66" w14:textId="5D412AD9" w:rsidR="006A6AFC" w:rsidRPr="002F383C" w:rsidRDefault="006A6AFC" w:rsidP="00D23C43">
            <w:pPr>
              <w:spacing w:before="240" w:after="240" w:line="360" w:lineRule="auto"/>
              <w:jc w:val="both"/>
              <w:rPr>
                <w:rFonts w:eastAsia="Times New Roman" w:cs="Times New Roman"/>
                <w:color w:val="auto"/>
                <w:sz w:val="24"/>
                <w:szCs w:val="24"/>
                <w:lang w:eastAsia="en-GB"/>
              </w:rPr>
            </w:pPr>
            <w:r w:rsidRPr="002F383C">
              <w:rPr>
                <w:rFonts w:eastAsia="Times New Roman" w:cs="Times New Roman"/>
                <w:color w:val="auto"/>
                <w:sz w:val="24"/>
                <w:szCs w:val="24"/>
                <w:lang w:eastAsia="en-GB"/>
              </w:rPr>
              <w:t>Robustness, flexibility, adaptability, preparation, response and recovery</w:t>
            </w:r>
          </w:p>
        </w:tc>
        <w:tc>
          <w:tcPr>
            <w:tcW w:w="2529" w:type="dxa"/>
          </w:tcPr>
          <w:p w14:paraId="66E082A3" w14:textId="46D97EFD" w:rsidR="006A6AFC" w:rsidRPr="002F383C" w:rsidRDefault="006A6AFC" w:rsidP="00D23C43">
            <w:pPr>
              <w:spacing w:before="240" w:after="240" w:line="360" w:lineRule="auto"/>
              <w:jc w:val="both"/>
              <w:rPr>
                <w:rFonts w:eastAsia="Times New Roman" w:cs="Times New Roman"/>
                <w:color w:val="auto"/>
                <w:sz w:val="24"/>
                <w:szCs w:val="24"/>
                <w:lang w:eastAsia="en-GB"/>
              </w:rPr>
            </w:pPr>
            <w:r w:rsidRPr="002F383C">
              <w:rPr>
                <w:rFonts w:eastAsia="Times New Roman" w:cs="Times New Roman"/>
                <w:color w:val="auto"/>
                <w:sz w:val="24"/>
                <w:szCs w:val="24"/>
                <w:lang w:eastAsia="en-GB"/>
              </w:rPr>
              <w:t>Rimhanen, et al., (2023), Ul Haq, et al., (2022), DEFRA, (2024), Poo, et al., (2024), House of Commons, (2023), Vicario, et al., (2023)</w:t>
            </w:r>
          </w:p>
        </w:tc>
      </w:tr>
      <w:tr w:rsidR="006A6AFC" w:rsidRPr="002F383C" w14:paraId="53215B72" w14:textId="4E009EBA" w:rsidTr="006A6AFC">
        <w:tc>
          <w:tcPr>
            <w:tcW w:w="3290" w:type="dxa"/>
            <w:hideMark/>
          </w:tcPr>
          <w:p w14:paraId="713C4B73" w14:textId="77777777" w:rsidR="006A6AFC" w:rsidRPr="002F383C" w:rsidRDefault="006A6AFC" w:rsidP="00D23C43">
            <w:pPr>
              <w:spacing w:before="240" w:after="240" w:line="360" w:lineRule="auto"/>
              <w:jc w:val="both"/>
              <w:rPr>
                <w:rFonts w:eastAsia="Times New Roman" w:cs="Times New Roman"/>
                <w:color w:val="auto"/>
                <w:sz w:val="24"/>
                <w:szCs w:val="24"/>
                <w:lang w:eastAsia="en-GB"/>
              </w:rPr>
            </w:pPr>
            <w:r w:rsidRPr="002F383C">
              <w:rPr>
                <w:rFonts w:eastAsia="Times New Roman" w:cs="Times New Roman"/>
                <w:b/>
                <w:bCs/>
                <w:color w:val="auto"/>
                <w:sz w:val="24"/>
                <w:szCs w:val="24"/>
                <w:lang w:eastAsia="en-GB"/>
              </w:rPr>
              <w:t>Theme 2: Diversification and flexibility strengthen resilience during supply chain disruptions</w:t>
            </w:r>
          </w:p>
        </w:tc>
        <w:tc>
          <w:tcPr>
            <w:tcW w:w="3201" w:type="dxa"/>
            <w:hideMark/>
          </w:tcPr>
          <w:p w14:paraId="31277E34" w14:textId="5D8FA796" w:rsidR="006A6AFC" w:rsidRPr="002F383C" w:rsidRDefault="006A6AFC" w:rsidP="00D23C43">
            <w:pPr>
              <w:spacing w:before="240" w:after="240" w:line="360" w:lineRule="auto"/>
              <w:jc w:val="both"/>
              <w:rPr>
                <w:rFonts w:eastAsia="Times New Roman" w:cs="Times New Roman"/>
                <w:color w:val="auto"/>
                <w:sz w:val="24"/>
                <w:szCs w:val="24"/>
                <w:lang w:eastAsia="en-GB"/>
              </w:rPr>
            </w:pPr>
            <w:r w:rsidRPr="002F383C">
              <w:rPr>
                <w:rFonts w:eastAsia="Times New Roman" w:cs="Times New Roman"/>
                <w:color w:val="auto"/>
                <w:sz w:val="24"/>
                <w:szCs w:val="24"/>
                <w:lang w:eastAsia="en-GB"/>
              </w:rPr>
              <w:t>Wider geographical spread of supply, flexible production volume, local supplier network, multisource and diversifying input, inventory and capacity buffers</w:t>
            </w:r>
          </w:p>
        </w:tc>
        <w:tc>
          <w:tcPr>
            <w:tcW w:w="2529" w:type="dxa"/>
          </w:tcPr>
          <w:p w14:paraId="08D6148C" w14:textId="52B5A5A2" w:rsidR="006A6AFC" w:rsidRPr="002F383C" w:rsidRDefault="006A6AFC" w:rsidP="00D23C43">
            <w:pPr>
              <w:spacing w:before="240" w:after="240" w:line="360" w:lineRule="auto"/>
              <w:jc w:val="both"/>
              <w:rPr>
                <w:rFonts w:eastAsia="Times New Roman" w:cs="Times New Roman"/>
                <w:color w:val="auto"/>
                <w:sz w:val="24"/>
                <w:szCs w:val="24"/>
                <w:lang w:eastAsia="en-GB"/>
              </w:rPr>
            </w:pPr>
            <w:r w:rsidRPr="002F383C">
              <w:rPr>
                <w:rFonts w:eastAsia="Times New Roman" w:cs="Times New Roman"/>
                <w:color w:val="auto"/>
                <w:sz w:val="24"/>
                <w:szCs w:val="24"/>
                <w:lang w:eastAsia="en-GB"/>
              </w:rPr>
              <w:t>Vicario, et al., (2023), Joshi, et al., (2023), DEFRA, (2024), Ul Haq, et al., (2022), Rimhanen, et al., (2023)</w:t>
            </w:r>
          </w:p>
        </w:tc>
      </w:tr>
      <w:tr w:rsidR="006A6AFC" w:rsidRPr="002F383C" w14:paraId="2C877FE4" w14:textId="17DF0392" w:rsidTr="006A6AFC">
        <w:tc>
          <w:tcPr>
            <w:tcW w:w="3290" w:type="dxa"/>
            <w:hideMark/>
          </w:tcPr>
          <w:p w14:paraId="41BDF3FD" w14:textId="77777777" w:rsidR="006A6AFC" w:rsidRPr="002F383C" w:rsidRDefault="006A6AFC" w:rsidP="00D23C43">
            <w:pPr>
              <w:spacing w:before="240" w:after="240" w:line="360" w:lineRule="auto"/>
              <w:jc w:val="both"/>
              <w:rPr>
                <w:rFonts w:eastAsia="Times New Roman" w:cs="Times New Roman"/>
                <w:color w:val="auto"/>
                <w:sz w:val="24"/>
                <w:szCs w:val="24"/>
                <w:lang w:eastAsia="en-GB"/>
              </w:rPr>
            </w:pPr>
            <w:r w:rsidRPr="002F383C">
              <w:rPr>
                <w:rFonts w:eastAsia="Times New Roman" w:cs="Times New Roman"/>
                <w:b/>
                <w:bCs/>
                <w:color w:val="auto"/>
                <w:sz w:val="24"/>
                <w:szCs w:val="24"/>
                <w:lang w:eastAsia="en-GB"/>
              </w:rPr>
              <w:t>Theme 3: Collaboration, visibility and information sharing improve coordinated responses to supply chain disruptions</w:t>
            </w:r>
          </w:p>
        </w:tc>
        <w:tc>
          <w:tcPr>
            <w:tcW w:w="3201" w:type="dxa"/>
            <w:hideMark/>
          </w:tcPr>
          <w:p w14:paraId="2F460701" w14:textId="40B2CD3F" w:rsidR="006A6AFC" w:rsidRPr="002F383C" w:rsidRDefault="006A6AFC" w:rsidP="00D23C43">
            <w:pPr>
              <w:spacing w:before="240" w:after="240" w:line="360" w:lineRule="auto"/>
              <w:jc w:val="both"/>
              <w:rPr>
                <w:rFonts w:eastAsia="Times New Roman" w:cs="Times New Roman"/>
                <w:color w:val="auto"/>
                <w:sz w:val="24"/>
                <w:szCs w:val="24"/>
                <w:lang w:eastAsia="en-GB"/>
              </w:rPr>
            </w:pPr>
            <w:r w:rsidRPr="002F383C">
              <w:rPr>
                <w:rFonts w:eastAsia="Times New Roman" w:cs="Times New Roman"/>
                <w:color w:val="auto"/>
                <w:sz w:val="24"/>
                <w:szCs w:val="24"/>
                <w:lang w:eastAsia="en-GB"/>
              </w:rPr>
              <w:t>Collaboration and coordination, communication and cooperation, knowledge sharing, traceability of products, visibility</w:t>
            </w:r>
          </w:p>
        </w:tc>
        <w:tc>
          <w:tcPr>
            <w:tcW w:w="2529" w:type="dxa"/>
          </w:tcPr>
          <w:p w14:paraId="6198C12B" w14:textId="1297A367" w:rsidR="006A6AFC" w:rsidRPr="002F383C" w:rsidRDefault="006A6AFC" w:rsidP="00D23C43">
            <w:pPr>
              <w:spacing w:before="240" w:after="240" w:line="360" w:lineRule="auto"/>
              <w:jc w:val="both"/>
              <w:rPr>
                <w:rFonts w:eastAsia="Times New Roman" w:cs="Times New Roman"/>
                <w:color w:val="auto"/>
                <w:sz w:val="24"/>
                <w:szCs w:val="24"/>
                <w:lang w:eastAsia="en-GB"/>
              </w:rPr>
            </w:pPr>
            <w:r w:rsidRPr="002F383C">
              <w:rPr>
                <w:rFonts w:eastAsia="Times New Roman" w:cs="Times New Roman"/>
                <w:color w:val="auto"/>
                <w:sz w:val="24"/>
                <w:szCs w:val="24"/>
                <w:lang w:eastAsia="en-GB"/>
              </w:rPr>
              <w:t>Rimhanen, et al., (2023), Vicario, et al., (2023), KPMG, (2025), Ul Haq, et al., (2022), Joshi, et al., (2023)</w:t>
            </w:r>
          </w:p>
        </w:tc>
      </w:tr>
      <w:tr w:rsidR="006A6AFC" w:rsidRPr="002F383C" w14:paraId="536C44FF" w14:textId="3C377340" w:rsidTr="006A6AFC">
        <w:tc>
          <w:tcPr>
            <w:tcW w:w="3290" w:type="dxa"/>
            <w:hideMark/>
          </w:tcPr>
          <w:p w14:paraId="65420F17" w14:textId="77777777" w:rsidR="006A6AFC" w:rsidRPr="002F383C" w:rsidRDefault="006A6AFC" w:rsidP="00D23C43">
            <w:pPr>
              <w:spacing w:before="240" w:after="240" w:line="360" w:lineRule="auto"/>
              <w:jc w:val="both"/>
              <w:rPr>
                <w:rFonts w:eastAsia="Times New Roman" w:cs="Times New Roman"/>
                <w:color w:val="auto"/>
                <w:sz w:val="24"/>
                <w:szCs w:val="24"/>
                <w:lang w:eastAsia="en-GB"/>
              </w:rPr>
            </w:pPr>
            <w:r w:rsidRPr="002F383C">
              <w:rPr>
                <w:rFonts w:eastAsia="Times New Roman" w:cs="Times New Roman"/>
                <w:b/>
                <w:bCs/>
                <w:color w:val="auto"/>
                <w:sz w:val="24"/>
                <w:szCs w:val="24"/>
                <w:lang w:eastAsia="en-GB"/>
              </w:rPr>
              <w:t>Theme 4: Supply chain resilience supports international market and supply network decisions</w:t>
            </w:r>
          </w:p>
        </w:tc>
        <w:tc>
          <w:tcPr>
            <w:tcW w:w="3201" w:type="dxa"/>
            <w:hideMark/>
          </w:tcPr>
          <w:p w14:paraId="3249C737" w14:textId="26938D97" w:rsidR="006A6AFC" w:rsidRPr="002F383C" w:rsidRDefault="006A6AFC" w:rsidP="00D23C43">
            <w:pPr>
              <w:spacing w:before="240" w:after="240" w:line="360" w:lineRule="auto"/>
              <w:jc w:val="both"/>
              <w:rPr>
                <w:rFonts w:eastAsia="Times New Roman" w:cs="Times New Roman"/>
                <w:color w:val="auto"/>
                <w:sz w:val="24"/>
                <w:szCs w:val="24"/>
                <w:lang w:eastAsia="en-GB"/>
              </w:rPr>
            </w:pPr>
            <w:r w:rsidRPr="002F383C">
              <w:rPr>
                <w:rFonts w:eastAsia="Times New Roman" w:cs="Times New Roman"/>
                <w:color w:val="auto"/>
                <w:sz w:val="24"/>
                <w:szCs w:val="24"/>
                <w:lang w:eastAsia="en-GB"/>
              </w:rPr>
              <w:t>Food imports and supplies, shipping transport connectivity, market access, transportation networks, trade routes</w:t>
            </w:r>
          </w:p>
        </w:tc>
        <w:tc>
          <w:tcPr>
            <w:tcW w:w="2529" w:type="dxa"/>
          </w:tcPr>
          <w:p w14:paraId="364D35EB" w14:textId="0451C088" w:rsidR="006A6AFC" w:rsidRPr="002F383C" w:rsidRDefault="006A6AFC" w:rsidP="00D23C43">
            <w:pPr>
              <w:spacing w:before="240" w:after="240" w:line="360" w:lineRule="auto"/>
              <w:jc w:val="both"/>
              <w:rPr>
                <w:rFonts w:eastAsia="Times New Roman" w:cs="Times New Roman"/>
                <w:color w:val="auto"/>
                <w:sz w:val="24"/>
                <w:szCs w:val="24"/>
                <w:lang w:eastAsia="en-GB"/>
              </w:rPr>
            </w:pPr>
            <w:r w:rsidRPr="002F383C">
              <w:rPr>
                <w:rFonts w:eastAsia="Times New Roman" w:cs="Times New Roman"/>
                <w:color w:val="auto"/>
                <w:sz w:val="24"/>
                <w:szCs w:val="24"/>
                <w:lang w:eastAsia="en-GB"/>
              </w:rPr>
              <w:t>Poo, et al., (2024), DEFRA, (2024</w:t>
            </w:r>
            <w:r w:rsidR="00E65CDC">
              <w:rPr>
                <w:rFonts w:eastAsia="Times New Roman" w:cs="Times New Roman"/>
                <w:color w:val="auto"/>
                <w:sz w:val="24"/>
                <w:szCs w:val="24"/>
                <w:lang w:eastAsia="en-GB"/>
              </w:rPr>
              <w:t>), KPMG, (2025), Statista, (2024</w:t>
            </w:r>
            <w:r w:rsidRPr="002F383C">
              <w:rPr>
                <w:rFonts w:eastAsia="Times New Roman" w:cs="Times New Roman"/>
                <w:color w:val="auto"/>
                <w:sz w:val="24"/>
                <w:szCs w:val="24"/>
                <w:lang w:eastAsia="en-GB"/>
              </w:rPr>
              <w:t>), Rimhanen, et al., (2023)</w:t>
            </w:r>
          </w:p>
        </w:tc>
      </w:tr>
      <w:tr w:rsidR="006A6AFC" w:rsidRPr="002F383C" w14:paraId="4EF08913" w14:textId="4B1A3FC7" w:rsidTr="006A6AFC">
        <w:tc>
          <w:tcPr>
            <w:tcW w:w="3290" w:type="dxa"/>
            <w:hideMark/>
          </w:tcPr>
          <w:p w14:paraId="7B9FD76E" w14:textId="77777777" w:rsidR="006A6AFC" w:rsidRPr="002F383C" w:rsidRDefault="006A6AFC" w:rsidP="00D23C43">
            <w:pPr>
              <w:spacing w:before="240" w:after="240" w:line="360" w:lineRule="auto"/>
              <w:jc w:val="both"/>
              <w:rPr>
                <w:rFonts w:eastAsia="Times New Roman" w:cs="Times New Roman"/>
                <w:color w:val="auto"/>
                <w:sz w:val="24"/>
                <w:szCs w:val="24"/>
                <w:lang w:eastAsia="en-GB"/>
              </w:rPr>
            </w:pPr>
            <w:r w:rsidRPr="002F383C">
              <w:rPr>
                <w:rFonts w:eastAsia="Times New Roman" w:cs="Times New Roman"/>
                <w:b/>
                <w:bCs/>
                <w:color w:val="auto"/>
                <w:sz w:val="24"/>
                <w:szCs w:val="24"/>
                <w:lang w:eastAsia="en-GB"/>
              </w:rPr>
              <w:t>Theme 5: Innovation and adaptive strategies strengthen long term resilience and support sustainable international operations</w:t>
            </w:r>
          </w:p>
        </w:tc>
        <w:tc>
          <w:tcPr>
            <w:tcW w:w="3201" w:type="dxa"/>
            <w:hideMark/>
          </w:tcPr>
          <w:p w14:paraId="3E188D46" w14:textId="4F2C4E05" w:rsidR="006A6AFC" w:rsidRPr="002F383C" w:rsidRDefault="006A6AFC" w:rsidP="00D23C43">
            <w:pPr>
              <w:spacing w:before="240" w:after="240" w:line="360" w:lineRule="auto"/>
              <w:jc w:val="both"/>
              <w:rPr>
                <w:rFonts w:eastAsia="Times New Roman" w:cs="Times New Roman"/>
                <w:color w:val="auto"/>
                <w:sz w:val="24"/>
                <w:szCs w:val="24"/>
                <w:lang w:eastAsia="en-GB"/>
              </w:rPr>
            </w:pPr>
            <w:r w:rsidRPr="002F383C">
              <w:rPr>
                <w:rFonts w:eastAsia="Times New Roman" w:cs="Times New Roman"/>
                <w:color w:val="auto"/>
                <w:sz w:val="24"/>
                <w:szCs w:val="24"/>
                <w:lang w:eastAsia="en-GB"/>
              </w:rPr>
              <w:t>Business strategy innovation, technological innovation, digital technologies, contingency plans and mitigation strategies, adaptation</w:t>
            </w:r>
          </w:p>
        </w:tc>
        <w:tc>
          <w:tcPr>
            <w:tcW w:w="2529" w:type="dxa"/>
          </w:tcPr>
          <w:p w14:paraId="490D931A" w14:textId="523FFB1A" w:rsidR="006A6AFC" w:rsidRPr="002F383C" w:rsidRDefault="006A6AFC" w:rsidP="00D23C43">
            <w:pPr>
              <w:spacing w:before="240" w:after="240" w:line="360" w:lineRule="auto"/>
              <w:jc w:val="both"/>
              <w:rPr>
                <w:rFonts w:eastAsia="Times New Roman" w:cs="Times New Roman"/>
                <w:color w:val="auto"/>
                <w:sz w:val="24"/>
                <w:szCs w:val="24"/>
                <w:lang w:eastAsia="en-GB"/>
              </w:rPr>
            </w:pPr>
            <w:r w:rsidRPr="002F383C">
              <w:rPr>
                <w:rFonts w:eastAsia="Times New Roman" w:cs="Times New Roman"/>
                <w:color w:val="auto"/>
                <w:sz w:val="24"/>
                <w:szCs w:val="24"/>
                <w:lang w:eastAsia="en-GB"/>
              </w:rPr>
              <w:t>Joshi, et al., (2023), Ul Haq, et al., (2022), KPMG, (2025), Boyacı Gündüz, et al., (2021), Galanakis, et al., (2021)</w:t>
            </w:r>
          </w:p>
        </w:tc>
      </w:tr>
    </w:tbl>
    <w:p w14:paraId="0936CBB1" w14:textId="5A459D46" w:rsidR="00297091" w:rsidRPr="002F383C" w:rsidRDefault="00075A9D" w:rsidP="00D23C43">
      <w:pPr>
        <w:pStyle w:val="Heading2"/>
        <w:spacing w:before="240" w:after="240"/>
        <w:rPr>
          <w:rFonts w:cs="Times New Roman"/>
          <w:szCs w:val="24"/>
        </w:rPr>
      </w:pPr>
      <w:bookmarkStart w:id="82" w:name="_Toc241252041"/>
      <w:r w:rsidRPr="002F383C">
        <w:rPr>
          <w:rFonts w:cs="Times New Roman"/>
          <w:szCs w:val="24"/>
        </w:rPr>
        <w:t>4.4</w:t>
      </w:r>
      <w:r w:rsidR="00297091" w:rsidRPr="002F383C">
        <w:rPr>
          <w:rFonts w:cs="Times New Roman"/>
          <w:szCs w:val="24"/>
        </w:rPr>
        <w:t xml:space="preserve"> </w:t>
      </w:r>
      <w:r w:rsidRPr="002F383C">
        <w:rPr>
          <w:rFonts w:cs="Times New Roman"/>
          <w:szCs w:val="24"/>
        </w:rPr>
        <w:t>Thematic Findings</w:t>
      </w:r>
      <w:bookmarkEnd w:id="82"/>
    </w:p>
    <w:p w14:paraId="33EE00A2" w14:textId="4F781269" w:rsidR="00297091" w:rsidRPr="002F383C" w:rsidRDefault="00297091" w:rsidP="00D23C43">
      <w:pPr>
        <w:spacing w:before="240" w:after="240"/>
        <w:rPr>
          <w:rFonts w:cs="Times New Roman"/>
          <w:b/>
        </w:rPr>
      </w:pPr>
      <w:r w:rsidRPr="002F383C">
        <w:rPr>
          <w:rFonts w:cs="Times New Roman"/>
          <w:b/>
        </w:rPr>
        <w:t>Theme 1: Supply chain resilience strengthens the ability of food supply chains to withstand and adapt to international disruptions</w:t>
      </w:r>
    </w:p>
    <w:p w14:paraId="3CC5DE51" w14:textId="22D7A6A8" w:rsidR="00297091" w:rsidRPr="002F383C" w:rsidRDefault="00845BFD" w:rsidP="00D23C43">
      <w:pPr>
        <w:spacing w:before="240" w:after="240"/>
        <w:rPr>
          <w:rFonts w:cs="Times New Roman"/>
        </w:rPr>
      </w:pPr>
      <w:r w:rsidRPr="002F383C">
        <w:rPr>
          <w:rFonts w:cs="Times New Roman"/>
        </w:rPr>
        <w:t>The results indicate that supply chain resilience matters since food supply chains should be able to keep operating and adjust to unanticipated changes. In this connection, Rimhanen, et al., (2023) clarify that resilience is sustaining vital functions and restructuring and reorganising in the event of disruption. This indicates that resiliency does not only relate to the recovery but also involves the capacity to modify operations in response to changes in the conditions. In support of this, Ul Haq, et al., (2022) identify preparation, response, recovery and adaptation as different stages through which UK food manufacturing companies can build resilient operations. The particular evidence in the UK presents the same conclusion. In this regard, DEFRA, (2024</w:t>
      </w:r>
      <w:r w:rsidR="00FB1578" w:rsidRPr="002F383C">
        <w:rPr>
          <w:rFonts w:cs="Times New Roman"/>
        </w:rPr>
        <w:t>c</w:t>
      </w:r>
      <w:r w:rsidRPr="002F383C">
        <w:rPr>
          <w:rFonts w:cs="Times New Roman"/>
        </w:rPr>
        <w:t>), defines resilience as the capacity of the UK food supply chain to meet and address shocks and withstand them with the assistance of robustness, diversity and adaptability. It was also identified in the report that the UK was still upholding food availability despite various recent shocks. Consequently, the evidence suggests that resilience gives food producers the ability to be disrupted ready to continue significant business as well as to adapt as the normal supply conditions are interrupted</w:t>
      </w:r>
      <w:r w:rsidR="00297091" w:rsidRPr="002F383C">
        <w:rPr>
          <w:rFonts w:cs="Times New Roman"/>
        </w:rPr>
        <w:t>.</w:t>
      </w:r>
    </w:p>
    <w:p w14:paraId="52AD9081" w14:textId="77777777" w:rsidR="00255462" w:rsidRPr="002F383C" w:rsidRDefault="00845BFD" w:rsidP="00D23C43">
      <w:pPr>
        <w:spacing w:before="240" w:after="240"/>
        <w:rPr>
          <w:rFonts w:cs="Times New Roman"/>
        </w:rPr>
      </w:pPr>
      <w:r w:rsidRPr="002F383C">
        <w:rPr>
          <w:rFonts w:cs="Times New Roman"/>
        </w:rPr>
        <w:t>However, the facts also show that foreign relations expose to considerable vulnerability to external interference. According to Poo, et al., (2024), the business of shipping food in the UK heavily relies on shipping and is also found that global events such as COVID 19 and the Russian-Ukraine war conflict can radically change international freight supply networks. Similarly, The House of Commons, (2023), mentioned the pandemic and the war in Ukraine as warnings signs about the fragility of food supply chains and also highlighted the high energy and fertiliser prices and labour shortages as significant stressors on UK food supply.</w:t>
      </w:r>
      <w:r w:rsidR="002628FC" w:rsidRPr="002F383C">
        <w:rPr>
          <w:rFonts w:cs="Times New Roman"/>
        </w:rPr>
        <w:t xml:space="preserve"> </w:t>
      </w:r>
      <w:r w:rsidR="00255462" w:rsidRPr="002F383C">
        <w:rPr>
          <w:rFonts w:cs="Times New Roman"/>
        </w:rPr>
        <w:t>. Moreover, the energy costs, fertiliser prices and labour shortages may contribute to the instability of UK food supply that demonstrates that resilience should cover several related operational pressures instead of being concentrated on significant international disruptions</w:t>
      </w:r>
      <w:r w:rsidR="002628FC" w:rsidRPr="002F383C">
        <w:rPr>
          <w:rFonts w:cs="Times New Roman"/>
        </w:rPr>
        <w:t>.</w:t>
      </w:r>
      <w:r w:rsidRPr="002F383C">
        <w:rPr>
          <w:rFonts w:cs="Times New Roman"/>
        </w:rPr>
        <w:t xml:space="preserve"> </w:t>
      </w:r>
    </w:p>
    <w:p w14:paraId="79BD9BB3" w14:textId="223126E3" w:rsidR="00297091" w:rsidRPr="002F383C" w:rsidRDefault="00845BFD" w:rsidP="00D23C43">
      <w:pPr>
        <w:spacing w:before="240" w:after="240"/>
        <w:rPr>
          <w:rFonts w:cs="Times New Roman"/>
        </w:rPr>
      </w:pPr>
      <w:r w:rsidRPr="002F383C">
        <w:rPr>
          <w:rFonts w:cs="Times New Roman"/>
        </w:rPr>
        <w:t>On the other hand, Vicario, et al., (2023) discovered that drought resilience plans implemented to enhance drought resilience in the UK potato supply chain might be beneficial to the individual company, yet may pose difficulties to other supply chain participants. This demonstrates that resilience is not able to withstand disruption entirely. Instead, it enhances the ability of food firms and broader supply chains to cope with its impact. Overall, resilience has become particularly important to UK food manufacturers operate within uncertain and internationally connected supply systems.</w:t>
      </w:r>
    </w:p>
    <w:p w14:paraId="17F66591" w14:textId="5D6DA5B4" w:rsidR="00297091" w:rsidRPr="002F383C" w:rsidRDefault="00297091" w:rsidP="00D23C43">
      <w:pPr>
        <w:spacing w:before="240" w:after="240"/>
        <w:rPr>
          <w:rFonts w:cs="Times New Roman"/>
          <w:b/>
        </w:rPr>
      </w:pPr>
      <w:r w:rsidRPr="002F383C">
        <w:rPr>
          <w:rFonts w:cs="Times New Roman"/>
          <w:b/>
        </w:rPr>
        <w:t>Theme 2: Diversification and flexibility strengthen resilience during supply chain disruptions</w:t>
      </w:r>
    </w:p>
    <w:p w14:paraId="00988D5B" w14:textId="075C498E" w:rsidR="00255462" w:rsidRPr="002F383C" w:rsidRDefault="00845BFD" w:rsidP="00D23C43">
      <w:pPr>
        <w:spacing w:before="240" w:after="240"/>
        <w:rPr>
          <w:rFonts w:cs="Times New Roman"/>
        </w:rPr>
      </w:pPr>
      <w:r w:rsidRPr="002F383C">
        <w:rPr>
          <w:rFonts w:cs="Times New Roman"/>
        </w:rPr>
        <w:t>Diversification has proved to become a significant resilience ability due to its lessening of reliance to individual suppliers, locations of manufacture and of sources of inputs. In the study, Vicario, et al., (2023) discovered that the UK potato supply chain was more geographically distributed to enhance drought resistance. This implies that businesses are able to decrease exposure when purchasing is done in various places instead of being centred in a single geographical location. On the same note, Joshi, et al., (2023) note the importance of multisource and diversifying input as a key resilience practice and elaborate that a variety of sources may decrease dependency.</w:t>
      </w:r>
      <w:r w:rsidR="00255462" w:rsidRPr="002F383C">
        <w:rPr>
          <w:rFonts w:cs="Times New Roman"/>
        </w:rPr>
        <w:t xml:space="preserve"> In addition,</w:t>
      </w:r>
      <w:r w:rsidRPr="002F383C">
        <w:rPr>
          <w:rFonts w:cs="Times New Roman"/>
        </w:rPr>
        <w:t xml:space="preserve"> </w:t>
      </w:r>
      <w:r w:rsidR="00255462" w:rsidRPr="002F383C">
        <w:rPr>
          <w:rFonts w:cs="Times New Roman"/>
        </w:rPr>
        <w:t>Inventory and capacity buffers were also the resilience practices that were identified by the authors. It implies that diversification can be more efficient as long as business retains enough capacity to cope with temporary shortages as alternative suppliers or sources are be</w:t>
      </w:r>
      <w:r w:rsidR="00A63CE8" w:rsidRPr="002F383C">
        <w:rPr>
          <w:rFonts w:cs="Times New Roman"/>
        </w:rPr>
        <w:t>ing organis</w:t>
      </w:r>
      <w:r w:rsidR="00255462" w:rsidRPr="002F383C">
        <w:rPr>
          <w:rFonts w:cs="Times New Roman"/>
        </w:rPr>
        <w:t>ed during disruption</w:t>
      </w:r>
      <w:r w:rsidR="002628FC" w:rsidRPr="002F383C">
        <w:rPr>
          <w:rFonts w:cs="Times New Roman"/>
        </w:rPr>
        <w:t>.</w:t>
      </w:r>
    </w:p>
    <w:p w14:paraId="1C9B2AD2" w14:textId="46214FC6" w:rsidR="00297091" w:rsidRPr="002F383C" w:rsidRDefault="002628FC" w:rsidP="00D23C43">
      <w:pPr>
        <w:spacing w:before="240" w:after="240"/>
        <w:rPr>
          <w:rFonts w:cs="Times New Roman"/>
        </w:rPr>
      </w:pPr>
      <w:r w:rsidRPr="002F383C">
        <w:rPr>
          <w:rFonts w:cs="Times New Roman"/>
        </w:rPr>
        <w:t xml:space="preserve"> </w:t>
      </w:r>
      <w:r w:rsidR="00845BFD" w:rsidRPr="002F383C">
        <w:rPr>
          <w:rFonts w:cs="Times New Roman"/>
        </w:rPr>
        <w:t>Official evidence in the UK supports the value of diversity as well. In this regard, DEFRA, (2024</w:t>
      </w:r>
      <w:r w:rsidR="00FB1578" w:rsidRPr="002F383C">
        <w:rPr>
          <w:rFonts w:cs="Times New Roman"/>
        </w:rPr>
        <w:t>c</w:t>
      </w:r>
      <w:r w:rsidR="00845BFD" w:rsidRPr="002F383C">
        <w:rPr>
          <w:rFonts w:cs="Times New Roman"/>
        </w:rPr>
        <w:t xml:space="preserve">), the utilisation of geographically concentrated suppliers has the potential to introduce single points of failure into UK food supply chains. As an example, UK imports of sunflower oil decreased to 224,000 tonnes </w:t>
      </w:r>
      <w:r w:rsidR="002B0CC7" w:rsidRPr="002F383C">
        <w:rPr>
          <w:rFonts w:cs="Times New Roman"/>
        </w:rPr>
        <w:t xml:space="preserve">in 2023 </w:t>
      </w:r>
      <w:r w:rsidR="00845BFD" w:rsidRPr="002F383C">
        <w:rPr>
          <w:rFonts w:cs="Times New Roman"/>
        </w:rPr>
        <w:t xml:space="preserve">after disruption </w:t>
      </w:r>
      <w:r w:rsidR="002B0CC7" w:rsidRPr="002F383C">
        <w:rPr>
          <w:rFonts w:cs="Times New Roman"/>
        </w:rPr>
        <w:t xml:space="preserve">the disruptions created by the war in Ukraine which reflects a 25.3% </w:t>
      </w:r>
      <w:r w:rsidR="00845BFD" w:rsidRPr="002F383C">
        <w:rPr>
          <w:rFonts w:cs="Times New Roman"/>
        </w:rPr>
        <w:t xml:space="preserve">decline of the previous </w:t>
      </w:r>
      <w:r w:rsidR="002B0CC7" w:rsidRPr="002F383C">
        <w:rPr>
          <w:rFonts w:cs="Times New Roman"/>
        </w:rPr>
        <w:t>year</w:t>
      </w:r>
      <w:r w:rsidR="00845BFD" w:rsidRPr="002F383C">
        <w:rPr>
          <w:rFonts w:cs="Times New Roman"/>
        </w:rPr>
        <w:t xml:space="preserve"> </w:t>
      </w:r>
      <w:r w:rsidR="002B0CC7" w:rsidRPr="002F383C">
        <w:rPr>
          <w:rFonts w:cs="Times New Roman"/>
        </w:rPr>
        <w:t xml:space="preserve">figure </w:t>
      </w:r>
      <w:r w:rsidR="00845BFD" w:rsidRPr="002F383C">
        <w:rPr>
          <w:rFonts w:cs="Times New Roman"/>
        </w:rPr>
        <w:t>of approximately 300,000 tonnes. This demonstrates the impact that concentrated international sourcing has in creating vulnerability on a large scale when a main supplier is disrupted</w:t>
      </w:r>
      <w:r w:rsidR="00297091" w:rsidRPr="002F383C">
        <w:rPr>
          <w:rFonts w:cs="Times New Roman"/>
        </w:rPr>
        <w:t>.</w:t>
      </w:r>
    </w:p>
    <w:p w14:paraId="699D529B" w14:textId="06FE497B" w:rsidR="00297091" w:rsidRPr="002F383C" w:rsidRDefault="002B0CC7" w:rsidP="00D23C43">
      <w:pPr>
        <w:spacing w:before="240" w:after="240"/>
        <w:rPr>
          <w:rFonts w:cs="Times New Roman"/>
        </w:rPr>
      </w:pPr>
      <w:r w:rsidRPr="002F383C">
        <w:rPr>
          <w:rFonts w:cs="Times New Roman"/>
        </w:rPr>
        <w:t>Flexibility also provides support to diversification since alternative sources are more valuable where firms are capable of modifying their production and sourcing arrangements in times of disruption. In this context, Ul Haq, et al., (2022), stated that flexible production volume, local supplier networks and multifunctional processing were employed between 15 to 18 companies across the UK food manufacturing sector and reinforced flexibility, agility and rapidity capabilities. In the same manner, Rimhanen, et al., (2023), highlighted that having a vast system of market participants can facilitate the attainment of essential imported inputs in cases of disruption. Their results reveal that the broader network offers alternative choices and the capacity to cope with the new situation. The additional support is given by DEFRA, (2024</w:t>
      </w:r>
      <w:r w:rsidR="00FB1578" w:rsidRPr="002F383C">
        <w:rPr>
          <w:rFonts w:cs="Times New Roman"/>
        </w:rPr>
        <w:t>c</w:t>
      </w:r>
      <w:r w:rsidRPr="002F383C">
        <w:rPr>
          <w:rFonts w:cs="Times New Roman"/>
        </w:rPr>
        <w:t>), which reports that supply diversity will help to distributed risks caused by conflict, price hikes and other obstacles to trade. The report also indicates that the UK imports fertiliser of about 60 countries with some products continuing to have a concentrated dependence. Thus, diversification minimises the concentration risk, whereas flexibility enables the firms to to make practical use of alternative suppliers, production capacity and sourcing sites when the previously fixed arrangements prove unreliable</w:t>
      </w:r>
      <w:r w:rsidR="00297091" w:rsidRPr="002F383C">
        <w:rPr>
          <w:rFonts w:cs="Times New Roman"/>
        </w:rPr>
        <w:t>.</w:t>
      </w:r>
    </w:p>
    <w:p w14:paraId="045491F0" w14:textId="77777777" w:rsidR="00297091" w:rsidRPr="002F383C" w:rsidRDefault="00297091" w:rsidP="00D23C43">
      <w:pPr>
        <w:spacing w:before="240" w:after="240"/>
        <w:rPr>
          <w:rFonts w:cs="Times New Roman"/>
          <w:b/>
        </w:rPr>
      </w:pPr>
      <w:r w:rsidRPr="002F383C">
        <w:rPr>
          <w:rFonts w:cs="Times New Roman"/>
          <w:b/>
        </w:rPr>
        <w:t>Theme 3: Collaboration, visibility and information sharing improve coordinated responses to supply chain disruptions</w:t>
      </w:r>
    </w:p>
    <w:p w14:paraId="3E01A567" w14:textId="28DBA150" w:rsidR="00255462" w:rsidRPr="002F383C" w:rsidRDefault="00C45B6A" w:rsidP="00D23C43">
      <w:pPr>
        <w:spacing w:before="240" w:after="240"/>
        <w:rPr>
          <w:rFonts w:cs="Times New Roman"/>
        </w:rPr>
      </w:pPr>
      <w:r w:rsidRPr="002F383C">
        <w:rPr>
          <w:rFonts w:cs="Times New Roman"/>
        </w:rPr>
        <w:t xml:space="preserve">The collaboration is a relevant aspect of resilience since food supply chains comprise numerous interconnected organisations that need to react to disruption in a coordinated way. In this respect, Rimhanen, et al., (2023), discovered that knowledge sharing is enhanced by communication, cooperation and trust and the capacity of the food system actors to react to disruption. Their data show that shared information may enhance knowledge of varying conditions and help in risk prevention as well as adaptation. In the same manner, Vicario, et al., (2023), found that greater vertical cooperation and trust is required in the UK potato supply chain since activities conducted by one member may have an impact on other members. </w:t>
      </w:r>
      <w:r w:rsidR="00255462" w:rsidRPr="002F383C">
        <w:rPr>
          <w:rFonts w:cs="Times New Roman"/>
        </w:rPr>
        <w:t>The authors demonstrate the importance of coordination because resilience decisions made by individual supply chain actors can affect other participants. This strengthen the argument that communication and mutual planning are required in handling risks in interconnected food supply chains.</w:t>
      </w:r>
      <w:r w:rsidR="002628FC" w:rsidRPr="002F383C">
        <w:rPr>
          <w:rFonts w:cs="Times New Roman"/>
        </w:rPr>
        <w:t xml:space="preserve"> </w:t>
      </w:r>
    </w:p>
    <w:p w14:paraId="4CBE795C" w14:textId="1574D44F" w:rsidR="00297091" w:rsidRPr="002F383C" w:rsidRDefault="00C45B6A" w:rsidP="00D23C43">
      <w:pPr>
        <w:spacing w:before="240" w:after="240"/>
        <w:rPr>
          <w:rFonts w:cs="Times New Roman"/>
          <w:b/>
        </w:rPr>
      </w:pPr>
      <w:r w:rsidRPr="002F383C">
        <w:rPr>
          <w:rFonts w:cs="Times New Roman"/>
        </w:rPr>
        <w:t>Wider industry evidence supports this emphasis on collaborative relationships. In this regard, the report by KPMG, (2025), discovered that 86% of the surveyed respondents believed that the establishment of new collaborative relationships with non-food and agriculture sectors is also an important startegy. It was also discovered in the report that there was a strong willingness to collaborate in the food sector in order to establish common solutions. Thus, collaboration enhances resilience enabling organisations to share information, learn broader conditions of supply and formulate responses whose consideration accommodates the needs of many players in the supply chain.</w:t>
      </w:r>
    </w:p>
    <w:p w14:paraId="52ED7A53" w14:textId="012C1473" w:rsidR="00297091" w:rsidRPr="002F383C" w:rsidRDefault="00C45B6A" w:rsidP="00D23C43">
      <w:pPr>
        <w:spacing w:before="240" w:after="240"/>
        <w:rPr>
          <w:rFonts w:cs="Times New Roman"/>
        </w:rPr>
      </w:pPr>
      <w:r w:rsidRPr="002F383C">
        <w:rPr>
          <w:rFonts w:cs="Times New Roman"/>
        </w:rPr>
        <w:t>Visibility also enhances cooperation since companies require information that is clear and timely prior to making coordinated decisions. In this regard, Ul Haq, et al., (2022) established that in the UK food manufacturing industry, product traceabili</w:t>
      </w:r>
      <w:r w:rsidR="00A63CE8" w:rsidRPr="002F383C">
        <w:rPr>
          <w:rFonts w:cs="Times New Roman"/>
        </w:rPr>
        <w:t xml:space="preserve">ty helps to enhance visibility </w:t>
      </w:r>
      <w:r w:rsidRPr="002F383C">
        <w:rPr>
          <w:rFonts w:cs="Times New Roman"/>
        </w:rPr>
        <w:t xml:space="preserve">and production data analytics and consumer data analytics can </w:t>
      </w:r>
      <w:r w:rsidR="00916982" w:rsidRPr="002F383C">
        <w:rPr>
          <w:rFonts w:cs="Times New Roman"/>
        </w:rPr>
        <w:t>assist</w:t>
      </w:r>
      <w:r w:rsidRPr="002F383C">
        <w:rPr>
          <w:rFonts w:cs="Times New Roman"/>
        </w:rPr>
        <w:t xml:space="preserve"> early warning and resilience. </w:t>
      </w:r>
      <w:r w:rsidR="00916982" w:rsidRPr="002F383C">
        <w:rPr>
          <w:rFonts w:cs="Times New Roman"/>
        </w:rPr>
        <w:t>However</w:t>
      </w:r>
      <w:r w:rsidRPr="002F383C">
        <w:rPr>
          <w:rFonts w:cs="Times New Roman"/>
        </w:rPr>
        <w:t>, the rese</w:t>
      </w:r>
      <w:r w:rsidR="00916982" w:rsidRPr="002F383C">
        <w:rPr>
          <w:rFonts w:cs="Times New Roman"/>
        </w:rPr>
        <w:t xml:space="preserve">arch determined that only </w:t>
      </w:r>
      <w:r w:rsidR="006A6AFC" w:rsidRPr="002F383C">
        <w:rPr>
          <w:rFonts w:cs="Times New Roman"/>
        </w:rPr>
        <w:t xml:space="preserve">one to four </w:t>
      </w:r>
      <w:r w:rsidRPr="002F383C">
        <w:rPr>
          <w:rFonts w:cs="Times New Roman"/>
        </w:rPr>
        <w:t>companies employed their advanced practices indicating the practices were not adopted extensively. In like manner, Joshi, et al., (2023)</w:t>
      </w:r>
      <w:r w:rsidR="00916982" w:rsidRPr="002F383C">
        <w:rPr>
          <w:rFonts w:cs="Times New Roman"/>
        </w:rPr>
        <w:t>,</w:t>
      </w:r>
      <w:r w:rsidRPr="002F383C">
        <w:rPr>
          <w:rFonts w:cs="Times New Roman"/>
        </w:rPr>
        <w:t xml:space="preserve"> </w:t>
      </w:r>
      <w:r w:rsidR="00916982" w:rsidRPr="002F383C">
        <w:rPr>
          <w:rFonts w:cs="Times New Roman"/>
        </w:rPr>
        <w:t>mentioned</w:t>
      </w:r>
      <w:r w:rsidRPr="002F383C">
        <w:rPr>
          <w:rFonts w:cs="Times New Roman"/>
        </w:rPr>
        <w:t xml:space="preserve"> that digital technologies enhance data management and real time decision making which can help companies respond more efficiently to changing conditional supply chains. Transparency and collaboration are also a key focus of KPMG</w:t>
      </w:r>
      <w:r w:rsidR="00916982" w:rsidRPr="002F383C">
        <w:rPr>
          <w:rFonts w:cs="Times New Roman"/>
        </w:rPr>
        <w:t xml:space="preserve">, (2025) where 72% </w:t>
      </w:r>
      <w:r w:rsidRPr="002F383C">
        <w:rPr>
          <w:rFonts w:cs="Times New Roman"/>
        </w:rPr>
        <w:t xml:space="preserve">of retail respondents </w:t>
      </w:r>
      <w:r w:rsidR="00916982" w:rsidRPr="002F383C">
        <w:rPr>
          <w:rFonts w:cs="Times New Roman"/>
        </w:rPr>
        <w:t>highlighted</w:t>
      </w:r>
      <w:r w:rsidRPr="002F383C">
        <w:rPr>
          <w:rFonts w:cs="Times New Roman"/>
        </w:rPr>
        <w:t xml:space="preserve"> supply chain transparency as a priority. </w:t>
      </w:r>
      <w:r w:rsidR="00916982" w:rsidRPr="002F383C">
        <w:rPr>
          <w:rFonts w:cs="Times New Roman"/>
        </w:rPr>
        <w:t>On the other hand</w:t>
      </w:r>
      <w:r w:rsidRPr="002F383C">
        <w:rPr>
          <w:rFonts w:cs="Times New Roman"/>
        </w:rPr>
        <w:t xml:space="preserve">, increased access to information does not necessarily generate resilience unless organisations engage in communication and action based on such information. </w:t>
      </w:r>
      <w:r w:rsidR="00916982" w:rsidRPr="002F383C">
        <w:rPr>
          <w:rFonts w:cs="Times New Roman"/>
        </w:rPr>
        <w:t>The findings thus suggest that visibility and collaboration are directly related as traceability and data can present the information, whereas cooperation allows the information to promote the coordinated response to the relationships within the supply chain</w:t>
      </w:r>
      <w:r w:rsidR="00297091" w:rsidRPr="002F383C">
        <w:rPr>
          <w:rFonts w:cs="Times New Roman"/>
        </w:rPr>
        <w:t>.</w:t>
      </w:r>
    </w:p>
    <w:p w14:paraId="2B62DE11" w14:textId="36EE17E8" w:rsidR="00297091" w:rsidRPr="002F383C" w:rsidRDefault="00297091" w:rsidP="00D23C43">
      <w:pPr>
        <w:spacing w:before="240" w:after="240"/>
        <w:rPr>
          <w:rFonts w:cs="Times New Roman"/>
          <w:b/>
        </w:rPr>
      </w:pPr>
      <w:r w:rsidRPr="002F383C">
        <w:rPr>
          <w:rFonts w:cs="Times New Roman"/>
          <w:b/>
        </w:rPr>
        <w:t>Theme 4: Supply chain resilience supports international market and supply network decisions</w:t>
      </w:r>
    </w:p>
    <w:p w14:paraId="5F792E05" w14:textId="0654906F" w:rsidR="00297091" w:rsidRPr="002F383C" w:rsidRDefault="00916982" w:rsidP="00D23C43">
      <w:pPr>
        <w:spacing w:before="240" w:after="240"/>
        <w:rPr>
          <w:rFonts w:cs="Times New Roman"/>
        </w:rPr>
      </w:pPr>
      <w:r w:rsidRPr="002F383C">
        <w:rPr>
          <w:rFonts w:cs="Times New Roman"/>
        </w:rPr>
        <w:t>The data indicate that decisions on international supplies are closely related to transport connectivity, market access and network reliability of sourcing. In this context, Poo, et al., (2024), discovered that UK is heavily reliant on shipping both as a source of imported food and supplies and classified shipping transport connectivity as a significant factor in national resilience in food supply. This implies that decisions related to international sourcing must take into account the reliability of food and inputs to remain in motion in the event of disruption. In support of this, DEFRA, (2024</w:t>
      </w:r>
      <w:r w:rsidR="00FB1578" w:rsidRPr="002F383C">
        <w:rPr>
          <w:rFonts w:cs="Times New Roman"/>
        </w:rPr>
        <w:t>c</w:t>
      </w:r>
      <w:r w:rsidRPr="002F383C">
        <w:rPr>
          <w:rFonts w:cs="Times New Roman"/>
        </w:rPr>
        <w:t>), found that the European Union accounted for 64% of the volume of UK food, feed and drink imports in 2023. The report also discovered that the concentration of imports varied in ports, especially with perishable products, whereby this provides varying degrees of exposure to transport disruption. Similarly, KPMG, (2025), found that 90% of respondents rated increased open market access and free trade for improving efficiency and optimising supply chains as a high or very high priority.</w:t>
      </w:r>
      <w:r w:rsidR="00C153EB">
        <w:rPr>
          <w:rFonts w:cs="Times New Roman"/>
        </w:rPr>
        <w:t xml:space="preserve"> </w:t>
      </w:r>
      <w:r w:rsidR="00C153EB" w:rsidRPr="00C153EB">
        <w:rPr>
          <w:highlight w:val="yellow"/>
        </w:rPr>
        <w:t>Likewise, Du, et al., (2025) found that additional trade costs and border checks affected UK agri food trade. This shows that market access conditions can influence entry and continued participation in international markets.</w:t>
      </w:r>
      <w:r w:rsidRPr="002F383C">
        <w:rPr>
          <w:rFonts w:cs="Times New Roman"/>
        </w:rPr>
        <w:t xml:space="preserve"> These results indicate that the accessibility of the international market is partly reliant on the transport and supply networks that are resilient</w:t>
      </w:r>
      <w:r w:rsidR="00297091" w:rsidRPr="002F383C">
        <w:rPr>
          <w:rFonts w:cs="Times New Roman"/>
        </w:rPr>
        <w:t>.</w:t>
      </w:r>
    </w:p>
    <w:p w14:paraId="5AB91C90" w14:textId="4E79C0F9" w:rsidR="00E65CDC" w:rsidRDefault="00916982" w:rsidP="00D23C43">
      <w:pPr>
        <w:spacing w:before="240" w:after="240"/>
      </w:pPr>
      <w:r w:rsidRPr="002F383C">
        <w:rPr>
          <w:rFonts w:cs="Times New Roman"/>
        </w:rPr>
        <w:t xml:space="preserve">The significance of international trade is also evidenced by data related to imports and exports of the UK. In </w:t>
      </w:r>
      <w:r w:rsidR="00E65CDC">
        <w:rPr>
          <w:rFonts w:cs="Times New Roman"/>
        </w:rPr>
        <w:t>addition, Statista, (2024</w:t>
      </w:r>
      <w:r w:rsidRPr="002F383C">
        <w:rPr>
          <w:rFonts w:cs="Times New Roman"/>
        </w:rPr>
        <w:t>) reported tha</w:t>
      </w:r>
      <w:r w:rsidR="00A63CE8" w:rsidRPr="002F383C">
        <w:rPr>
          <w:rFonts w:cs="Times New Roman"/>
        </w:rPr>
        <w:t>t food, feed and drink was 5.8%</w:t>
      </w:r>
      <w:r w:rsidRPr="002F383C">
        <w:rPr>
          <w:rFonts w:cs="Times New Roman"/>
        </w:rPr>
        <w:t xml:space="preserve"> of </w:t>
      </w:r>
      <w:r w:rsidR="002628FC" w:rsidRPr="002F383C">
        <w:rPr>
          <w:rFonts w:cs="Times New Roman"/>
        </w:rPr>
        <w:t xml:space="preserve">total exports in the UK and 8.8% </w:t>
      </w:r>
      <w:r w:rsidRPr="002F383C">
        <w:rPr>
          <w:rFonts w:cs="Times New Roman"/>
        </w:rPr>
        <w:t>of total imports in the same category. This proves the fact that the UK food industry still engages in international markets.</w:t>
      </w:r>
      <w:r w:rsidR="002628FC" w:rsidRPr="002F383C">
        <w:rPr>
          <w:rFonts w:cs="Times New Roman"/>
        </w:rPr>
        <w:t xml:space="preserve"> It also provides additional background to this reliance by revealing the ongoing contribution of food, feed and beverage in the UK international trade. This supports the value of robust global supply strategies in terms of sustaining both sourcing operations and reaching foreign markets. </w:t>
      </w:r>
      <w:r w:rsidR="00C153EB" w:rsidRPr="00C153EB">
        <w:rPr>
          <w:highlight w:val="yellow"/>
        </w:rPr>
        <w:t>In support of this, Smith, (2023) found that UK trade agreements with Australia and New Zealand created new export opportunities, while CPTPP accession increased access to Indo Pacific markets, showing how trade agreements can shape foreign market selection and entry opportunities</w:t>
      </w:r>
      <w:r w:rsidR="00C153EB" w:rsidRPr="00C153EB">
        <w:t>.</w:t>
      </w:r>
      <w:r w:rsidR="00C153EB">
        <w:t xml:space="preserve"> </w:t>
      </w:r>
      <w:r w:rsidR="00E65CDC" w:rsidRPr="00E65CDC">
        <w:rPr>
          <w:highlight w:val="yellow"/>
        </w:rPr>
        <w:t>This indicates that wider market access can strengthen supply chain resilience by diversifying trading relationships, reducing dependence on limited markets and providing alternative international market options during disruptions.</w:t>
      </w:r>
    </w:p>
    <w:p w14:paraId="6317D94C" w14:textId="485C8C60" w:rsidR="00255462" w:rsidRPr="002F383C" w:rsidRDefault="002628FC" w:rsidP="00D23C43">
      <w:pPr>
        <w:spacing w:before="240" w:after="240"/>
        <w:rPr>
          <w:rFonts w:cs="Times New Roman"/>
        </w:rPr>
      </w:pPr>
      <w:r w:rsidRPr="002F383C">
        <w:rPr>
          <w:rFonts w:cs="Times New Roman"/>
        </w:rPr>
        <w:t>However, international access</w:t>
      </w:r>
      <w:r w:rsidR="00916982" w:rsidRPr="002F383C">
        <w:rPr>
          <w:rFonts w:cs="Times New Roman"/>
        </w:rPr>
        <w:t xml:space="preserve"> brings risks of exposure to external supply. </w:t>
      </w:r>
      <w:r w:rsidRPr="002F383C">
        <w:rPr>
          <w:rFonts w:cs="Times New Roman"/>
        </w:rPr>
        <w:t xml:space="preserve">In this regard, </w:t>
      </w:r>
      <w:r w:rsidR="00916982" w:rsidRPr="002F383C">
        <w:rPr>
          <w:rFonts w:cs="Times New Roman"/>
        </w:rPr>
        <w:t xml:space="preserve">Rimhanen, et al., (2023) identified that overreliance on imports may make a system more vulnerable when production is clustered in a limited number of sites and thus suggested having a wide network of partners in the market. </w:t>
      </w:r>
      <w:r w:rsidR="00E65CDC" w:rsidRPr="00E65CDC">
        <w:rPr>
          <w:highlight w:val="yellow"/>
        </w:rPr>
        <w:t>Similarly, Masters and Finaret, (2024) found that transport costs, storage and trade conditions influence how food moves across international value chains. This implies that reliable and flexible logistics can strengthen resilience and support market entry by enabling firms to maintain supply and access foreign markets during changing conditions</w:t>
      </w:r>
      <w:r w:rsidR="00C153EB" w:rsidRPr="00E65CDC">
        <w:rPr>
          <w:highlight w:val="yellow"/>
        </w:rPr>
        <w:t>.</w:t>
      </w:r>
    </w:p>
    <w:p w14:paraId="07630F7F" w14:textId="1C2DDED8" w:rsidR="00297091" w:rsidRPr="002F383C" w:rsidRDefault="00255462" w:rsidP="00D23C43">
      <w:pPr>
        <w:spacing w:before="240" w:after="240"/>
        <w:rPr>
          <w:rFonts w:cs="Times New Roman"/>
        </w:rPr>
      </w:pPr>
      <w:r w:rsidRPr="002F383C">
        <w:rPr>
          <w:rFonts w:cs="Times New Roman"/>
        </w:rPr>
        <w:t>In the similar way</w:t>
      </w:r>
      <w:r w:rsidR="00916982" w:rsidRPr="002F383C">
        <w:rPr>
          <w:rFonts w:cs="Times New Roman"/>
        </w:rPr>
        <w:t>, KPMG</w:t>
      </w:r>
      <w:r w:rsidRPr="002F383C">
        <w:rPr>
          <w:rFonts w:cs="Times New Roman"/>
        </w:rPr>
        <w:t>,</w:t>
      </w:r>
      <w:r w:rsidR="00916982" w:rsidRPr="002F383C">
        <w:rPr>
          <w:rFonts w:cs="Times New Roman"/>
        </w:rPr>
        <w:t xml:space="preserve"> (2025) links access to secure markets to responsible sourcing and traceability, indicating that the quality of the supply chain arrangements can impact the capability of businesses to operate in markets. Thus, the decisions of international expansion can be supported by resilient supply networks, which can offer alternative linkages and eliminate the overreliance on a single supply location</w:t>
      </w:r>
      <w:r w:rsidR="00297091" w:rsidRPr="002F383C">
        <w:rPr>
          <w:rFonts w:cs="Times New Roman"/>
        </w:rPr>
        <w:t>.</w:t>
      </w:r>
    </w:p>
    <w:p w14:paraId="4D12FA04" w14:textId="174E5FAD" w:rsidR="00297091" w:rsidRPr="002F383C" w:rsidRDefault="00297091" w:rsidP="00D23C43">
      <w:pPr>
        <w:spacing w:before="240" w:after="240"/>
        <w:rPr>
          <w:rFonts w:cs="Times New Roman"/>
          <w:b/>
        </w:rPr>
      </w:pPr>
      <w:r w:rsidRPr="002F383C">
        <w:rPr>
          <w:rFonts w:cs="Times New Roman"/>
          <w:b/>
        </w:rPr>
        <w:t xml:space="preserve">Theme 5: Innovation and adaptive strategies strengthen </w:t>
      </w:r>
      <w:r w:rsidR="0040296D" w:rsidRPr="002F383C">
        <w:rPr>
          <w:rFonts w:cs="Times New Roman"/>
          <w:b/>
        </w:rPr>
        <w:t>long-term</w:t>
      </w:r>
      <w:r w:rsidRPr="002F383C">
        <w:rPr>
          <w:rFonts w:cs="Times New Roman"/>
          <w:b/>
        </w:rPr>
        <w:t xml:space="preserve"> food supply chain resilience</w:t>
      </w:r>
    </w:p>
    <w:p w14:paraId="620A5006" w14:textId="723A3170" w:rsidR="00297091" w:rsidRPr="002F383C" w:rsidRDefault="00666785" w:rsidP="00D23C43">
      <w:pPr>
        <w:spacing w:before="240" w:after="240"/>
        <w:rPr>
          <w:rFonts w:cs="Times New Roman"/>
        </w:rPr>
      </w:pPr>
      <w:r w:rsidRPr="002F383C">
        <w:rPr>
          <w:rFonts w:cs="Times New Roman"/>
        </w:rPr>
        <w:t xml:space="preserve">Innovation offers a valuable source of resilience enhancement since food companies must alter their strategies and systems when the disruption patterns evolve. In that respect, Joshi, et al., (2023) discovered that business strategy innovation was especially valuable to enhance supply chain resilience, whereas technological innovation helped firms to effectively respond to disruptions in the supply chain. This illustrates that resilience was regarded as being more crucial than the technology, yet both were taken into consideration as a result of strategic changes. </w:t>
      </w:r>
      <w:r w:rsidR="00A63CE8" w:rsidRPr="002F383C">
        <w:rPr>
          <w:rFonts w:cs="Times New Roman"/>
        </w:rPr>
        <w:t>In the similar manner</w:t>
      </w:r>
      <w:r w:rsidRPr="002F383C">
        <w:rPr>
          <w:rFonts w:cs="Times New Roman"/>
        </w:rPr>
        <w:t>, Ul Haq, et al., (2022) observed that early warning, innovation and new production technologies can be enhanced by using production data analytics, consumer data analytics and technologies</w:t>
      </w:r>
      <w:r w:rsidR="00297091" w:rsidRPr="002F383C">
        <w:rPr>
          <w:rFonts w:cs="Times New Roman"/>
        </w:rPr>
        <w:t>.</w:t>
      </w:r>
      <w:r w:rsidRPr="002F383C">
        <w:rPr>
          <w:rFonts w:cs="Times New Roman"/>
        </w:rPr>
        <w:t xml:space="preserve"> In addition, the report by KPMG, (2025), also supports the idea of technological development, with 88% of surveyed respondents considering the introduction of generative artificial intelligence to enhance production systems and supply chains as a significant measure. The results suggest that technology has the potential to promote resilience, although this value is related to the successful use in broader business plans.</w:t>
      </w:r>
    </w:p>
    <w:p w14:paraId="4DB9E5A6" w14:textId="4408F998" w:rsidR="00255462" w:rsidRPr="002F383C" w:rsidRDefault="00666785" w:rsidP="00D23C43">
      <w:pPr>
        <w:spacing w:before="240" w:after="240"/>
        <w:rPr>
          <w:rFonts w:cs="Times New Roman"/>
        </w:rPr>
      </w:pPr>
      <w:r w:rsidRPr="002F383C">
        <w:rPr>
          <w:rFonts w:cs="Times New Roman"/>
        </w:rPr>
        <w:t>Adaptation also involves practical preparation of disruption, as opposed to solely relying on technology. According to Boyacı Günduz, et al., (2021), contingency plans and mitigation strategies enable food systems to respond swiftly and adapt to significant disruptions. Their results indicate that the COVID 19 pandemic caused food shortages, price peaks and food loss which revealed vulnerabilities in food supply systems.</w:t>
      </w:r>
      <w:r w:rsidR="002628FC" w:rsidRPr="002F383C">
        <w:rPr>
          <w:rFonts w:cs="Times New Roman"/>
        </w:rPr>
        <w:t xml:space="preserve"> The study also</w:t>
      </w:r>
      <w:r w:rsidRPr="002F383C">
        <w:rPr>
          <w:rFonts w:cs="Times New Roman"/>
        </w:rPr>
        <w:t xml:space="preserve"> </w:t>
      </w:r>
      <w:r w:rsidR="002628FC" w:rsidRPr="002F383C">
        <w:rPr>
          <w:rFonts w:cs="Times New Roman"/>
        </w:rPr>
        <w:t xml:space="preserve">indicate that rapid responses and adaptation are important when normal food supply arrangements are disrupted. </w:t>
      </w:r>
      <w:r w:rsidRPr="002F383C">
        <w:rPr>
          <w:rFonts w:cs="Times New Roman"/>
        </w:rPr>
        <w:t>This demonstrates that businesses need to prepare for unexpected events before they occur rather than simply responding after disruption has already affected operations. Similarly, Galanakis, et al., (2021)</w:t>
      </w:r>
      <w:r w:rsidR="00A63CE8" w:rsidRPr="002F383C">
        <w:rPr>
          <w:rFonts w:cs="Times New Roman"/>
        </w:rPr>
        <w:t>,</w:t>
      </w:r>
      <w:r w:rsidRPr="002F383C">
        <w:rPr>
          <w:rFonts w:cs="Times New Roman"/>
        </w:rPr>
        <w:t xml:space="preserve"> recognise ICT, blockchain, Industry 4.0, artificial intelligence and automation as useful technology that can be employed to ensure food systems align with shifting conditions. These technologies can contribute to building more resilient food supply chains, making them more responsive to challenges in the future.</w:t>
      </w:r>
    </w:p>
    <w:p w14:paraId="22C0C16F" w14:textId="3BAF72C7" w:rsidR="002B0CC7" w:rsidRPr="002F383C" w:rsidRDefault="00666785" w:rsidP="00D23C43">
      <w:pPr>
        <w:spacing w:before="240" w:after="240"/>
        <w:rPr>
          <w:rFonts w:cs="Times New Roman"/>
        </w:rPr>
      </w:pPr>
      <w:r w:rsidRPr="002F383C">
        <w:rPr>
          <w:rFonts w:cs="Times New Roman"/>
        </w:rPr>
        <w:t xml:space="preserve"> In support of this, Ul Haq, et al., (2022) identify preparation, response, recovery and adaptation as important stages in strengthening food supply chain resilience. </w:t>
      </w:r>
      <w:r w:rsidR="00255462" w:rsidRPr="002F383C">
        <w:rPr>
          <w:rFonts w:cs="Times New Roman"/>
        </w:rPr>
        <w:t>However</w:t>
      </w:r>
      <w:r w:rsidRPr="002F383C">
        <w:rPr>
          <w:rFonts w:cs="Times New Roman"/>
        </w:rPr>
        <w:t xml:space="preserve">, the result shows that technology is not capable of ensuring resilience as businesses need to be prepared well and be able to change their operations. </w:t>
      </w:r>
      <w:r w:rsidR="00255462" w:rsidRPr="002F383C">
        <w:rPr>
          <w:rFonts w:cs="Times New Roman"/>
        </w:rPr>
        <w:t>Thus</w:t>
      </w:r>
      <w:r w:rsidRPr="002F383C">
        <w:rPr>
          <w:rFonts w:cs="Times New Roman"/>
        </w:rPr>
        <w:t xml:space="preserve">, </w:t>
      </w:r>
      <w:r w:rsidR="002628FC" w:rsidRPr="002F383C">
        <w:rPr>
          <w:rFonts w:cs="Times New Roman"/>
        </w:rPr>
        <w:t>long-term</w:t>
      </w:r>
      <w:r w:rsidRPr="002F383C">
        <w:rPr>
          <w:rFonts w:cs="Times New Roman"/>
        </w:rPr>
        <w:t xml:space="preserve"> resilience lies in aligning the technological innovation and contingency planning, practical preparation and ongoing adjustment to shifting conditions in the supply chain</w:t>
      </w:r>
      <w:r w:rsidR="00297091" w:rsidRPr="002F383C">
        <w:rPr>
          <w:rFonts w:cs="Times New Roman"/>
        </w:rPr>
        <w:t>.</w:t>
      </w:r>
    </w:p>
    <w:p w14:paraId="7BE32EEA" w14:textId="6C1BCEBE" w:rsidR="00075A9D" w:rsidRPr="002F383C" w:rsidRDefault="00075A9D" w:rsidP="00075A9D">
      <w:pPr>
        <w:pStyle w:val="Heading2"/>
      </w:pPr>
      <w:bookmarkStart w:id="83" w:name="_Toc241252042"/>
      <w:r w:rsidRPr="002F383C">
        <w:t>4.5 Summary of Key Findings</w:t>
      </w:r>
      <w:bookmarkEnd w:id="83"/>
    </w:p>
    <w:p w14:paraId="54D308CB" w14:textId="15D7B761" w:rsidR="00075A9D" w:rsidRPr="002F383C" w:rsidRDefault="00075A9D" w:rsidP="00075A9D">
      <w:pPr>
        <w:spacing w:before="240" w:after="240"/>
        <w:rPr>
          <w:rFonts w:cs="Times New Roman"/>
        </w:rPr>
      </w:pPr>
      <w:r w:rsidRPr="002F383C">
        <w:rPr>
          <w:rFonts w:cs="Times New Roman"/>
        </w:rPr>
        <w:t>On the whole, the five themes indicate that supply chain resilience facilitates the global growth of UK food manufacturing firms based on a number of interlinked capabilities. The results find supplier diversification, flexibility, collaboration, visibility and adaptability to be of significant importance when addressing disruptions and ensuring continuity in supply. The evidence also demonstrates that resilience contributes to international expansion decision making, in terms of market selection, market entry and supply chain design. In addition, innovation, contingency planning and consistent change bring about greater resilience within shifting supply circumstances. Collectively, the results suggest that resilient supply chains can expose UK food manufacturers to international uncertainty and contribute to more stable and sustainable expansion to the international markets..</w:t>
      </w:r>
    </w:p>
    <w:p w14:paraId="06392392" w14:textId="59165481" w:rsidR="00573260" w:rsidRPr="002F383C" w:rsidRDefault="00573260" w:rsidP="00D23C43">
      <w:pPr>
        <w:spacing w:before="240" w:after="240"/>
        <w:rPr>
          <w:rFonts w:cs="Times New Roman"/>
        </w:rPr>
      </w:pPr>
      <w:r w:rsidRPr="002F383C">
        <w:rPr>
          <w:rFonts w:cs="Times New Roman"/>
        </w:rPr>
        <w:br w:type="page"/>
      </w:r>
    </w:p>
    <w:p w14:paraId="41C1C0BC" w14:textId="77777777" w:rsidR="00661CC8" w:rsidRPr="002F383C" w:rsidRDefault="00661CC8" w:rsidP="00661CC8">
      <w:pPr>
        <w:pStyle w:val="Heading1"/>
        <w:rPr>
          <w:lang w:val="en-US"/>
        </w:rPr>
      </w:pPr>
      <w:bookmarkStart w:id="84" w:name="_Toc241252043"/>
      <w:r w:rsidRPr="002F383C">
        <w:rPr>
          <w:lang w:val="en-US"/>
        </w:rPr>
        <w:t>Chapter 5: Discussion</w:t>
      </w:r>
      <w:bookmarkEnd w:id="84"/>
    </w:p>
    <w:p w14:paraId="6D63D2E8" w14:textId="4CADC740" w:rsidR="00573260" w:rsidRPr="002F383C" w:rsidRDefault="00573260" w:rsidP="00D23C43">
      <w:pPr>
        <w:pStyle w:val="Heading2"/>
        <w:spacing w:before="240" w:after="240"/>
        <w:rPr>
          <w:rFonts w:cs="Times New Roman"/>
          <w:szCs w:val="24"/>
          <w:lang w:val="en-US"/>
        </w:rPr>
      </w:pPr>
      <w:bookmarkStart w:id="85" w:name="_Toc241252044"/>
      <w:r w:rsidRPr="002F383C">
        <w:rPr>
          <w:rFonts w:cs="Times New Roman"/>
          <w:szCs w:val="24"/>
          <w:lang w:val="en-US"/>
        </w:rPr>
        <w:t>5.1 Introduction</w:t>
      </w:r>
      <w:bookmarkEnd w:id="85"/>
    </w:p>
    <w:p w14:paraId="299EF948" w14:textId="4B54A306" w:rsidR="00573260" w:rsidRPr="002F383C" w:rsidRDefault="00573260" w:rsidP="00D23C43">
      <w:pPr>
        <w:spacing w:before="240" w:after="240"/>
        <w:rPr>
          <w:rFonts w:cs="Times New Roman"/>
          <w:lang w:val="en-US"/>
        </w:rPr>
      </w:pPr>
      <w:r w:rsidRPr="002F383C">
        <w:rPr>
          <w:rFonts w:cs="Times New Roman"/>
          <w:lang w:val="en-US"/>
        </w:rPr>
        <w:t>This chapter presents</w:t>
      </w:r>
      <w:r w:rsidR="008717F7">
        <w:rPr>
          <w:rFonts w:cs="Times New Roman"/>
          <w:lang w:val="en-US"/>
        </w:rPr>
        <w:t xml:space="preserve"> the discussion of</w:t>
      </w:r>
      <w:r w:rsidRPr="002F383C">
        <w:rPr>
          <w:rFonts w:cs="Times New Roman"/>
          <w:lang w:val="en-US"/>
        </w:rPr>
        <w:t xml:space="preserve"> finding</w:t>
      </w:r>
      <w:r w:rsidR="008717F7">
        <w:rPr>
          <w:rFonts w:cs="Times New Roman"/>
          <w:lang w:val="en-US"/>
        </w:rPr>
        <w:t>s</w:t>
      </w:r>
      <w:r w:rsidRPr="002F383C">
        <w:rPr>
          <w:rFonts w:cs="Times New Roman"/>
          <w:lang w:val="en-US"/>
        </w:rPr>
        <w:t xml:space="preserve"> in the context of research objectives and available</w:t>
      </w:r>
      <w:r w:rsidR="008717F7">
        <w:rPr>
          <w:rFonts w:cs="Times New Roman"/>
          <w:lang w:val="en-US"/>
        </w:rPr>
        <w:t xml:space="preserve"> </w:t>
      </w:r>
      <w:r w:rsidR="008717F7" w:rsidRPr="002F383C">
        <w:rPr>
          <w:rFonts w:cs="Times New Roman"/>
          <w:lang w:val="en-US"/>
        </w:rPr>
        <w:t>literature</w:t>
      </w:r>
      <w:r w:rsidRPr="002F383C">
        <w:rPr>
          <w:rFonts w:cs="Times New Roman"/>
          <w:lang w:val="en-US"/>
        </w:rPr>
        <w:t xml:space="preserve">. It presents the role of supply chain resilience to international expansion decisions within the UK food industry. The theoretical meaning of the findings, contribution to </w:t>
      </w:r>
      <w:r w:rsidR="00C96374" w:rsidRPr="002F383C">
        <w:rPr>
          <w:rFonts w:cs="Times New Roman"/>
          <w:lang w:val="en-US"/>
        </w:rPr>
        <w:t xml:space="preserve">the research gap </w:t>
      </w:r>
      <w:r w:rsidRPr="002F383C">
        <w:rPr>
          <w:rFonts w:cs="Times New Roman"/>
          <w:lang w:val="en-US"/>
        </w:rPr>
        <w:t>and the practical meaning of the findings are also taken into account in the chapter.</w:t>
      </w:r>
    </w:p>
    <w:p w14:paraId="52CE0151" w14:textId="77777777" w:rsidR="00573260" w:rsidRPr="002F383C" w:rsidRDefault="00573260" w:rsidP="00D23C43">
      <w:pPr>
        <w:pStyle w:val="Heading2"/>
        <w:spacing w:before="240" w:after="240"/>
        <w:rPr>
          <w:rFonts w:cs="Times New Roman"/>
          <w:szCs w:val="24"/>
          <w:lang w:val="en-US"/>
        </w:rPr>
      </w:pPr>
      <w:bookmarkStart w:id="86" w:name="_Toc241252045"/>
      <w:r w:rsidRPr="002F383C">
        <w:rPr>
          <w:rFonts w:cs="Times New Roman"/>
          <w:szCs w:val="24"/>
          <w:lang w:val="en-US"/>
        </w:rPr>
        <w:t>5.2 Discussion</w:t>
      </w:r>
      <w:bookmarkEnd w:id="86"/>
    </w:p>
    <w:p w14:paraId="4415692D" w14:textId="77777777" w:rsidR="00573260" w:rsidRPr="002F383C" w:rsidRDefault="00573260" w:rsidP="00D23C43">
      <w:pPr>
        <w:spacing w:before="240" w:after="240"/>
        <w:rPr>
          <w:rFonts w:cs="Times New Roman"/>
          <w:lang w:val="en-US"/>
        </w:rPr>
      </w:pPr>
      <w:r w:rsidRPr="002F383C">
        <w:rPr>
          <w:rFonts w:cs="Times New Roman"/>
          <w:lang w:val="en-US"/>
        </w:rPr>
        <w:t>This study aimed to critically evaluate the role of supply chain resilience in supporting the international expansion of UK food manufacturing companies. It discussed the definition of resilience, the abilities that have been employed to deal with disruption, the role it has played in international expansion decisions and the tactics that may help facilitate sustainable international growth. The results came up with five themes that were resilience during disruption, diversification and flexibility, collaboration and visibility, international expansion decisions and innovation and adaptation.</w:t>
      </w:r>
    </w:p>
    <w:p w14:paraId="0470BAA5" w14:textId="6FCF9CE4" w:rsidR="00573260" w:rsidRPr="002F383C" w:rsidRDefault="00573260" w:rsidP="00D23C43">
      <w:pPr>
        <w:spacing w:before="240" w:after="240"/>
        <w:rPr>
          <w:rFonts w:cs="Times New Roman"/>
          <w:lang w:val="en-US"/>
        </w:rPr>
      </w:pPr>
      <w:r w:rsidRPr="002F383C">
        <w:rPr>
          <w:rFonts w:cs="Times New Roman"/>
          <w:lang w:val="en-US"/>
        </w:rPr>
        <w:t xml:space="preserve">The research findings suggest that resiliency of supply chains can assist food manufacturers to sustain key operations in the face of external shocks internationally. Resilience aids in training, reaction, adaptation and </w:t>
      </w:r>
      <w:r w:rsidR="000A1732" w:rsidRPr="002F383C">
        <w:rPr>
          <w:rFonts w:cs="Times New Roman"/>
          <w:lang w:val="en-US"/>
        </w:rPr>
        <w:t>recovery</w:t>
      </w:r>
      <w:r w:rsidRPr="002F383C">
        <w:rPr>
          <w:rFonts w:cs="Times New Roman"/>
          <w:lang w:val="en-US"/>
        </w:rPr>
        <w:t xml:space="preserve"> in times where firms are faced with scarcity, transportation setbacks and fluctuating trade conditions. This is especially significant in food production since most of their products have a shorter shelf life and require timely transportation. </w:t>
      </w:r>
      <w:r w:rsidR="000A1732">
        <w:rPr>
          <w:rFonts w:cs="Times New Roman"/>
          <w:lang w:val="en-US"/>
        </w:rPr>
        <w:t xml:space="preserve">Similarly, </w:t>
      </w:r>
      <w:r w:rsidRPr="002F383C">
        <w:rPr>
          <w:rFonts w:cs="Times New Roman"/>
          <w:lang w:val="en-US"/>
        </w:rPr>
        <w:t>Garrido-Moreno, et al., (2024) explained that resilience requires firms to prepare for disruption as well as respond to it, while Iftikhar, et al., (2025) highlighted the complex and changing nature of supply chain uncertainty. Dynamic Capabilities Theory explains this finding because firms need to sense changes, seize suitable responses and reconfigure resources and processes to maintain operations (Qiu, et al., 2022). Thus, resilience is an organisational capacity that requires continuous investment as opposed to just a recovery process.</w:t>
      </w:r>
    </w:p>
    <w:p w14:paraId="73B4F081" w14:textId="74EEE842" w:rsidR="00573260" w:rsidRPr="002F383C" w:rsidRDefault="00573260" w:rsidP="00D23C43">
      <w:pPr>
        <w:spacing w:before="240" w:after="240"/>
        <w:rPr>
          <w:rFonts w:cs="Times New Roman"/>
          <w:lang w:val="en-US"/>
        </w:rPr>
      </w:pPr>
      <w:r w:rsidRPr="002F383C">
        <w:rPr>
          <w:rFonts w:cs="Times New Roman"/>
          <w:lang w:val="en-US"/>
        </w:rPr>
        <w:t>The results also reveal that diversification and flexibility reinforce the resilience in disruption times. Alternatives sources, sourcing geographies, transport networks and manufacturing options can create less reliance on a single source and offer companies more choices. Nonetheless, diversification can also cause them to demand more coordination and higher operating expenses</w:t>
      </w:r>
      <w:r w:rsidR="00FD1719">
        <w:rPr>
          <w:rFonts w:cs="Times New Roman"/>
          <w:lang w:val="en-US"/>
        </w:rPr>
        <w:t>. F</w:t>
      </w:r>
      <w:r w:rsidR="000A1732">
        <w:rPr>
          <w:rFonts w:cs="Times New Roman"/>
          <w:lang w:val="en-US"/>
        </w:rPr>
        <w:t>or example</w:t>
      </w:r>
      <w:r w:rsidR="00FD1719">
        <w:rPr>
          <w:rFonts w:cs="Times New Roman"/>
          <w:lang w:val="en-US"/>
        </w:rPr>
        <w:t xml:space="preserve">, </w:t>
      </w:r>
      <w:r w:rsidRPr="002F383C">
        <w:rPr>
          <w:rFonts w:cs="Times New Roman"/>
          <w:lang w:val="en-US"/>
        </w:rPr>
        <w:t xml:space="preserve">firms have to trade off resilience and efficiency. Such interpretation is confirmed by the </w:t>
      </w:r>
      <w:r w:rsidR="000A1732">
        <w:rPr>
          <w:rFonts w:cs="Times New Roman"/>
          <w:lang w:val="en-US"/>
        </w:rPr>
        <w:t>l</w:t>
      </w:r>
      <w:r w:rsidRPr="002F383C">
        <w:rPr>
          <w:rFonts w:cs="Times New Roman"/>
          <w:lang w:val="en-US"/>
        </w:rPr>
        <w:t xml:space="preserve">iterature </w:t>
      </w:r>
      <w:r w:rsidR="000A1732">
        <w:rPr>
          <w:rFonts w:cs="Times New Roman"/>
          <w:lang w:val="en-US"/>
        </w:rPr>
        <w:t>r</w:t>
      </w:r>
      <w:r w:rsidRPr="002F383C">
        <w:rPr>
          <w:rFonts w:cs="Times New Roman"/>
          <w:lang w:val="en-US"/>
        </w:rPr>
        <w:t>eview in which Mamun, (2026) mentioned the significance of arrangements with suppliers in resilience, and Li, et al., (2025) clarified that adaptive supply chains and digitalisation can assist companies adapt their sourcing strategies. Diversification and flexibility may be perceived through the Dynamic Capabilities Theory which implies the re-setting of the resources and processes in relation to the changes in the environment (Qiu, et al., 2022). These functionalities can assist the UK food producers to minimise the supply disruptions and ensure that the product includes when Europeans enter the market.</w:t>
      </w:r>
    </w:p>
    <w:p w14:paraId="7F7B7746" w14:textId="4C4C982C" w:rsidR="00573260" w:rsidRPr="002F383C" w:rsidRDefault="00573260" w:rsidP="00D23C43">
      <w:pPr>
        <w:spacing w:before="240" w:after="240"/>
        <w:rPr>
          <w:rFonts w:cs="Times New Roman"/>
          <w:lang w:val="en-US"/>
        </w:rPr>
      </w:pPr>
      <w:r w:rsidRPr="002F383C">
        <w:rPr>
          <w:rFonts w:cs="Times New Roman"/>
          <w:lang w:val="en-US"/>
        </w:rPr>
        <w:t xml:space="preserve">Another result is that collaboration, visibility and information sharing enhances coordinated response to disruption. Interaction with suppliers, logistics providers and other partners can assist firms in detecting risks earlier and take decisions faster. Product tracking visibility can also aid in supply chain forecasting as well as monitoring the conditions of the supply chain. Similar evidence is presented in the Literature Review as Zhang and Yi, (2026) found cooperation to be relevant in order to organise the response and build resilient manufacturing relationships. Taherdoost, (2021) further elaborated that information timeliness assists organisations to be aware of the threats before they turn into severe issues. </w:t>
      </w:r>
      <w:r w:rsidR="00466023" w:rsidRPr="00466023">
        <w:rPr>
          <w:highlight w:val="yellow"/>
        </w:rPr>
        <w:t>These findings provide support for the sensing and reconfiguring dimensions of Dynamic Capabilities Theory because visibility and information sharing can help organisations identify changing conditions, while collaboration can facilitate coordinated responses and resource adjustments (Jin et al., 2024). However, the findings should not be interpreted as a direct empirical test of the theory. The secondary evidence demonstrates that these capabilities are associated with resilience</w:t>
      </w:r>
      <w:r w:rsidR="00466023">
        <w:t xml:space="preserve"> practices, but it does not establish that firms consciously undertake sensing, seizing and reconfiguring processes in the way specified by the theory. The findings provide contextual support for Dynamic Capabilities Theory rather than confirming it. They also suggest a possible extension in application</w:t>
      </w:r>
      <w:r w:rsidR="00A52883">
        <w:t>,</w:t>
      </w:r>
      <w:r w:rsidR="00466023">
        <w:t xml:space="preserve"> dynamic capabilities can be considered not only in relation to disruption response but also in relation to the conditions surrounding international expansion. Nevertheless, further firm-level research would be required to establish whether these capabilities actually influence international expansion decisions.</w:t>
      </w:r>
    </w:p>
    <w:p w14:paraId="62352547" w14:textId="1F2D2AAF" w:rsidR="00466023" w:rsidRPr="00466023" w:rsidRDefault="00466023" w:rsidP="00466023">
      <w:pPr>
        <w:spacing w:before="240" w:after="240"/>
        <w:rPr>
          <w:rFonts w:cs="Times New Roman"/>
          <w:lang w:val="en-US"/>
        </w:rPr>
      </w:pPr>
      <w:r w:rsidRPr="00466023">
        <w:rPr>
          <w:rFonts w:cs="Times New Roman"/>
          <w:highlight w:val="yellow"/>
          <w:lang w:val="en-US"/>
        </w:rPr>
        <w:t>The findings suggest that supply chain resilience is relevant to the conditions surrounding international expansion decisions, particularly in relation to market access, transport connectivity</w:t>
      </w:r>
      <w:r w:rsidRPr="00466023">
        <w:rPr>
          <w:rFonts w:cs="Times New Roman"/>
          <w:lang w:val="en-US"/>
        </w:rPr>
        <w:t xml:space="preserve">, sourcing reliability and supply network configuration. However, the evidence does not directly observe individual UK food manufacturing firms selecting a particular market or choosing an entry mode specifically because of their resilience capabilities. The evidence analysed in </w:t>
      </w:r>
      <w:r>
        <w:rPr>
          <w:rFonts w:cs="Times New Roman"/>
          <w:lang w:val="en-US"/>
        </w:rPr>
        <w:t>findings</w:t>
      </w:r>
      <w:r w:rsidRPr="00466023">
        <w:rPr>
          <w:rFonts w:cs="Times New Roman"/>
          <w:lang w:val="en-US"/>
        </w:rPr>
        <w:t xml:space="preserve"> demonstrates that international market access and supply continuity are affected by factors such as transport networks, import concentration, trade conditions and the reliability of supply routes. Therefore, the relationship between resilience and market selection or entry should be interpreted as an informed inference rather than as direct evidence of managerial decision-making. Resilience capabilities may provide firms with greater options for managing uncertainty, but the present evidence cannot establish that these capabilities independently determine which markets firms select or how they enter them.</w:t>
      </w:r>
    </w:p>
    <w:p w14:paraId="5DC2F3C6" w14:textId="38CD2DBF" w:rsidR="00466023" w:rsidRPr="00466023" w:rsidRDefault="00466023" w:rsidP="00D23C43">
      <w:pPr>
        <w:spacing w:before="240" w:after="240"/>
        <w:rPr>
          <w:rFonts w:cs="Times New Roman"/>
          <w:lang w:val="en-US"/>
        </w:rPr>
      </w:pPr>
      <w:r w:rsidRPr="00466023">
        <w:rPr>
          <w:rFonts w:cs="Times New Roman"/>
          <w:lang w:val="en-US"/>
        </w:rPr>
        <w:t xml:space="preserve">This provides partial </w:t>
      </w:r>
      <w:r w:rsidRPr="00466023">
        <w:rPr>
          <w:rFonts w:cs="Times New Roman"/>
          <w:highlight w:val="yellow"/>
          <w:lang w:val="en-US"/>
        </w:rPr>
        <w:t>support for the Uppsala Internationalisation Model. The model emphasises the role of knowledge and experience in reducing uncertainty during internationalisation (Schweizer and Vahlne, 2022). The findings are consistent with this logic because visibility, information sharing and experience with international supply conditions may help firms understand and manage uncertainty</w:t>
      </w:r>
      <w:r w:rsidRPr="00466023">
        <w:rPr>
          <w:rFonts w:cs="Times New Roman"/>
          <w:lang w:val="en-US"/>
        </w:rPr>
        <w:t xml:space="preserve">. However, the analysed evidence does not directly demonstrate a gradual sequence in which firms acquire knowledge, increase commitment and subsequently enter particular markets. Therefore </w:t>
      </w:r>
      <w:r>
        <w:rPr>
          <w:rFonts w:cs="Times New Roman"/>
          <w:lang w:val="en-US"/>
        </w:rPr>
        <w:t>t</w:t>
      </w:r>
      <w:r w:rsidRPr="00466023">
        <w:rPr>
          <w:rFonts w:cs="Times New Roman"/>
          <w:lang w:val="en-US"/>
        </w:rPr>
        <w:t>he findings support the uncertainty-management aspect of the Uppsala perspective, but they do not provide sufficient evidence to confirm the model as a direct explanation of market-selection or market-entry decisions. Instead, the findings suggest that supply chain resilience can be considered a complementary operational capability within the wider internationalisation process.</w:t>
      </w:r>
    </w:p>
    <w:p w14:paraId="79235848" w14:textId="62A48D05" w:rsidR="00573260" w:rsidRPr="002F383C" w:rsidRDefault="00573260" w:rsidP="00D23C43">
      <w:pPr>
        <w:spacing w:before="240" w:after="240"/>
        <w:rPr>
          <w:rFonts w:cs="Times New Roman"/>
          <w:lang w:val="en-US"/>
        </w:rPr>
      </w:pPr>
      <w:r w:rsidRPr="002F383C">
        <w:rPr>
          <w:rFonts w:cs="Times New Roman"/>
          <w:lang w:val="en-US"/>
        </w:rPr>
        <w:t>The ultimate result indicates that innovation and adaptive strategies are significant in long-term sustainability and sustainable international operations. A set of digital technologies, contingency planning, better forecasting and flexible processes can assist companies in recognising risks and responding to the changing circumstances. The same benefits were found in the Literature Review. Ardolino, et al., (2025) explained how digital skills help supply chain in manufacturing to be supported at the time of disruption. Continuous risk assessment and the means of changing resources and processes were also highlighted by Dukhaykh and Alangri, (2026). The results are supported by the Dynamic Capabilities Theory since resilience demands that firms continuously renew their capabilities, and the Uppsala Model emphasises learning and experience in the context of international development (Qiu, et al., 2022; Schweizer and Vahlne, 2022). Therefore, innovation can increase the operational resilience and future international growth.</w:t>
      </w:r>
    </w:p>
    <w:p w14:paraId="5BFEC162" w14:textId="6A8F5B72" w:rsidR="00573260" w:rsidRPr="002F383C" w:rsidRDefault="00573260" w:rsidP="00D23C43">
      <w:pPr>
        <w:spacing w:before="240" w:after="240"/>
        <w:rPr>
          <w:rFonts w:cs="Times New Roman"/>
        </w:rPr>
      </w:pPr>
      <w:r w:rsidRPr="002F383C">
        <w:rPr>
          <w:rFonts w:cs="Times New Roman"/>
          <w:lang w:val="en-US"/>
        </w:rPr>
        <w:t xml:space="preserve">In general, this question of research is answered because it demonstrates that the supply chain resilience facilitates international expansion based on preparation, diversification, flexibility, collaboration, visibility, innovation and adaptation. The capabilities may assist companies to deal with disruption, choosing the appropriate markets, making entry choices and forming international supply networks. </w:t>
      </w:r>
      <w:r w:rsidR="00A52883" w:rsidRPr="00A52883">
        <w:rPr>
          <w:highlight w:val="yellow"/>
        </w:rPr>
        <w:t>The research addresses part of the identified research gap by bringing together evidence on resilience capabilities and international expansion within the UK food manufacturing context.</w:t>
      </w:r>
      <w:r w:rsidR="00A52883">
        <w:t xml:space="preserve"> </w:t>
      </w:r>
      <w:r w:rsidRPr="002F383C">
        <w:rPr>
          <w:rFonts w:cs="Times New Roman"/>
          <w:lang w:val="en-US"/>
        </w:rPr>
        <w:t>It introduces resilience as a periodic requirement and as a strategic approach to expansion of an enterprise internationally. The research gap identified concerning the limited understanding of how collaboration, supplier diversification, flexibility, visibility and adaptability work together to support international expansion within UK food manufacturing. The results fill this gap by uniting these capabilities under a single discussion of resilience and international growth.</w:t>
      </w:r>
    </w:p>
    <w:p w14:paraId="0579A814" w14:textId="421B5402" w:rsidR="00D23C43" w:rsidRPr="002F383C" w:rsidRDefault="00D23C43">
      <w:pPr>
        <w:rPr>
          <w:rFonts w:eastAsiaTheme="majorEastAsia" w:cs="Times New Roman"/>
          <w:b/>
        </w:rPr>
      </w:pPr>
      <w:bookmarkStart w:id="87" w:name="_Toc237877893"/>
    </w:p>
    <w:p w14:paraId="47904B31" w14:textId="77777777" w:rsidR="00466023" w:rsidRDefault="00466023">
      <w:pPr>
        <w:rPr>
          <w:rFonts w:eastAsiaTheme="majorEastAsia" w:cs="Times New Roman"/>
          <w:b/>
        </w:rPr>
      </w:pPr>
      <w:r>
        <w:rPr>
          <w:rFonts w:cs="Times New Roman"/>
        </w:rPr>
        <w:br w:type="page"/>
      </w:r>
    </w:p>
    <w:p w14:paraId="5DD802FF" w14:textId="3260D320" w:rsidR="002B0341" w:rsidRPr="002F383C" w:rsidRDefault="002B0341" w:rsidP="00D23C43">
      <w:pPr>
        <w:pStyle w:val="Heading1"/>
        <w:spacing w:before="240" w:after="240"/>
        <w:rPr>
          <w:rFonts w:cs="Times New Roman"/>
          <w:szCs w:val="24"/>
        </w:rPr>
      </w:pPr>
      <w:bookmarkStart w:id="88" w:name="_Toc241252046"/>
      <w:r w:rsidRPr="002F383C">
        <w:rPr>
          <w:rFonts w:cs="Times New Roman"/>
          <w:szCs w:val="24"/>
        </w:rPr>
        <w:t>Chapter 6: Conclusion</w:t>
      </w:r>
      <w:bookmarkEnd w:id="88"/>
    </w:p>
    <w:p w14:paraId="42F7EC0B" w14:textId="77777777" w:rsidR="002B0341" w:rsidRPr="002F383C" w:rsidRDefault="002B0341" w:rsidP="00D23C43">
      <w:pPr>
        <w:pStyle w:val="Heading2"/>
        <w:spacing w:before="240" w:after="240"/>
        <w:rPr>
          <w:rFonts w:cs="Times New Roman"/>
          <w:szCs w:val="24"/>
        </w:rPr>
      </w:pPr>
      <w:bookmarkStart w:id="89" w:name="_Toc241252047"/>
      <w:r w:rsidRPr="002F383C">
        <w:rPr>
          <w:rFonts w:cs="Times New Roman"/>
          <w:szCs w:val="24"/>
        </w:rPr>
        <w:t>6.1 Introduction</w:t>
      </w:r>
      <w:bookmarkEnd w:id="89"/>
    </w:p>
    <w:p w14:paraId="3C27420E" w14:textId="77777777" w:rsidR="002B0341" w:rsidRPr="002F383C" w:rsidRDefault="002B0341" w:rsidP="00D23C43">
      <w:pPr>
        <w:spacing w:before="240" w:after="240"/>
        <w:rPr>
          <w:rFonts w:cs="Times New Roman"/>
        </w:rPr>
      </w:pPr>
      <w:r w:rsidRPr="002F383C">
        <w:rPr>
          <w:rFonts w:cs="Times New Roman"/>
        </w:rPr>
        <w:t>This chapter is a conclusion of the research and summarises the key findings relative to the research aim and objectives. It presents the overall conclusion concerning the role of supply chain resilience in supporting the international expansion of UK food manufacturing companies. The chapter also presents practical recommendations on the findings and the theoretical and practical contribution made by the research. Additionally, implications and limitations of the research, future research directions and overall implications and significance of the study are discussed.</w:t>
      </w:r>
    </w:p>
    <w:p w14:paraId="491DE7AE" w14:textId="77777777" w:rsidR="002B0341" w:rsidRPr="002F383C" w:rsidRDefault="002B0341" w:rsidP="00D23C43">
      <w:pPr>
        <w:pStyle w:val="Heading2"/>
        <w:spacing w:before="240" w:after="240"/>
        <w:rPr>
          <w:rFonts w:cs="Times New Roman"/>
          <w:szCs w:val="24"/>
        </w:rPr>
      </w:pPr>
      <w:bookmarkStart w:id="90" w:name="_Toc241252048"/>
      <w:r w:rsidRPr="002F383C">
        <w:rPr>
          <w:rFonts w:cs="Times New Roman"/>
          <w:szCs w:val="24"/>
        </w:rPr>
        <w:t>6.2 Conclusion</w:t>
      </w:r>
      <w:bookmarkEnd w:id="90"/>
    </w:p>
    <w:p w14:paraId="1B4DDAD3" w14:textId="224325E2" w:rsidR="002B0341" w:rsidRPr="002F383C" w:rsidRDefault="002B0341" w:rsidP="00D23C43">
      <w:pPr>
        <w:spacing w:before="240" w:after="240"/>
        <w:rPr>
          <w:rFonts w:cs="Times New Roman"/>
          <w:lang w:val="en-US"/>
        </w:rPr>
      </w:pPr>
      <w:r w:rsidRPr="002F383C">
        <w:rPr>
          <w:rFonts w:cs="Times New Roman"/>
          <w:lang w:val="en-US"/>
        </w:rPr>
        <w:t xml:space="preserve">In regards to the first objective the ability to be resilient within a supply </w:t>
      </w:r>
      <w:r w:rsidRPr="002B43E2">
        <w:rPr>
          <w:rFonts w:cs="Times New Roman"/>
          <w:highlight w:val="yellow"/>
          <w:lang w:val="en-US"/>
        </w:rPr>
        <w:t xml:space="preserve">chain </w:t>
      </w:r>
      <w:r w:rsidR="002B43E2" w:rsidRPr="002B43E2">
        <w:rPr>
          <w:rStyle w:val="Strong"/>
          <w:b w:val="0"/>
          <w:bCs w:val="0"/>
          <w:highlight w:val="yellow"/>
        </w:rPr>
        <w:t xml:space="preserve">appears to be an important capability </w:t>
      </w:r>
      <w:r w:rsidRPr="002B43E2">
        <w:rPr>
          <w:rFonts w:cs="Times New Roman"/>
          <w:highlight w:val="yellow"/>
          <w:lang w:val="en-US"/>
        </w:rPr>
        <w:t>for UK food manufacturing firms wishing to operate and grow in international markets</w:t>
      </w:r>
      <w:r w:rsidRPr="002F383C">
        <w:rPr>
          <w:rFonts w:cs="Times New Roman"/>
          <w:lang w:val="en-US"/>
        </w:rPr>
        <w:t xml:space="preserve">. </w:t>
      </w:r>
      <w:r w:rsidR="002B43E2" w:rsidRPr="002B43E2">
        <w:rPr>
          <w:rFonts w:cs="Times New Roman"/>
          <w:highlight w:val="yellow"/>
          <w:lang w:val="en-US"/>
        </w:rPr>
        <w:t>Disturbances from international factors including the coronavirus outbreak, geopolitical affairs, transportation dependence, and international procurement highlight the importance of resilience in UK food supply chains</w:t>
      </w:r>
      <w:r w:rsidR="002B43E2" w:rsidRPr="002B43E2">
        <w:rPr>
          <w:rFonts w:cs="Times New Roman"/>
          <w:lang w:val="en-US"/>
        </w:rPr>
        <w:t>.</w:t>
      </w:r>
      <w:r w:rsidRPr="002F383C">
        <w:rPr>
          <w:rFonts w:cs="Times New Roman"/>
          <w:lang w:val="en-US"/>
        </w:rPr>
        <w:t>The findings show that resilience is not just about recovery from disruption, but also preparatory and adaptive measures taken to handle it</w:t>
      </w:r>
      <w:r w:rsidR="002B43E2">
        <w:rPr>
          <w:rFonts w:cs="Times New Roman"/>
          <w:lang w:val="en-US"/>
        </w:rPr>
        <w:t xml:space="preserve">. </w:t>
      </w:r>
      <w:r w:rsidRPr="002F383C">
        <w:rPr>
          <w:rFonts w:cs="Times New Roman"/>
          <w:lang w:val="en-US"/>
        </w:rPr>
        <w:t>Resilience thus plays an important role in continuity because it allows companies to cope with disruption and adapt their activities if there is a change in the normal conditions of the supply. However, resilience does not eliminate disruption, but improves the ability of organisations to withstand and respond to its effects.</w:t>
      </w:r>
    </w:p>
    <w:p w14:paraId="14D0979D" w14:textId="785C3BA7" w:rsidR="002B0341" w:rsidRPr="002F383C" w:rsidRDefault="002B0341" w:rsidP="00D23C43">
      <w:pPr>
        <w:spacing w:before="240" w:after="240"/>
        <w:rPr>
          <w:rFonts w:cs="Times New Roman"/>
          <w:lang w:val="en-US"/>
        </w:rPr>
      </w:pPr>
      <w:r w:rsidRPr="002F383C">
        <w:rPr>
          <w:rFonts w:cs="Times New Roman"/>
          <w:lang w:val="en-US"/>
        </w:rPr>
        <w:t xml:space="preserve">Regarding the second objective, the study has confirmed that the important resilience capabilities identified in the study are collaboration, supplier diversification, flexibility, visibility and adaptability. </w:t>
      </w:r>
      <w:r w:rsidR="0088261E" w:rsidRPr="0088261E">
        <w:rPr>
          <w:rFonts w:cs="Times New Roman"/>
          <w:highlight w:val="yellow"/>
          <w:lang w:val="en-US"/>
        </w:rPr>
        <w:t>Supplier diversity, flexibility, collaboration, visibility and adaptability emerged as critical capabilities to address any form of disruption within food supply chains.</w:t>
      </w:r>
      <w:r w:rsidR="0088261E">
        <w:rPr>
          <w:rFonts w:cs="Times New Roman"/>
          <w:lang w:val="en-US"/>
        </w:rPr>
        <w:t xml:space="preserve"> </w:t>
      </w:r>
      <w:r w:rsidRPr="002F383C">
        <w:rPr>
          <w:rFonts w:cs="Times New Roman"/>
          <w:lang w:val="en-US"/>
        </w:rPr>
        <w:t>A supplier diversification decreases the reliance on individual suppliers or geographical areas, and flexibility allows companies to adapt sourcing, manufacturing and logistics. Communication, coordination and knowledge sharing can be achieved through collaboration, and visibility can help firms spot potential risks and shifts in supply conditions. The results suggest that these capabilities are interlinked and that combining all of them together can offer more support in the management of disruption.</w:t>
      </w:r>
    </w:p>
    <w:p w14:paraId="6D3CBE16" w14:textId="77777777" w:rsidR="00A52883" w:rsidRDefault="00A52883" w:rsidP="00D23C43">
      <w:pPr>
        <w:spacing w:before="240" w:after="240"/>
      </w:pPr>
      <w:r w:rsidRPr="00A52883">
        <w:rPr>
          <w:highlight w:val="yellow"/>
        </w:rPr>
        <w:t>Regarding the third objective, the findings indicate that supply chain conditions are relevant to the context in which international expansion decisions are made, particularly in relation to market access</w:t>
      </w:r>
      <w:r>
        <w:t xml:space="preserve">, transport connectivity, sourcing arrangements and supply network reliability. However, the analysed evidence provides limited direct firm-level evidence that UK food manufacturing companies selected particular markets or entry modes specifically because of their resilience capabilities. </w:t>
      </w:r>
      <w:r w:rsidRPr="00A52883">
        <w:rPr>
          <w:highlight w:val="yellow"/>
        </w:rPr>
        <w:t>The evidence instead suggests that resilience-related capabilities may help firms manage the operational uncertainty associated with international expansion. Therefore, resilience should be regarded as a potentially important consideration within market selection, market entry and supply chain configuration, rather than as a factor that can be shown by this study to determine those decisions.</w:t>
      </w:r>
    </w:p>
    <w:p w14:paraId="583B335B" w14:textId="176DE026" w:rsidR="002B0341" w:rsidRPr="002F383C" w:rsidRDefault="002B0341" w:rsidP="00D23C43">
      <w:pPr>
        <w:spacing w:before="240" w:after="240"/>
        <w:rPr>
          <w:rFonts w:cs="Times New Roman"/>
          <w:lang w:val="en-US"/>
        </w:rPr>
      </w:pPr>
      <w:r w:rsidRPr="002F383C">
        <w:rPr>
          <w:rFonts w:cs="Times New Roman"/>
          <w:lang w:val="en-US"/>
        </w:rPr>
        <w:t xml:space="preserve">Regarding the fourth objective, it has been evident that supplier diversification, flexible sourcing and logistics, collaboration, information sharing, digital technologies, contingency planning and innovation can contribute to supply chain resilience. The results have shown that these strategies need to be combined as they may not be effective on their own to prevent disruption. </w:t>
      </w:r>
      <w:r w:rsidR="00FC1800" w:rsidRPr="00336D71">
        <w:rPr>
          <w:rFonts w:cs="Times New Roman"/>
          <w:highlight w:val="yellow"/>
          <w:lang w:val="en-US"/>
        </w:rPr>
        <w:t>According to the results, geographical diversification helps minimi</w:t>
      </w:r>
      <w:r w:rsidR="00232B71" w:rsidRPr="00336D71">
        <w:rPr>
          <w:rFonts w:cs="Times New Roman"/>
          <w:highlight w:val="yellow"/>
          <w:lang w:val="en-US"/>
        </w:rPr>
        <w:t>s</w:t>
      </w:r>
      <w:r w:rsidR="00FC1800" w:rsidRPr="00336D71">
        <w:rPr>
          <w:rFonts w:cs="Times New Roman"/>
          <w:highlight w:val="yellow"/>
          <w:lang w:val="en-US"/>
        </w:rPr>
        <w:t>e the risks of concentration, while having several sources of supply</w:t>
      </w:r>
      <w:r w:rsidR="00355D12">
        <w:rPr>
          <w:rFonts w:cs="Times New Roman"/>
          <w:highlight w:val="yellow"/>
          <w:lang w:val="en-US"/>
        </w:rPr>
        <w:t xml:space="preserve"> </w:t>
      </w:r>
      <w:r w:rsidR="00FC1800" w:rsidRPr="00336D71">
        <w:rPr>
          <w:rFonts w:cs="Times New Roman"/>
          <w:highlight w:val="yellow"/>
          <w:lang w:val="en-US"/>
        </w:rPr>
        <w:t>provides an alternative when certain suppliers or regions are disrupted.</w:t>
      </w:r>
      <w:r w:rsidR="00FC1800">
        <w:rPr>
          <w:rFonts w:cs="Times New Roman"/>
          <w:lang w:val="en-US"/>
        </w:rPr>
        <w:t xml:space="preserve"> </w:t>
      </w:r>
      <w:r w:rsidRPr="002F383C">
        <w:rPr>
          <w:rFonts w:cs="Times New Roman"/>
          <w:lang w:val="en-US"/>
        </w:rPr>
        <w:t>The use of technology can enhance visibility, traceability, and information, but technology alone cannot provide resiliency. Organi</w:t>
      </w:r>
      <w:r w:rsidR="0084583A" w:rsidRPr="002F383C">
        <w:rPr>
          <w:rFonts w:cs="Times New Roman"/>
          <w:lang w:val="en-US"/>
        </w:rPr>
        <w:t>s</w:t>
      </w:r>
      <w:r w:rsidRPr="002F383C">
        <w:rPr>
          <w:rFonts w:cs="Times New Roman"/>
          <w:lang w:val="en-US"/>
        </w:rPr>
        <w:t>ations will need to be prepared and able to respond to risks that have been recognised. Meanwhile, there is a need for greater resources and coordination for resilience strategies, and a balance between resilience and cost and operational efficiency.</w:t>
      </w:r>
    </w:p>
    <w:p w14:paraId="722E0CF6" w14:textId="0393C290" w:rsidR="002B0341" w:rsidRPr="002F383C" w:rsidRDefault="002B0341" w:rsidP="00D23C43">
      <w:pPr>
        <w:spacing w:before="240" w:after="240"/>
        <w:rPr>
          <w:rFonts w:cs="Times New Roman"/>
          <w:lang w:val="en-US"/>
        </w:rPr>
      </w:pPr>
      <w:r w:rsidRPr="002F383C">
        <w:rPr>
          <w:rFonts w:cs="Times New Roman"/>
          <w:lang w:val="en-US"/>
        </w:rPr>
        <w:t>Considering the fifth objective, it has been confirmed that there is a need for an integrated, ongoing strategy to strengthen resilience. Companies need to integrate diversification, flexibility, visibility, cooperation and adaptability into their broader international expansion plan.</w:t>
      </w:r>
      <w:r w:rsidR="007553BB" w:rsidRPr="007553BB">
        <w:t xml:space="preserve"> </w:t>
      </w:r>
      <w:r w:rsidR="007553BB" w:rsidRPr="00BF7989">
        <w:rPr>
          <w:rFonts w:cs="Times New Roman"/>
          <w:highlight w:val="yellow"/>
          <w:lang w:val="en-US"/>
        </w:rPr>
        <w:t>Innovation and adaptation have been found to enhance resilience in the long term, but technology itself is not enough, since companies need contingency plans and risk management as well.</w:t>
      </w:r>
      <w:r w:rsidRPr="002F383C">
        <w:rPr>
          <w:rFonts w:cs="Times New Roman"/>
          <w:lang w:val="en-US"/>
        </w:rPr>
        <w:t xml:space="preserve"> The study overall demonstrates that supply chain resilience helps international expansion of UK food manufacturing organisations to help them cope with disruption, produce ongoing supply continuity and deal with uncertainty. Therefore, resilience needs to be included in the process of expansion, and there needs to be a balance between the cost of investing in resilience and its operational complexity.</w:t>
      </w:r>
    </w:p>
    <w:p w14:paraId="1F100C4A" w14:textId="77777777" w:rsidR="000B7C03" w:rsidRPr="002F383C" w:rsidRDefault="000B7C03" w:rsidP="006414A5">
      <w:pPr>
        <w:pStyle w:val="Heading2"/>
        <w:rPr>
          <w:color w:val="auto"/>
        </w:rPr>
      </w:pPr>
      <w:bookmarkStart w:id="91" w:name="_Toc241252049"/>
      <w:r w:rsidRPr="002F383C">
        <w:t>6.3 Answer to the Research Question</w:t>
      </w:r>
      <w:bookmarkEnd w:id="91"/>
    </w:p>
    <w:p w14:paraId="23C6651B" w14:textId="26FADC73" w:rsidR="000B7C03" w:rsidRPr="002F383C" w:rsidRDefault="000B7C03" w:rsidP="000B7C03">
      <w:pPr>
        <w:pStyle w:val="NormalWeb"/>
      </w:pPr>
      <w:r w:rsidRPr="002F383C">
        <w:t>The research question was on the role of supply chain resilience in the internationalization of UK food manufacturing companies. The results show that resilience contributes to growth, ensuring that firms can deal with disruptions, supply continuity and adaptation to shifting international supplies. Specifically, supplier diversification lowers reliance on individual suppliers, whereas flexibility and adaptability enable firms to fluctuate sourcing, production and logistics facilities. Information sharing is further supported by collaboration and awareness of rising supply risks. The results indicate that the capabilities can shape</w:t>
      </w:r>
      <w:r w:rsidR="00C96374" w:rsidRPr="002F383C">
        <w:t xml:space="preserve"> market selection, market entry</w:t>
      </w:r>
      <w:r w:rsidRPr="002F383C">
        <w:t xml:space="preserve"> and supply chain configuration by motivating firms to think about supply stability and market opportunities. Thus, supply chain resilience enhances global expansion by increasing the capabilities of firms in dealing with uncertainty and sustaining consistent operations as they build sustainable international operations.</w:t>
      </w:r>
    </w:p>
    <w:p w14:paraId="6BB43093" w14:textId="292D94B2" w:rsidR="002B0341" w:rsidRPr="002F383C" w:rsidRDefault="002B0341" w:rsidP="00D23C43">
      <w:pPr>
        <w:pStyle w:val="Heading2"/>
        <w:spacing w:before="240" w:after="240"/>
        <w:rPr>
          <w:rFonts w:cs="Times New Roman"/>
          <w:szCs w:val="24"/>
        </w:rPr>
      </w:pPr>
      <w:bookmarkStart w:id="92" w:name="_Toc241252050"/>
      <w:r w:rsidRPr="002F383C">
        <w:rPr>
          <w:rFonts w:cs="Times New Roman"/>
          <w:szCs w:val="24"/>
        </w:rPr>
        <w:t>6</w:t>
      </w:r>
      <w:r w:rsidR="000B7C03" w:rsidRPr="002F383C">
        <w:rPr>
          <w:rFonts w:cs="Times New Roman"/>
          <w:szCs w:val="24"/>
        </w:rPr>
        <w:t xml:space="preserve">.4 </w:t>
      </w:r>
      <w:r w:rsidRPr="002F383C">
        <w:rPr>
          <w:rFonts w:cs="Times New Roman"/>
          <w:szCs w:val="24"/>
        </w:rPr>
        <w:t>Recommendations</w:t>
      </w:r>
      <w:bookmarkEnd w:id="92"/>
    </w:p>
    <w:p w14:paraId="7AB8774D" w14:textId="1FED011E" w:rsidR="002B0341" w:rsidRPr="002F383C" w:rsidRDefault="002B0341" w:rsidP="00D23C43">
      <w:pPr>
        <w:spacing w:before="240" w:after="240"/>
        <w:rPr>
          <w:rFonts w:cs="Times New Roman"/>
          <w:b/>
        </w:rPr>
      </w:pPr>
      <w:r w:rsidRPr="002F383C">
        <w:rPr>
          <w:rFonts w:cs="Times New Roman"/>
          <w:b/>
        </w:rPr>
        <w:t xml:space="preserve">Develop a diversified and flexible supplier network: </w:t>
      </w:r>
      <w:r w:rsidRPr="002F383C">
        <w:rPr>
          <w:rFonts w:cs="Times New Roman"/>
        </w:rPr>
        <w:t xml:space="preserve">The companies in the UK food manufacturing industry need to minimise overreliance on one supplier or geographical market by establishing more of a network of reliable suppliers. Companies need to find new external and internal suppliers in the home and foreign markets prior to moving to new markets and evaluate their capacity to supply the essential inputs in times of disruptions. This would deal with the issue of concentrated sourcing, which can make it vulnerable when conflict, shortages or trade barriers strike a critical source of supply. Increased sourcing flexibility would also enable the firm to change supply-arrangements in situations where current sources are unreliable. </w:t>
      </w:r>
    </w:p>
    <w:p w14:paraId="11C5C793" w14:textId="5897E434" w:rsidR="002B0341" w:rsidRPr="002F383C" w:rsidRDefault="002B0341" w:rsidP="00D23C43">
      <w:pPr>
        <w:spacing w:before="240" w:after="240"/>
        <w:rPr>
          <w:rFonts w:cs="Times New Roman"/>
          <w:b/>
        </w:rPr>
      </w:pPr>
      <w:r w:rsidRPr="002F383C">
        <w:rPr>
          <w:rFonts w:cs="Times New Roman"/>
          <w:b/>
        </w:rPr>
        <w:t xml:space="preserve">Strengthen collaboration with supply chain partners: </w:t>
      </w:r>
      <w:r w:rsidRPr="002F383C">
        <w:rPr>
          <w:rFonts w:cs="Times New Roman"/>
        </w:rPr>
        <w:t xml:space="preserve">The supply chain managers are advised to build more close teamwork with suppliers, the logistics providers, distributors and overseas market associates. Identification of emerging risks and coordination of care to prevent disruption at an early stage should be done through regular communication, sharing of plans and information. Collaboration and knowledge sharing are considered essential competencies of enhancing resilience within interconnected food supply networks (Ahmed, et al., 2024). The recommendation deals with the issue of fragmented decision making whereby the action of one supply chain member may impose challenges on others. More effective relations would assist the UK food producers in the process of perceiving the shift in supply conditions and create a response with coordination in the case of international growth. </w:t>
      </w:r>
    </w:p>
    <w:p w14:paraId="6B861CF4" w14:textId="26489E63" w:rsidR="002B0341" w:rsidRPr="002F383C" w:rsidRDefault="002B0341" w:rsidP="00D23C43">
      <w:pPr>
        <w:spacing w:before="240" w:after="240"/>
        <w:rPr>
          <w:rFonts w:cs="Times New Roman"/>
        </w:rPr>
      </w:pPr>
      <w:r w:rsidRPr="002F383C">
        <w:rPr>
          <w:rFonts w:cs="Times New Roman"/>
          <w:b/>
        </w:rPr>
        <w:t xml:space="preserve">Invest in supply chain visibility and digital capabilities: </w:t>
      </w:r>
      <w:r w:rsidRPr="002F383C">
        <w:rPr>
          <w:rFonts w:cs="Times New Roman"/>
        </w:rPr>
        <w:t>The manufacturers of food products in the UK need to invest in technologies such as blockchain, Internet of Things sensors, artificial intelligence, systems of product traceability and data analytics application to enhance visibility in the international supply networks. For instance, IoT sensors will track the position and status of food products during transportation and blockchain can enhance the traceability of suppliers and distribution routes (Farina, et al., 2025). The early detection of supply shortages and changing demand patterns can be supported by artificial intelligence and data analytics. Inadequate visibility and poor responsiveness to disruptions would be addressed by this suggestion. Timely access to information would enable the managers to make quick sourcing, production and distribution decisions as they expand internationally.</w:t>
      </w:r>
    </w:p>
    <w:p w14:paraId="1311B295" w14:textId="605AFA0F" w:rsidR="002B0341" w:rsidRPr="002F383C" w:rsidRDefault="002B0341" w:rsidP="00D23C43">
      <w:pPr>
        <w:spacing w:before="240" w:after="240"/>
        <w:rPr>
          <w:rFonts w:cs="Times New Roman"/>
        </w:rPr>
      </w:pPr>
      <w:r w:rsidRPr="002F383C">
        <w:rPr>
          <w:rFonts w:cs="Times New Roman"/>
          <w:b/>
        </w:rPr>
        <w:t>Integrate resilience planning into international expansion decisions</w:t>
      </w:r>
      <w:r w:rsidRPr="002F383C">
        <w:rPr>
          <w:rFonts w:cs="Times New Roman"/>
        </w:rPr>
        <w:t xml:space="preserve">: The senior managers are expected to assess the resilience of the supply chain prior to deciding on the foreign markets or the international expansion. Current literature suggests that global connectivity, market access and flexible supply chains are key factors to consider when engaging in resilient global operations (Reardon and Vos, 2023). Such assessment should take into account the existence of suppliers, transport accessibility, other trade routes, market access and the adaptability of supply arrangements in cases of disruption. The strategy would counter the risk of expanding to markets without adequate knowledge on supply chain vulnerability. It would also assist companies to choose markets and supply configurations capable of sustaining operations in the shifting international circumstances. </w:t>
      </w:r>
    </w:p>
    <w:p w14:paraId="28FCAE03" w14:textId="30F11BD3" w:rsidR="002B0341" w:rsidRPr="002F383C" w:rsidRDefault="000B7C03" w:rsidP="00D23C43">
      <w:pPr>
        <w:pStyle w:val="Heading2"/>
        <w:spacing w:before="240" w:after="240"/>
        <w:rPr>
          <w:rFonts w:cs="Times New Roman"/>
          <w:szCs w:val="24"/>
        </w:rPr>
      </w:pPr>
      <w:bookmarkStart w:id="93" w:name="_Toc241252051"/>
      <w:r w:rsidRPr="002F383C">
        <w:rPr>
          <w:rFonts w:cs="Times New Roman"/>
          <w:szCs w:val="24"/>
        </w:rPr>
        <w:t>6.5</w:t>
      </w:r>
      <w:r w:rsidR="002B0341" w:rsidRPr="002F383C">
        <w:rPr>
          <w:rFonts w:cs="Times New Roman"/>
          <w:szCs w:val="24"/>
        </w:rPr>
        <w:t xml:space="preserve"> Theoretical and Practical Contribution</w:t>
      </w:r>
      <w:bookmarkEnd w:id="93"/>
    </w:p>
    <w:p w14:paraId="00AC5F31" w14:textId="5B264F06" w:rsidR="002B0341" w:rsidRPr="002F383C" w:rsidRDefault="002B0341" w:rsidP="00D23C43">
      <w:pPr>
        <w:pStyle w:val="NormalWeb"/>
        <w:spacing w:before="240" w:after="240"/>
      </w:pPr>
      <w:r w:rsidRPr="002F383C">
        <w:t>This study has contributed to the theory through its linkage of supply chain resilience and international expansion in the UK food manufacturing. The results affirm Dynamic Capabilities Theory by demonstrating that flexibility, adaptability, visibility and diversification enable firms to reallocate resources and supply arrangements in response to changes in conditions. The study is also consistent with the Uppsala Internationalisation Model because knowledge, experience and information can alleviate uncertainty as firms continue to expand into foreign markets. The research expands upon these theoretical insights by demonstrating how</w:t>
      </w:r>
      <w:r w:rsidR="00C96374" w:rsidRPr="002F383C">
        <w:t xml:space="preserve"> market selection, market entry</w:t>
      </w:r>
      <w:r w:rsidRPr="002F383C">
        <w:t xml:space="preserve"> and supply chain configuration can be facilitated with assistance of resilience capabilities instead of concentrating on disruption recovery. In practice, the results offer suggestions to the managers of food manufacturing in the UK to diversify suppliers, enhance cooperation, remain flexible in sourcing and increase supply chain visibility. The results can also guide policymakers to come up with actions that favor diversified supply chains, food security and international trade. Thus, the research relates theoretical knowledge to the real practice needed to achieve more resilient and sustainable global expansion. </w:t>
      </w:r>
    </w:p>
    <w:p w14:paraId="6FCC93D2" w14:textId="329C451D" w:rsidR="002B0341" w:rsidRPr="002F383C" w:rsidRDefault="000B7C03" w:rsidP="00D23C43">
      <w:pPr>
        <w:pStyle w:val="Heading2"/>
        <w:spacing w:before="240" w:after="240"/>
        <w:rPr>
          <w:rFonts w:cs="Times New Roman"/>
          <w:szCs w:val="24"/>
        </w:rPr>
      </w:pPr>
      <w:bookmarkStart w:id="94" w:name="_Toc241252052"/>
      <w:r w:rsidRPr="002F383C">
        <w:rPr>
          <w:rFonts w:cs="Times New Roman"/>
          <w:szCs w:val="24"/>
        </w:rPr>
        <w:t>6.6</w:t>
      </w:r>
      <w:r w:rsidR="002B0341" w:rsidRPr="002F383C">
        <w:rPr>
          <w:rFonts w:cs="Times New Roman"/>
          <w:szCs w:val="24"/>
        </w:rPr>
        <w:t xml:space="preserve"> Research Limitations and Future Recommendations</w:t>
      </w:r>
      <w:bookmarkEnd w:id="94"/>
    </w:p>
    <w:p w14:paraId="164FC1E6" w14:textId="45BF4F43" w:rsidR="002B0341" w:rsidRPr="002F383C" w:rsidRDefault="002B0341" w:rsidP="00D23C43">
      <w:pPr>
        <w:pStyle w:val="NormalWeb"/>
        <w:spacing w:before="240" w:after="240"/>
      </w:pPr>
      <w:r w:rsidRPr="002F383C">
        <w:t>There are a number of limitations associated with this study that are to be taken into consideration when evaluating their results. The research</w:t>
      </w:r>
      <w:r w:rsidR="00C96374" w:rsidRPr="002F383C">
        <w:t xml:space="preserve"> depended on secondary evidence</w:t>
      </w:r>
      <w:r w:rsidRPr="002F383C">
        <w:t xml:space="preserve"> and this implied that it was not in control of how original research gathered data, sample choice, or measured supply chain resilience. The thematic analysis covered a total of seven scholarly works and four reports that were pertinent to the study but reduced the general scope of the research. The second limitation was the lack of studies that specifically investigated the UK food manufacturing companies when internationali</w:t>
      </w:r>
      <w:r w:rsidR="00C00B7D" w:rsidRPr="002F383C">
        <w:t>s</w:t>
      </w:r>
      <w:r w:rsidRPr="002F383C">
        <w:t xml:space="preserve">ing. The possibility of selection bias was also present since the selection of sources was based on the keywords, databases and inclusion criteria used. Restriction to access the database might have left out other useful studies. Therefore, future research should conduct interviews or surveys with UK food manufacturing managers. Comparative studies would be able to analyse the companies of various sizes, whereas longitudinal research would be able to study the changes in resilience strategies and decisions to expand internationally. </w:t>
      </w:r>
    </w:p>
    <w:p w14:paraId="0CCE5512" w14:textId="47C7CFC3" w:rsidR="002B0341" w:rsidRPr="002F383C" w:rsidRDefault="000B7C03" w:rsidP="00D23C43">
      <w:pPr>
        <w:pStyle w:val="Heading2"/>
        <w:spacing w:before="240" w:after="240"/>
        <w:rPr>
          <w:rFonts w:cs="Times New Roman"/>
          <w:szCs w:val="24"/>
        </w:rPr>
      </w:pPr>
      <w:bookmarkStart w:id="95" w:name="_Toc241252053"/>
      <w:r w:rsidRPr="002F383C">
        <w:rPr>
          <w:rFonts w:cs="Times New Roman"/>
          <w:szCs w:val="24"/>
        </w:rPr>
        <w:t>6.7</w:t>
      </w:r>
      <w:r w:rsidR="002B0341" w:rsidRPr="002F383C">
        <w:rPr>
          <w:rFonts w:cs="Times New Roman"/>
          <w:szCs w:val="24"/>
        </w:rPr>
        <w:t xml:space="preserve"> Research Implications and Significance</w:t>
      </w:r>
      <w:bookmarkEnd w:id="95"/>
    </w:p>
    <w:p w14:paraId="62A25613" w14:textId="7192B87D" w:rsidR="002B0341" w:rsidRPr="002F383C" w:rsidRDefault="002B0341" w:rsidP="00D23C43">
      <w:pPr>
        <w:pStyle w:val="NormalWeb"/>
        <w:spacing w:before="240" w:after="240"/>
      </w:pPr>
      <w:r w:rsidRPr="002F383C">
        <w:t xml:space="preserve">This research is significant because it shows that supply chain resilience has an important role beyond responding to disruptions. Resilience can aid international expansion by enabling the UK food manufacturers to carry on with operations, cope with uncertainty and adjust their supply arrangements in the event of a change in international conditions. The research states that collaboration, supplier diversification, flexibility, visibility and adaptability are some of the critical capabilities that may enable more resilient global operations. </w:t>
      </w:r>
      <w:r w:rsidR="00A52883" w:rsidRPr="00A52883">
        <w:rPr>
          <w:highlight w:val="yellow"/>
        </w:rPr>
        <w:t>These findings suggest that managers may benefit from considering supply chain resilience alongside other commercial, regulatory and market-related factors when evaluating international expansion opportunities.</w:t>
      </w:r>
      <w:r w:rsidR="00A52883">
        <w:t xml:space="preserve"> </w:t>
      </w:r>
      <w:r w:rsidRPr="002F383C">
        <w:t>The work also applies to policy makers since diversified and stable food supply networks can contribute to broader UK food security and global trade. In general, the study offers a clear understanding of the relationship between resilience and international expansion and offers a valuable baseline on future studies of sustainable international growth in the UK food manufacturing.</w:t>
      </w:r>
    </w:p>
    <w:p w14:paraId="13F48CF3" w14:textId="6812B8F8" w:rsidR="000B7C03" w:rsidRPr="002F383C" w:rsidRDefault="000B7C03" w:rsidP="000B7C03">
      <w:pPr>
        <w:pStyle w:val="Heading2"/>
      </w:pPr>
      <w:bookmarkStart w:id="96" w:name="_Toc241252054"/>
      <w:r w:rsidRPr="002F383C">
        <w:t>6.8 Concluding Statement</w:t>
      </w:r>
      <w:bookmarkEnd w:id="96"/>
    </w:p>
    <w:p w14:paraId="314EEA78" w14:textId="476BCC69" w:rsidR="000B7C03" w:rsidRPr="002F383C" w:rsidRDefault="000B7C03" w:rsidP="000B7C03">
      <w:r w:rsidRPr="002F383C">
        <w:t>On the whole, this study proves that the supply chain resilience can be a significant pillar of sustainable global growth in the UK food manufacturing. Flexible, diversified, visible and collaborative supply networks can allow firms to more e</w:t>
      </w:r>
      <w:r w:rsidR="00C96374" w:rsidRPr="002F383C">
        <w:t>ffectively react to uncertainty</w:t>
      </w:r>
      <w:r w:rsidRPr="002F383C">
        <w:t xml:space="preserve"> and remain stable internationally. The study therefore highlights resilience as both an operational capability and a strategic requirement for future international growth.</w:t>
      </w:r>
    </w:p>
    <w:p w14:paraId="755F233E" w14:textId="77777777" w:rsidR="002B0341" w:rsidRPr="002F383C" w:rsidRDefault="002B0341" w:rsidP="00D23C43">
      <w:pPr>
        <w:spacing w:before="240" w:after="240"/>
        <w:rPr>
          <w:rFonts w:cs="Times New Roman"/>
        </w:rPr>
      </w:pPr>
    </w:p>
    <w:p w14:paraId="2EF554F1" w14:textId="77777777" w:rsidR="00E836EE" w:rsidRPr="002F383C" w:rsidRDefault="00E836EE" w:rsidP="00D23C43">
      <w:pPr>
        <w:spacing w:before="240" w:after="240"/>
        <w:rPr>
          <w:rFonts w:eastAsiaTheme="majorEastAsia" w:cs="Times New Roman"/>
          <w:b/>
        </w:rPr>
      </w:pPr>
      <w:r w:rsidRPr="002F383C">
        <w:rPr>
          <w:rFonts w:cs="Times New Roman"/>
        </w:rPr>
        <w:br w:type="page"/>
      </w:r>
    </w:p>
    <w:p w14:paraId="0FCE03F8" w14:textId="17EE6069" w:rsidR="00CE7A1C" w:rsidRPr="002F383C" w:rsidRDefault="0055724F" w:rsidP="00D23C43">
      <w:pPr>
        <w:pStyle w:val="Heading1"/>
        <w:spacing w:before="240" w:after="240"/>
        <w:rPr>
          <w:rFonts w:cs="Times New Roman"/>
          <w:szCs w:val="24"/>
        </w:rPr>
      </w:pPr>
      <w:bookmarkStart w:id="97" w:name="_Toc241252055"/>
      <w:r w:rsidRPr="002F383C">
        <w:rPr>
          <w:rFonts w:cs="Times New Roman"/>
          <w:szCs w:val="24"/>
        </w:rPr>
        <w:t>References</w:t>
      </w:r>
      <w:bookmarkEnd w:id="87"/>
      <w:bookmarkEnd w:id="97"/>
      <w:r w:rsidRPr="002F383C">
        <w:rPr>
          <w:rFonts w:cs="Times New Roman"/>
          <w:szCs w:val="24"/>
        </w:rPr>
        <w:t xml:space="preserve"> </w:t>
      </w:r>
    </w:p>
    <w:p w14:paraId="34BF970D" w14:textId="77777777" w:rsidR="00E65CDC" w:rsidRPr="002F383C" w:rsidRDefault="00E65CDC" w:rsidP="00D23C43">
      <w:pPr>
        <w:spacing w:before="240" w:after="240"/>
        <w:rPr>
          <w:rFonts w:cs="Times New Roman"/>
        </w:rPr>
      </w:pPr>
      <w:r w:rsidRPr="002F383C">
        <w:rPr>
          <w:rFonts w:cs="Times New Roman"/>
        </w:rPr>
        <w:t>Ahmad, M. and Wilkins, S. (2025) Purposive sampling in qualitative research: A framework for the entire journey. </w:t>
      </w:r>
      <w:r w:rsidRPr="002F383C">
        <w:rPr>
          <w:rFonts w:cs="Times New Roman"/>
          <w:i/>
          <w:iCs/>
        </w:rPr>
        <w:t>Quality &amp; quantity</w:t>
      </w:r>
      <w:r w:rsidRPr="002F383C">
        <w:rPr>
          <w:rFonts w:cs="Times New Roman"/>
        </w:rPr>
        <w:t>, </w:t>
      </w:r>
      <w:r w:rsidRPr="002F383C">
        <w:rPr>
          <w:rFonts w:cs="Times New Roman"/>
          <w:i/>
          <w:iCs/>
        </w:rPr>
        <w:t>59</w:t>
      </w:r>
      <w:r w:rsidRPr="002F383C">
        <w:rPr>
          <w:rFonts w:cs="Times New Roman"/>
        </w:rPr>
        <w:t>(2), pp.1461-1479.</w:t>
      </w:r>
    </w:p>
    <w:p w14:paraId="351299B3" w14:textId="77777777" w:rsidR="00E65CDC" w:rsidRPr="002F383C" w:rsidRDefault="00E65CDC" w:rsidP="00D23C43">
      <w:pPr>
        <w:spacing w:before="240" w:after="240"/>
        <w:rPr>
          <w:rFonts w:cs="Times New Roman"/>
        </w:rPr>
      </w:pPr>
      <w:r w:rsidRPr="002F383C">
        <w:rPr>
          <w:rFonts w:cs="Times New Roman"/>
        </w:rPr>
        <w:t>Ahmed, H.F., Hosseinian-Far, A., Sarwar, D. and Khandan, R. (2024) Supply chain complexity and its impact on knowledge transfer: Incorporating sustainable supply chain practices in food supply chain networks. </w:t>
      </w:r>
      <w:r w:rsidRPr="002F383C">
        <w:rPr>
          <w:rFonts w:cs="Times New Roman"/>
          <w:i/>
          <w:iCs/>
        </w:rPr>
        <w:t>Logistics</w:t>
      </w:r>
      <w:r w:rsidRPr="002F383C">
        <w:rPr>
          <w:rFonts w:cs="Times New Roman"/>
        </w:rPr>
        <w:t>, </w:t>
      </w:r>
      <w:r w:rsidRPr="002F383C">
        <w:rPr>
          <w:rFonts w:cs="Times New Roman"/>
          <w:i/>
          <w:iCs/>
        </w:rPr>
        <w:t>8</w:t>
      </w:r>
      <w:r w:rsidRPr="002F383C">
        <w:rPr>
          <w:rFonts w:cs="Times New Roman"/>
        </w:rPr>
        <w:t>(1), p. 5.</w:t>
      </w:r>
    </w:p>
    <w:p w14:paraId="259F48E9" w14:textId="77777777" w:rsidR="00E65CDC" w:rsidRPr="002F383C" w:rsidRDefault="00E65CDC" w:rsidP="00D23C43">
      <w:pPr>
        <w:spacing w:before="240" w:after="240"/>
        <w:rPr>
          <w:rFonts w:cs="Times New Roman"/>
        </w:rPr>
      </w:pPr>
      <w:r w:rsidRPr="002F383C">
        <w:rPr>
          <w:rFonts w:cs="Times New Roman"/>
        </w:rPr>
        <w:t>Ahmed, S.K., Mohammed, R.A., Nashwan, A.J., Ibrahim, R.H., Abdalla, A.Q., Ameen, B.M.M. and Khdhir, R.M. (2025) Using thematic analysis in qualitative research. </w:t>
      </w:r>
      <w:r w:rsidRPr="002F383C">
        <w:rPr>
          <w:rFonts w:cs="Times New Roman"/>
          <w:i/>
          <w:iCs/>
        </w:rPr>
        <w:t>Journal of medicine, surgery, and public health</w:t>
      </w:r>
      <w:r w:rsidRPr="002F383C">
        <w:rPr>
          <w:rFonts w:cs="Times New Roman"/>
        </w:rPr>
        <w:t>, </w:t>
      </w:r>
      <w:r w:rsidRPr="002F383C">
        <w:rPr>
          <w:rFonts w:cs="Times New Roman"/>
          <w:i/>
          <w:iCs/>
        </w:rPr>
        <w:t>6</w:t>
      </w:r>
      <w:r w:rsidRPr="002F383C">
        <w:rPr>
          <w:rFonts w:cs="Times New Roman"/>
        </w:rPr>
        <w:t>, p.100198.</w:t>
      </w:r>
    </w:p>
    <w:p w14:paraId="6ABCE729" w14:textId="77777777" w:rsidR="00E65CDC" w:rsidRPr="002F383C" w:rsidRDefault="00E65CDC" w:rsidP="00D23C43">
      <w:pPr>
        <w:spacing w:before="240" w:after="240"/>
        <w:rPr>
          <w:rFonts w:cs="Times New Roman"/>
        </w:rPr>
      </w:pPr>
      <w:r w:rsidRPr="002F383C">
        <w:rPr>
          <w:rFonts w:cs="Times New Roman"/>
        </w:rPr>
        <w:t>Alharahsheh, H.H. and Pius, A. (2020) A review of key paradigms: Positivism VS interpretivism. </w:t>
      </w:r>
      <w:r w:rsidRPr="002F383C">
        <w:rPr>
          <w:rFonts w:cs="Times New Roman"/>
          <w:i/>
          <w:iCs/>
        </w:rPr>
        <w:t>Global academic journal of humanities and social sciences</w:t>
      </w:r>
      <w:r w:rsidRPr="002F383C">
        <w:rPr>
          <w:rFonts w:cs="Times New Roman"/>
        </w:rPr>
        <w:t>, </w:t>
      </w:r>
      <w:r w:rsidRPr="002F383C">
        <w:rPr>
          <w:rFonts w:cs="Times New Roman"/>
          <w:i/>
          <w:iCs/>
        </w:rPr>
        <w:t>2</w:t>
      </w:r>
      <w:r w:rsidRPr="002F383C">
        <w:rPr>
          <w:rFonts w:cs="Times New Roman"/>
        </w:rPr>
        <w:t>(3), pp.39-43.</w:t>
      </w:r>
    </w:p>
    <w:p w14:paraId="6BFD0BE6" w14:textId="77777777" w:rsidR="00E65CDC" w:rsidRPr="002F383C" w:rsidRDefault="00E65CDC" w:rsidP="00D23C43">
      <w:pPr>
        <w:spacing w:before="240" w:after="240"/>
        <w:rPr>
          <w:rFonts w:cs="Times New Roman"/>
        </w:rPr>
      </w:pPr>
      <w:r w:rsidRPr="002F383C">
        <w:rPr>
          <w:rFonts w:cs="Times New Roman"/>
        </w:rPr>
        <w:t>Ali, E.P.S.E., Ndubuisi, O.G., Obiorah, C.A.R., Aku, U.T., Nesiama, O., Agbakhamen, C.O. and Okoro, O.P. (2025) Ethical standards in research: A professional imperative. </w:t>
      </w:r>
      <w:r w:rsidRPr="002F383C">
        <w:rPr>
          <w:rFonts w:cs="Times New Roman"/>
          <w:i/>
          <w:iCs/>
        </w:rPr>
        <w:t>International Journal of Innovative Scientific &amp; Engineering Technologies Research</w:t>
      </w:r>
      <w:r w:rsidRPr="002F383C">
        <w:rPr>
          <w:rFonts w:cs="Times New Roman"/>
        </w:rPr>
        <w:t>, </w:t>
      </w:r>
      <w:r w:rsidRPr="002F383C">
        <w:rPr>
          <w:rFonts w:cs="Times New Roman"/>
          <w:i/>
          <w:iCs/>
        </w:rPr>
        <w:t>13</w:t>
      </w:r>
      <w:r w:rsidRPr="002F383C">
        <w:rPr>
          <w:rFonts w:cs="Times New Roman"/>
        </w:rPr>
        <w:t>(1), pp.94-104.</w:t>
      </w:r>
    </w:p>
    <w:p w14:paraId="65BE67FF" w14:textId="77777777" w:rsidR="00E65CDC" w:rsidRPr="002F383C" w:rsidRDefault="00E65CDC" w:rsidP="00D23C43">
      <w:pPr>
        <w:spacing w:before="240" w:after="240"/>
        <w:rPr>
          <w:rFonts w:cs="Times New Roman"/>
        </w:rPr>
      </w:pPr>
      <w:r w:rsidRPr="002F383C">
        <w:rPr>
          <w:rFonts w:cs="Times New Roman"/>
        </w:rPr>
        <w:t>Alinasab, J. and Hunt, R.A. (2025) Real options reasoning and the internationalization of small firms: A review and agenda for future research. </w:t>
      </w:r>
      <w:r w:rsidRPr="002F383C">
        <w:rPr>
          <w:rFonts w:cs="Times New Roman"/>
          <w:i/>
          <w:iCs/>
        </w:rPr>
        <w:t>Management International Review</w:t>
      </w:r>
      <w:r w:rsidRPr="002F383C">
        <w:rPr>
          <w:rFonts w:cs="Times New Roman"/>
        </w:rPr>
        <w:t>, </w:t>
      </w:r>
      <w:r w:rsidRPr="002F383C">
        <w:rPr>
          <w:rFonts w:cs="Times New Roman"/>
          <w:i/>
          <w:iCs/>
        </w:rPr>
        <w:t>65</w:t>
      </w:r>
      <w:r w:rsidRPr="002F383C">
        <w:rPr>
          <w:rFonts w:cs="Times New Roman"/>
        </w:rPr>
        <w:t>(5), pp. 821-849.</w:t>
      </w:r>
    </w:p>
    <w:p w14:paraId="54A87BC6" w14:textId="77777777" w:rsidR="00E65CDC" w:rsidRPr="002F383C" w:rsidRDefault="00E65CDC" w:rsidP="00D23C43">
      <w:pPr>
        <w:spacing w:before="240" w:after="240"/>
        <w:rPr>
          <w:rFonts w:cs="Times New Roman"/>
        </w:rPr>
      </w:pPr>
      <w:r w:rsidRPr="002F383C">
        <w:rPr>
          <w:rFonts w:cs="Times New Roman"/>
        </w:rPr>
        <w:t>Alsharidi, N. (2025) Exploring the Philosophical Assumptions in Social Education Research. </w:t>
      </w:r>
      <w:r w:rsidRPr="002F383C">
        <w:rPr>
          <w:rFonts w:cs="Times New Roman"/>
          <w:i/>
          <w:iCs/>
        </w:rPr>
        <w:t>Journal of Education and Learning</w:t>
      </w:r>
      <w:r w:rsidRPr="002F383C">
        <w:rPr>
          <w:rFonts w:cs="Times New Roman"/>
        </w:rPr>
        <w:t>, </w:t>
      </w:r>
      <w:r w:rsidRPr="002F383C">
        <w:rPr>
          <w:rFonts w:cs="Times New Roman"/>
          <w:i/>
          <w:iCs/>
        </w:rPr>
        <w:t>14</w:t>
      </w:r>
      <w:r w:rsidRPr="002F383C">
        <w:rPr>
          <w:rFonts w:cs="Times New Roman"/>
        </w:rPr>
        <w:t>(1), pp.73-78.</w:t>
      </w:r>
    </w:p>
    <w:p w14:paraId="5EA14879" w14:textId="77777777" w:rsidR="00E65CDC" w:rsidRPr="002F383C" w:rsidRDefault="00E65CDC" w:rsidP="00D23C43">
      <w:pPr>
        <w:spacing w:before="240" w:after="240"/>
        <w:rPr>
          <w:rFonts w:cs="Times New Roman"/>
        </w:rPr>
      </w:pPr>
      <w:r w:rsidRPr="002F383C">
        <w:rPr>
          <w:rFonts w:cs="Times New Roman"/>
        </w:rPr>
        <w:t>Anwar, U.A.A., Rahayu, A., Wibowo, L.A., Sultan, M.A., Aspiranti, T., Furqon, C. and Rani, A.M. (2025) Supply chain integration as the implementation of strategic management in improving business performance. </w:t>
      </w:r>
      <w:r w:rsidRPr="002F383C">
        <w:rPr>
          <w:rFonts w:cs="Times New Roman"/>
          <w:i/>
          <w:iCs/>
        </w:rPr>
        <w:t>Discover Sustainability</w:t>
      </w:r>
      <w:r w:rsidRPr="002F383C">
        <w:rPr>
          <w:rFonts w:cs="Times New Roman"/>
        </w:rPr>
        <w:t>, </w:t>
      </w:r>
      <w:r w:rsidRPr="002F383C">
        <w:rPr>
          <w:rFonts w:cs="Times New Roman"/>
          <w:i/>
          <w:iCs/>
        </w:rPr>
        <w:t>6</w:t>
      </w:r>
      <w:r w:rsidRPr="002F383C">
        <w:rPr>
          <w:rFonts w:cs="Times New Roman"/>
        </w:rPr>
        <w:t>(1), p. 101.</w:t>
      </w:r>
    </w:p>
    <w:p w14:paraId="6C663939" w14:textId="77777777" w:rsidR="00E65CDC" w:rsidRPr="002F383C" w:rsidRDefault="00E65CDC" w:rsidP="00D23C43">
      <w:pPr>
        <w:spacing w:before="240" w:after="240"/>
        <w:rPr>
          <w:rFonts w:cs="Times New Roman"/>
        </w:rPr>
      </w:pPr>
      <w:r w:rsidRPr="002F383C">
        <w:rPr>
          <w:rFonts w:cs="Times New Roman"/>
        </w:rPr>
        <w:t>Ardolino, M., Bino, A., Ciano, M.P. and Bacchetti, A. (2025) Enabling digital capabilities with technologies: a multiple case study of manufacturing supply chains in disruptive times. </w:t>
      </w:r>
      <w:r w:rsidRPr="002F383C">
        <w:rPr>
          <w:rFonts w:cs="Times New Roman"/>
          <w:i/>
          <w:iCs/>
        </w:rPr>
        <w:t>Systems</w:t>
      </w:r>
      <w:r w:rsidRPr="002F383C">
        <w:rPr>
          <w:rFonts w:cs="Times New Roman"/>
        </w:rPr>
        <w:t>, </w:t>
      </w:r>
      <w:r w:rsidRPr="002F383C">
        <w:rPr>
          <w:rFonts w:cs="Times New Roman"/>
          <w:i/>
          <w:iCs/>
        </w:rPr>
        <w:t>13</w:t>
      </w:r>
      <w:r w:rsidRPr="002F383C">
        <w:rPr>
          <w:rFonts w:cs="Times New Roman"/>
        </w:rPr>
        <w:t>(1), p. 39.</w:t>
      </w:r>
    </w:p>
    <w:p w14:paraId="28AE35CC" w14:textId="77777777" w:rsidR="00E65CDC" w:rsidRPr="002F383C" w:rsidRDefault="00E65CDC" w:rsidP="00D23C43">
      <w:pPr>
        <w:spacing w:before="240" w:after="240"/>
        <w:rPr>
          <w:rFonts w:cs="Times New Roman"/>
        </w:rPr>
      </w:pPr>
      <w:r w:rsidRPr="002F383C">
        <w:rPr>
          <w:rFonts w:cs="Times New Roman"/>
        </w:rPr>
        <w:t>Boyacι-Gündüz, C.P., Ibrahim, S.A., Wei, O.C. and Galanakis, C.M. (2021) Transformation of the food sector: Security and resilience during the COVID-19 pandemic. </w:t>
      </w:r>
      <w:r w:rsidRPr="002F383C">
        <w:rPr>
          <w:rFonts w:cs="Times New Roman"/>
          <w:i/>
          <w:iCs/>
        </w:rPr>
        <w:t>Foods</w:t>
      </w:r>
      <w:r w:rsidRPr="002F383C">
        <w:rPr>
          <w:rFonts w:cs="Times New Roman"/>
        </w:rPr>
        <w:t>, </w:t>
      </w:r>
      <w:r w:rsidRPr="002F383C">
        <w:rPr>
          <w:rFonts w:cs="Times New Roman"/>
          <w:i/>
          <w:iCs/>
        </w:rPr>
        <w:t>10</w:t>
      </w:r>
      <w:r w:rsidRPr="002F383C">
        <w:rPr>
          <w:rFonts w:cs="Times New Roman"/>
        </w:rPr>
        <w:t>(3), p.497.</w:t>
      </w:r>
    </w:p>
    <w:p w14:paraId="3E5290C7" w14:textId="77777777" w:rsidR="00E65CDC" w:rsidRPr="002F383C" w:rsidRDefault="00E65CDC" w:rsidP="00D23C43">
      <w:pPr>
        <w:spacing w:before="240" w:after="240"/>
        <w:rPr>
          <w:rFonts w:cs="Times New Roman"/>
        </w:rPr>
      </w:pPr>
      <w:r w:rsidRPr="002F383C">
        <w:rPr>
          <w:rFonts w:cs="Times New Roman"/>
        </w:rPr>
        <w:t>Castka, P., Donovan, J. and Sousa, R. (2024) Pathways of development of dynamic capabilities for servitization transformation: A longitudinal multi-case study. </w:t>
      </w:r>
      <w:r w:rsidRPr="002F383C">
        <w:rPr>
          <w:rFonts w:cs="Times New Roman"/>
          <w:i/>
          <w:iCs/>
        </w:rPr>
        <w:t>Industrial Marketing Management</w:t>
      </w:r>
      <w:r w:rsidRPr="002F383C">
        <w:rPr>
          <w:rFonts w:cs="Times New Roman"/>
        </w:rPr>
        <w:t>, </w:t>
      </w:r>
      <w:r w:rsidRPr="002F383C">
        <w:rPr>
          <w:rFonts w:cs="Times New Roman"/>
          <w:i/>
          <w:iCs/>
        </w:rPr>
        <w:t>116</w:t>
      </w:r>
      <w:r w:rsidRPr="002F383C">
        <w:rPr>
          <w:rFonts w:cs="Times New Roman"/>
        </w:rPr>
        <w:t>, pp. 66-81.</w:t>
      </w:r>
    </w:p>
    <w:p w14:paraId="0088E894" w14:textId="77777777" w:rsidR="00E65CDC" w:rsidRPr="002F383C" w:rsidRDefault="00E65CDC" w:rsidP="00D23C43">
      <w:pPr>
        <w:spacing w:before="240" w:after="240"/>
        <w:rPr>
          <w:rFonts w:cs="Times New Roman"/>
        </w:rPr>
      </w:pPr>
      <w:r w:rsidRPr="002F383C">
        <w:rPr>
          <w:rFonts w:cs="Times New Roman"/>
        </w:rPr>
        <w:t>Chatfield, S.L. (2020) Recommendations for secondary analysis of qualitative data. </w:t>
      </w:r>
      <w:r w:rsidRPr="002F383C">
        <w:rPr>
          <w:rFonts w:cs="Times New Roman"/>
          <w:i/>
          <w:iCs/>
        </w:rPr>
        <w:t>The Qualitative Report</w:t>
      </w:r>
      <w:r w:rsidRPr="002F383C">
        <w:rPr>
          <w:rFonts w:cs="Times New Roman"/>
        </w:rPr>
        <w:t>, </w:t>
      </w:r>
      <w:r w:rsidRPr="002F383C">
        <w:rPr>
          <w:rFonts w:cs="Times New Roman"/>
          <w:i/>
          <w:iCs/>
        </w:rPr>
        <w:t>25</w:t>
      </w:r>
      <w:r w:rsidRPr="002F383C">
        <w:rPr>
          <w:rFonts w:cs="Times New Roman"/>
        </w:rPr>
        <w:t>(3), pp.833-842.</w:t>
      </w:r>
    </w:p>
    <w:p w14:paraId="1F4F37C8" w14:textId="77777777" w:rsidR="00E65CDC" w:rsidRPr="002F383C" w:rsidRDefault="00E65CDC" w:rsidP="00D23C43">
      <w:pPr>
        <w:spacing w:before="240" w:after="240"/>
        <w:rPr>
          <w:rFonts w:cs="Times New Roman"/>
        </w:rPr>
      </w:pPr>
      <w:r w:rsidRPr="002F383C">
        <w:rPr>
          <w:rFonts w:cs="Times New Roman"/>
        </w:rPr>
        <w:t xml:space="preserve">DEFRA. (2024a) </w:t>
      </w:r>
      <w:r w:rsidRPr="002F383C">
        <w:rPr>
          <w:rFonts w:cs="Times New Roman"/>
          <w:iCs/>
        </w:rPr>
        <w:t>United Kingdom Food Security Report 2024: Theme 2: UK Food Supply Sources</w:t>
      </w:r>
      <w:r w:rsidRPr="002F383C">
        <w:rPr>
          <w:rFonts w:cs="Times New Roman"/>
        </w:rPr>
        <w:t xml:space="preserve">. [Online]. Available at: </w:t>
      </w:r>
      <w:hyperlink r:id="rId15" w:history="1">
        <w:r w:rsidRPr="002F383C">
          <w:rPr>
            <w:rStyle w:val="Hyperlink"/>
            <w:rFonts w:cs="Times New Roman"/>
          </w:rPr>
          <w:t>https://www.gov.uk/government/statistics/united-kingdom-food-security-report-2024/united-kingdom-food-security-report-2024-theme-2-uk-food-supply-sources</w:t>
        </w:r>
      </w:hyperlink>
      <w:r w:rsidRPr="002F383C">
        <w:rPr>
          <w:rFonts w:cs="Times New Roman"/>
        </w:rPr>
        <w:t>. [Accessed on: 17/08/2026].</w:t>
      </w:r>
    </w:p>
    <w:p w14:paraId="3D1BA81C" w14:textId="77777777" w:rsidR="00E65CDC" w:rsidRPr="002F383C" w:rsidRDefault="00E65CDC" w:rsidP="00D23C43">
      <w:pPr>
        <w:spacing w:before="240" w:after="240"/>
        <w:rPr>
          <w:rFonts w:cs="Times New Roman"/>
        </w:rPr>
      </w:pPr>
      <w:r w:rsidRPr="002F383C">
        <w:rPr>
          <w:rFonts w:cs="Times New Roman"/>
        </w:rPr>
        <w:t xml:space="preserve">DEFRA. (2024b) </w:t>
      </w:r>
      <w:r w:rsidRPr="002F383C">
        <w:rPr>
          <w:rFonts w:cs="Times New Roman"/>
          <w:iCs/>
        </w:rPr>
        <w:t>United Kingdom Food Security Report 2024: Theme 1: Global Food Availability</w:t>
      </w:r>
      <w:r w:rsidRPr="002F383C">
        <w:rPr>
          <w:rFonts w:cs="Times New Roman"/>
        </w:rPr>
        <w:t xml:space="preserve">. [Online]. Available at: </w:t>
      </w:r>
      <w:hyperlink r:id="rId16" w:history="1">
        <w:r w:rsidRPr="002F383C">
          <w:rPr>
            <w:rStyle w:val="Hyperlink"/>
            <w:rFonts w:cs="Times New Roman"/>
          </w:rPr>
          <w:t>https://www.gov.uk/government/statistics/united-kingdom-food-security-report-2024/united-kingdom-food-security-report-2024-theme-1-global-food-availability</w:t>
        </w:r>
      </w:hyperlink>
      <w:r w:rsidRPr="002F383C">
        <w:rPr>
          <w:rFonts w:cs="Times New Roman"/>
        </w:rPr>
        <w:t xml:space="preserve"> [Accessed on: 17/08/2026].</w:t>
      </w:r>
    </w:p>
    <w:p w14:paraId="690CFED7" w14:textId="77777777" w:rsidR="00E65CDC" w:rsidRPr="002F383C" w:rsidRDefault="00E65CDC" w:rsidP="00D23C43">
      <w:pPr>
        <w:spacing w:before="240" w:after="240"/>
        <w:rPr>
          <w:rFonts w:cs="Times New Roman"/>
        </w:rPr>
      </w:pPr>
      <w:r w:rsidRPr="002F383C">
        <w:rPr>
          <w:rFonts w:cs="Times New Roman"/>
        </w:rPr>
        <w:t xml:space="preserve">DEFRA. (2024c) United Kingdom Food Security Report 2024: Theme 3: Food Supply Chain Resilience. [Online]. Available at: </w:t>
      </w:r>
      <w:hyperlink r:id="rId17" w:history="1">
        <w:r w:rsidRPr="002F383C">
          <w:rPr>
            <w:rStyle w:val="Hyperlink"/>
            <w:rFonts w:cs="Times New Roman"/>
          </w:rPr>
          <w:t>https://www.gov.uk/government/statistics/united-kingdom-food-security-report-2024/united-kingdom-food-security-report-2024-theme-3-food-supply-chain-resilience</w:t>
        </w:r>
      </w:hyperlink>
      <w:r w:rsidRPr="002F383C">
        <w:rPr>
          <w:rFonts w:cs="Times New Roman"/>
        </w:rPr>
        <w:t>. [Accessed on: 16/09/2026].</w:t>
      </w:r>
    </w:p>
    <w:p w14:paraId="32997D56" w14:textId="77777777" w:rsidR="00E65CDC" w:rsidRPr="002F383C" w:rsidRDefault="00E65CDC" w:rsidP="00D23C43">
      <w:pPr>
        <w:spacing w:before="240" w:after="240"/>
        <w:rPr>
          <w:rFonts w:cs="Times New Roman"/>
        </w:rPr>
      </w:pPr>
      <w:r w:rsidRPr="002F383C">
        <w:rPr>
          <w:rFonts w:cs="Times New Roman"/>
        </w:rPr>
        <w:t xml:space="preserve">DEFRA. (2025a) Total Factor Productivity of the United Kingdom Food Chain 2023- final release [Online]. Available at: </w:t>
      </w:r>
      <w:hyperlink r:id="rId18" w:history="1">
        <w:r w:rsidRPr="002F383C">
          <w:rPr>
            <w:rStyle w:val="Hyperlink"/>
            <w:rFonts w:cs="Times New Roman"/>
          </w:rPr>
          <w:t>https://www.gov.uk/government/statistics/food-chain-productivity/total-factor-productivity-of-the-united-kingdom-food-chain-2023-final-release</w:t>
        </w:r>
      </w:hyperlink>
      <w:r w:rsidRPr="002F383C">
        <w:rPr>
          <w:rFonts w:cs="Times New Roman"/>
        </w:rPr>
        <w:t xml:space="preserve"> [Accessed on: 16/09/2026].</w:t>
      </w:r>
    </w:p>
    <w:p w14:paraId="456A100D" w14:textId="77777777" w:rsidR="00E65CDC" w:rsidRPr="002F383C" w:rsidRDefault="00E65CDC" w:rsidP="00D23C43">
      <w:pPr>
        <w:spacing w:before="240" w:after="240"/>
        <w:rPr>
          <w:rFonts w:cs="Times New Roman"/>
        </w:rPr>
      </w:pPr>
      <w:r w:rsidRPr="002F383C">
        <w:rPr>
          <w:rFonts w:cs="Times New Roman"/>
        </w:rPr>
        <w:t>DEFRA. (2025b)</w:t>
      </w:r>
      <w:r w:rsidRPr="002F383C">
        <w:t xml:space="preserve"> </w:t>
      </w:r>
      <w:r w:rsidRPr="002F383C">
        <w:rPr>
          <w:rFonts w:cs="Times New Roman"/>
        </w:rPr>
        <w:t xml:space="preserve">United Kingdom Food Security Digest 2025 [Online]. Available at: </w:t>
      </w:r>
      <w:hyperlink r:id="rId19" w:history="1">
        <w:r w:rsidRPr="002F383C">
          <w:rPr>
            <w:rStyle w:val="Hyperlink"/>
          </w:rPr>
          <w:t>https://www.gov.uk/government/statistics/united-kingdom-food-security-digest-2025/united-kingdom-food-security-digest-2025</w:t>
        </w:r>
      </w:hyperlink>
      <w:r w:rsidRPr="002F383C">
        <w:t xml:space="preserve"> </w:t>
      </w:r>
      <w:r w:rsidRPr="002F383C">
        <w:rPr>
          <w:rFonts w:cs="Times New Roman"/>
        </w:rPr>
        <w:t>[Accessed on: 16/09/2026].</w:t>
      </w:r>
    </w:p>
    <w:p w14:paraId="10F6AB53" w14:textId="77777777" w:rsidR="00E65CDC" w:rsidRPr="002F383C" w:rsidRDefault="00E65CDC" w:rsidP="00D23C43">
      <w:pPr>
        <w:spacing w:before="240" w:after="240"/>
        <w:rPr>
          <w:rFonts w:cs="Times New Roman"/>
        </w:rPr>
      </w:pPr>
      <w:r w:rsidRPr="002F383C">
        <w:rPr>
          <w:rFonts w:cs="Times New Roman"/>
        </w:rPr>
        <w:t xml:space="preserve">DEFRA. (2026) UK trade in Food, Feed and Drink, 2025 provisional. [Online]. Available at: </w:t>
      </w:r>
      <w:hyperlink r:id="rId20" w:history="1">
        <w:r w:rsidRPr="002F383C">
          <w:rPr>
            <w:rStyle w:val="Hyperlink"/>
            <w:rFonts w:cs="Times New Roman"/>
          </w:rPr>
          <w:t>https://www.gov.uk/government/statistics/uk-trade-in-food-feed-and-drink-2025-provisional/uk-trade-in-food-feed-and-drink-2025-provisional</w:t>
        </w:r>
      </w:hyperlink>
      <w:r w:rsidRPr="002F383C">
        <w:rPr>
          <w:rFonts w:cs="Times New Roman"/>
        </w:rPr>
        <w:t>. [Accessed on: 16/09/2026].</w:t>
      </w:r>
    </w:p>
    <w:p w14:paraId="62175881" w14:textId="77777777" w:rsidR="00E65CDC" w:rsidRPr="002F383C" w:rsidRDefault="00E65CDC" w:rsidP="00D23C43">
      <w:pPr>
        <w:spacing w:before="240" w:after="240"/>
        <w:rPr>
          <w:rFonts w:cs="Times New Roman"/>
          <w:shd w:val="clear" w:color="auto" w:fill="FFFFFF"/>
        </w:rPr>
      </w:pPr>
      <w:r w:rsidRPr="002F383C">
        <w:rPr>
          <w:rFonts w:cs="Times New Roman"/>
          <w:shd w:val="clear" w:color="auto" w:fill="FFFFFF"/>
        </w:rPr>
        <w:t xml:space="preserve">Dittfeld, H., van Donk, D.P. and van Huet, S. (2022) The effect of production system characteristics on resilience capabilities: a multiple case study. </w:t>
      </w:r>
      <w:r w:rsidRPr="002F383C">
        <w:rPr>
          <w:rFonts w:cs="Times New Roman"/>
          <w:i/>
          <w:iCs/>
          <w:shd w:val="clear" w:color="auto" w:fill="FFFFFF"/>
        </w:rPr>
        <w:t>International Journal of Operations &amp; Production Management</w:t>
      </w:r>
      <w:r w:rsidRPr="002F383C">
        <w:rPr>
          <w:rFonts w:cs="Times New Roman"/>
          <w:shd w:val="clear" w:color="auto" w:fill="FFFFFF"/>
        </w:rPr>
        <w:t xml:space="preserve">, </w:t>
      </w:r>
      <w:r w:rsidRPr="002F383C">
        <w:rPr>
          <w:rFonts w:cs="Times New Roman"/>
          <w:i/>
          <w:iCs/>
          <w:shd w:val="clear" w:color="auto" w:fill="FFFFFF"/>
        </w:rPr>
        <w:t>42</w:t>
      </w:r>
      <w:r w:rsidRPr="002F383C">
        <w:rPr>
          <w:rFonts w:cs="Times New Roman"/>
          <w:shd w:val="clear" w:color="auto" w:fill="FFFFFF"/>
        </w:rPr>
        <w:t>(13), pp.103-127.</w:t>
      </w:r>
    </w:p>
    <w:p w14:paraId="34AB4666" w14:textId="77777777" w:rsidR="00E65CDC" w:rsidRDefault="00E65CDC" w:rsidP="00EC7C75">
      <w:r w:rsidRPr="008D2E23">
        <w:t>Du</w:t>
      </w:r>
      <w:r>
        <w:t>, J., Shepotylo, O. and Shi, Y.</w:t>
      </w:r>
      <w:r w:rsidRPr="008D2E23">
        <w:t xml:space="preserve"> </w:t>
      </w:r>
      <w:r>
        <w:t>(</w:t>
      </w:r>
      <w:r w:rsidRPr="008D2E23">
        <w:t>2025</w:t>
      </w:r>
      <w:r>
        <w:t>)</w:t>
      </w:r>
      <w:r w:rsidRPr="008D2E23">
        <w:t xml:space="preserve"> Trade Disintegration and Agri</w:t>
      </w:r>
      <w:r w:rsidRPr="008D2E23">
        <w:rPr>
          <w:rFonts w:ascii="Cambria Math" w:hAnsi="Cambria Math" w:cs="Cambria Math"/>
        </w:rPr>
        <w:t>‐</w:t>
      </w:r>
      <w:r w:rsidRPr="008D2E23">
        <w:t>Food Trade: United Kingdom Exit From EU. </w:t>
      </w:r>
      <w:r w:rsidRPr="008D2E23">
        <w:rPr>
          <w:i/>
          <w:iCs/>
        </w:rPr>
        <w:t>The World Economy</w:t>
      </w:r>
      <w:r w:rsidRPr="008D2E23">
        <w:t>, </w:t>
      </w:r>
      <w:r w:rsidRPr="008D2E23">
        <w:rPr>
          <w:i/>
          <w:iCs/>
        </w:rPr>
        <w:t>48</w:t>
      </w:r>
      <w:r w:rsidRPr="008D2E23">
        <w:t>(9), pp.2042-2062.</w:t>
      </w:r>
    </w:p>
    <w:p w14:paraId="29B8825C" w14:textId="77777777" w:rsidR="00E65CDC" w:rsidRPr="002F383C" w:rsidRDefault="00E65CDC" w:rsidP="00D23C43">
      <w:pPr>
        <w:spacing w:before="240" w:after="240"/>
        <w:rPr>
          <w:rFonts w:cs="Times New Roman"/>
        </w:rPr>
      </w:pPr>
      <w:r w:rsidRPr="002F383C">
        <w:rPr>
          <w:rFonts w:cs="Times New Roman"/>
        </w:rPr>
        <w:t>Du, J., Shepotylo, O. and Yuan, X. (2025) How did the Brexit uncertainty impact services exports of UK firms?. </w:t>
      </w:r>
      <w:r w:rsidRPr="002F383C">
        <w:rPr>
          <w:rFonts w:cs="Times New Roman"/>
          <w:i/>
          <w:iCs/>
        </w:rPr>
        <w:t>Journal of International Business Policy</w:t>
      </w:r>
      <w:r w:rsidRPr="002F383C">
        <w:rPr>
          <w:rFonts w:cs="Times New Roman"/>
        </w:rPr>
        <w:t>, </w:t>
      </w:r>
      <w:r w:rsidRPr="002F383C">
        <w:rPr>
          <w:rFonts w:cs="Times New Roman"/>
          <w:i/>
          <w:iCs/>
        </w:rPr>
        <w:t>8</w:t>
      </w:r>
      <w:r w:rsidRPr="002F383C">
        <w:rPr>
          <w:rFonts w:cs="Times New Roman"/>
        </w:rPr>
        <w:t>(1), pp. 80-104.</w:t>
      </w:r>
    </w:p>
    <w:p w14:paraId="266DCBF4" w14:textId="77777777" w:rsidR="00E65CDC" w:rsidRPr="002F383C" w:rsidRDefault="00E65CDC" w:rsidP="00D23C43">
      <w:pPr>
        <w:spacing w:before="240" w:after="240"/>
        <w:rPr>
          <w:rFonts w:cs="Times New Roman"/>
        </w:rPr>
      </w:pPr>
      <w:r w:rsidRPr="002F383C">
        <w:rPr>
          <w:rFonts w:cs="Times New Roman"/>
        </w:rPr>
        <w:t>Dukhaykh, S. and Alangri, N. (2026) Dynamic capabilities and sustainable competitive advantage in SMEs: the roles of innovation and organizational learning. </w:t>
      </w:r>
      <w:r w:rsidRPr="002F383C">
        <w:rPr>
          <w:rFonts w:cs="Times New Roman"/>
          <w:i/>
          <w:iCs/>
        </w:rPr>
        <w:t>Sustainability</w:t>
      </w:r>
      <w:r w:rsidRPr="002F383C">
        <w:rPr>
          <w:rFonts w:cs="Times New Roman"/>
        </w:rPr>
        <w:t>, </w:t>
      </w:r>
      <w:r w:rsidRPr="002F383C">
        <w:rPr>
          <w:rFonts w:cs="Times New Roman"/>
          <w:i/>
          <w:iCs/>
        </w:rPr>
        <w:t>18</w:t>
      </w:r>
      <w:r w:rsidRPr="002F383C">
        <w:rPr>
          <w:rFonts w:cs="Times New Roman"/>
        </w:rPr>
        <w:t>(3), p. 1320.</w:t>
      </w:r>
    </w:p>
    <w:p w14:paraId="5D3622E2" w14:textId="77777777" w:rsidR="00E65CDC" w:rsidRPr="002F383C" w:rsidRDefault="00E65CDC" w:rsidP="00D23C43">
      <w:pPr>
        <w:spacing w:before="240" w:after="240"/>
        <w:rPr>
          <w:rFonts w:cs="Times New Roman"/>
        </w:rPr>
      </w:pPr>
      <w:r w:rsidRPr="002F383C">
        <w:rPr>
          <w:rFonts w:cs="Times New Roman"/>
        </w:rPr>
        <w:t>Farina, G., Kocian, A., Brunori, G., Chessa, S., Lai, M.B., Nardi, D., Schifanella, C., Bonura, S., Masi, N., Comella, S. and Ambrosino, F. (2025) Interoperable traceability in agrifood supply chains: enhancing transport systems through IoT sensor data, blockchain, and dataspace. </w:t>
      </w:r>
      <w:r w:rsidRPr="002F383C">
        <w:rPr>
          <w:rFonts w:cs="Times New Roman"/>
          <w:i/>
          <w:iCs/>
        </w:rPr>
        <w:t>Sensors</w:t>
      </w:r>
      <w:r w:rsidRPr="002F383C">
        <w:rPr>
          <w:rFonts w:cs="Times New Roman"/>
        </w:rPr>
        <w:t>, </w:t>
      </w:r>
      <w:r w:rsidRPr="002F383C">
        <w:rPr>
          <w:rFonts w:cs="Times New Roman"/>
          <w:i/>
          <w:iCs/>
        </w:rPr>
        <w:t>25</w:t>
      </w:r>
      <w:r w:rsidRPr="002F383C">
        <w:rPr>
          <w:rFonts w:cs="Times New Roman"/>
        </w:rPr>
        <w:t>(11), p.3419.</w:t>
      </w:r>
    </w:p>
    <w:p w14:paraId="00E530BE" w14:textId="77777777" w:rsidR="00E65CDC" w:rsidRPr="002F383C" w:rsidRDefault="00E65CDC" w:rsidP="00D23C43">
      <w:pPr>
        <w:spacing w:before="240" w:after="240"/>
        <w:rPr>
          <w:rFonts w:cs="Times New Roman"/>
        </w:rPr>
      </w:pPr>
      <w:r w:rsidRPr="002F383C">
        <w:rPr>
          <w:rFonts w:cs="Times New Roman"/>
        </w:rPr>
        <w:t>Galanakis, C.M., Rizou, M., Aldawoud, T.M., Ucak, I. and Rowan, N.J. (2021) Innovations and technology disruptions in the food sector within the COVID-19 pandemic and post-lockdown era. </w:t>
      </w:r>
      <w:r w:rsidRPr="002F383C">
        <w:rPr>
          <w:rFonts w:cs="Times New Roman"/>
          <w:i/>
          <w:iCs/>
        </w:rPr>
        <w:t>Trends in Food Science &amp; Technology</w:t>
      </w:r>
      <w:r w:rsidRPr="002F383C">
        <w:rPr>
          <w:rFonts w:cs="Times New Roman"/>
        </w:rPr>
        <w:t>, </w:t>
      </w:r>
      <w:r w:rsidRPr="002F383C">
        <w:rPr>
          <w:rFonts w:cs="Times New Roman"/>
          <w:i/>
          <w:iCs/>
        </w:rPr>
        <w:t>110</w:t>
      </w:r>
      <w:r w:rsidRPr="002F383C">
        <w:rPr>
          <w:rFonts w:cs="Times New Roman"/>
        </w:rPr>
        <w:t>, pp.193-200.</w:t>
      </w:r>
    </w:p>
    <w:p w14:paraId="738B8711" w14:textId="77777777" w:rsidR="00E65CDC" w:rsidRPr="002F383C" w:rsidRDefault="00E65CDC" w:rsidP="00D23C43">
      <w:pPr>
        <w:spacing w:before="240" w:after="240"/>
        <w:rPr>
          <w:rFonts w:cs="Times New Roman"/>
        </w:rPr>
      </w:pPr>
      <w:r w:rsidRPr="002F383C">
        <w:rPr>
          <w:rFonts w:cs="Times New Roman"/>
        </w:rPr>
        <w:t>Galvão, A.R., Mascarenhas, C., Marques, C.S., Braga, V., Moreira, L., Ferreira, P. and Castro, T. (2021) Sustainable international expansion via cooperation networks in the manufacturing industries. </w:t>
      </w:r>
      <w:r w:rsidRPr="002F383C">
        <w:rPr>
          <w:rFonts w:cs="Times New Roman"/>
          <w:i/>
          <w:iCs/>
        </w:rPr>
        <w:t>Sustainability</w:t>
      </w:r>
      <w:r w:rsidRPr="002F383C">
        <w:rPr>
          <w:rFonts w:cs="Times New Roman"/>
        </w:rPr>
        <w:t>, </w:t>
      </w:r>
      <w:r w:rsidRPr="002F383C">
        <w:rPr>
          <w:rFonts w:cs="Times New Roman"/>
          <w:i/>
          <w:iCs/>
        </w:rPr>
        <w:t>13</w:t>
      </w:r>
      <w:r w:rsidRPr="002F383C">
        <w:rPr>
          <w:rFonts w:cs="Times New Roman"/>
        </w:rPr>
        <w:t>(24), p. 14013.</w:t>
      </w:r>
    </w:p>
    <w:p w14:paraId="4AC99129" w14:textId="77777777" w:rsidR="00E65CDC" w:rsidRPr="002F383C" w:rsidRDefault="00E65CDC" w:rsidP="00D23C43">
      <w:pPr>
        <w:spacing w:before="240" w:after="240"/>
        <w:rPr>
          <w:rFonts w:cs="Times New Roman"/>
        </w:rPr>
      </w:pPr>
      <w:r w:rsidRPr="002F383C">
        <w:rPr>
          <w:rFonts w:cs="Times New Roman"/>
        </w:rPr>
        <w:t>Garrido-Moreno, A., Martín-Rojas, R. and García-Morales, V.J. (2024) The key role of innovation and organizational resilience in improving business performance: A mixed-methods approach. </w:t>
      </w:r>
      <w:r w:rsidRPr="002F383C">
        <w:rPr>
          <w:rFonts w:cs="Times New Roman"/>
          <w:i/>
          <w:iCs/>
        </w:rPr>
        <w:t>International Journal of Information Management</w:t>
      </w:r>
      <w:r w:rsidRPr="002F383C">
        <w:rPr>
          <w:rFonts w:cs="Times New Roman"/>
        </w:rPr>
        <w:t>, </w:t>
      </w:r>
      <w:r w:rsidRPr="002F383C">
        <w:rPr>
          <w:rFonts w:cs="Times New Roman"/>
          <w:i/>
          <w:iCs/>
        </w:rPr>
        <w:t>77</w:t>
      </w:r>
      <w:r w:rsidRPr="002F383C">
        <w:rPr>
          <w:rFonts w:cs="Times New Roman"/>
        </w:rPr>
        <w:t xml:space="preserve">, p. 102777. </w:t>
      </w:r>
    </w:p>
    <w:p w14:paraId="31D2AC2F" w14:textId="77777777" w:rsidR="00E65CDC" w:rsidRPr="002F383C" w:rsidRDefault="00E65CDC" w:rsidP="00D23C43">
      <w:pPr>
        <w:spacing w:before="240" w:after="240"/>
        <w:rPr>
          <w:rFonts w:cs="Times New Roman"/>
        </w:rPr>
      </w:pPr>
      <w:r w:rsidRPr="002F383C">
        <w:rPr>
          <w:rFonts w:cs="Times New Roman"/>
        </w:rPr>
        <w:t xml:space="preserve">Gov UK. (2024) United Kingdom Food Security Report 2024: Theme 3: Food Supply Chain Resilience [Online]. Available at: </w:t>
      </w:r>
      <w:hyperlink r:id="rId21" w:history="1">
        <w:r w:rsidRPr="002F383C">
          <w:rPr>
            <w:rStyle w:val="Hyperlink"/>
            <w:rFonts w:cs="Times New Roman"/>
          </w:rPr>
          <w:t>https://www.gov.uk/government/statistics/united-kingdom-food-security-report-2024/united-kingdom-food-security-report-2024-theme-3-food-supply-chain-resilience</w:t>
        </w:r>
      </w:hyperlink>
      <w:r w:rsidRPr="002F383C">
        <w:rPr>
          <w:rFonts w:cs="Times New Roman"/>
        </w:rPr>
        <w:t xml:space="preserve"> [Accessed on: 17/08/2026].</w:t>
      </w:r>
    </w:p>
    <w:p w14:paraId="7A245C31" w14:textId="77777777" w:rsidR="00E65CDC" w:rsidRPr="002F383C" w:rsidRDefault="00E65CDC" w:rsidP="00D23C43">
      <w:pPr>
        <w:spacing w:before="240" w:after="240"/>
        <w:rPr>
          <w:rFonts w:cs="Times New Roman"/>
          <w:lang w:val="en-IN"/>
        </w:rPr>
      </w:pPr>
      <w:r w:rsidRPr="002F383C">
        <w:rPr>
          <w:rFonts w:cs="Times New Roman"/>
          <w:lang w:val="en-IN"/>
        </w:rPr>
        <w:t xml:space="preserve">Gupta, S. and Jamwal, A. (2026) Enabling supply chain viability through digital transformation: Analysis of barriers in Industry 4.0 context. </w:t>
      </w:r>
      <w:r w:rsidRPr="002F383C">
        <w:rPr>
          <w:rFonts w:cs="Times New Roman"/>
          <w:i/>
          <w:iCs/>
          <w:lang w:val="en-IN"/>
        </w:rPr>
        <w:t>Journal of Digital Economy</w:t>
      </w:r>
      <w:r w:rsidRPr="002F383C">
        <w:rPr>
          <w:rFonts w:cs="Times New Roman"/>
          <w:lang w:val="en-IN"/>
        </w:rPr>
        <w:t xml:space="preserve">, </w:t>
      </w:r>
      <w:r w:rsidRPr="002F383C">
        <w:rPr>
          <w:rFonts w:cs="Times New Roman"/>
          <w:i/>
          <w:iCs/>
          <w:lang w:val="en-IN"/>
        </w:rPr>
        <w:t>5</w:t>
      </w:r>
      <w:r w:rsidRPr="002F383C">
        <w:rPr>
          <w:rFonts w:cs="Times New Roman"/>
          <w:lang w:val="en-IN"/>
        </w:rPr>
        <w:t xml:space="preserve">, pp. 31–48. </w:t>
      </w:r>
    </w:p>
    <w:p w14:paraId="5FF1AAD3" w14:textId="77777777" w:rsidR="00E65CDC" w:rsidRPr="002F383C" w:rsidRDefault="00E65CDC" w:rsidP="00D23C43">
      <w:pPr>
        <w:spacing w:before="240" w:after="240"/>
        <w:rPr>
          <w:rFonts w:cs="Times New Roman"/>
          <w:shd w:val="clear" w:color="auto" w:fill="FFFFFF"/>
        </w:rPr>
      </w:pPr>
      <w:r w:rsidRPr="002F383C">
        <w:rPr>
          <w:rFonts w:cs="Times New Roman"/>
          <w:shd w:val="clear" w:color="auto" w:fill="FFFFFF"/>
        </w:rPr>
        <w:t xml:space="preserve">Habibi, F., Chakrabortty, R.K., Abbasi, A. and Ho, W. (2025) Investigating disruption propagation and resilience of supply chain networks: interplay of tiers and connections. </w:t>
      </w:r>
      <w:r w:rsidRPr="002F383C">
        <w:rPr>
          <w:rFonts w:cs="Times New Roman"/>
          <w:i/>
          <w:iCs/>
          <w:shd w:val="clear" w:color="auto" w:fill="FFFFFF"/>
        </w:rPr>
        <w:t>International Journal of Production Research</w:t>
      </w:r>
      <w:r w:rsidRPr="002F383C">
        <w:rPr>
          <w:rFonts w:cs="Times New Roman"/>
          <w:shd w:val="clear" w:color="auto" w:fill="FFFFFF"/>
        </w:rPr>
        <w:t xml:space="preserve">, </w:t>
      </w:r>
      <w:r w:rsidRPr="002F383C">
        <w:rPr>
          <w:rFonts w:cs="Times New Roman"/>
          <w:i/>
          <w:iCs/>
          <w:shd w:val="clear" w:color="auto" w:fill="FFFFFF"/>
        </w:rPr>
        <w:t>63</w:t>
      </w:r>
      <w:r w:rsidRPr="002F383C">
        <w:rPr>
          <w:rFonts w:cs="Times New Roman"/>
          <w:shd w:val="clear" w:color="auto" w:fill="FFFFFF"/>
        </w:rPr>
        <w:t>(17), pp.6229-6251.</w:t>
      </w:r>
    </w:p>
    <w:p w14:paraId="55335790" w14:textId="77777777" w:rsidR="00E65CDC" w:rsidRPr="002F383C" w:rsidRDefault="00E65CDC" w:rsidP="00D23C43">
      <w:pPr>
        <w:spacing w:before="240" w:after="240"/>
        <w:rPr>
          <w:rFonts w:cs="Times New Roman"/>
          <w:shd w:val="clear" w:color="auto" w:fill="FFFFFF"/>
        </w:rPr>
      </w:pPr>
      <w:r w:rsidRPr="002F383C">
        <w:rPr>
          <w:rFonts w:cs="Times New Roman"/>
          <w:shd w:val="clear" w:color="auto" w:fill="FFFFFF"/>
        </w:rPr>
        <w:t xml:space="preserve">Hobbs, J.E. and Hadachek, J. (2024) The economics of food supply chain resilience. </w:t>
      </w:r>
      <w:r w:rsidRPr="002F383C">
        <w:rPr>
          <w:rFonts w:cs="Times New Roman"/>
          <w:i/>
          <w:iCs/>
          <w:shd w:val="clear" w:color="auto" w:fill="FFFFFF"/>
        </w:rPr>
        <w:t>Annual Review of Resource Economics</w:t>
      </w:r>
      <w:r w:rsidRPr="002F383C">
        <w:rPr>
          <w:rFonts w:cs="Times New Roman"/>
          <w:shd w:val="clear" w:color="auto" w:fill="FFFFFF"/>
        </w:rPr>
        <w:t xml:space="preserve">, </w:t>
      </w:r>
      <w:r w:rsidRPr="002F383C">
        <w:rPr>
          <w:rFonts w:cs="Times New Roman"/>
          <w:i/>
          <w:iCs/>
          <w:shd w:val="clear" w:color="auto" w:fill="FFFFFF"/>
        </w:rPr>
        <w:t>16</w:t>
      </w:r>
      <w:r w:rsidRPr="002F383C">
        <w:rPr>
          <w:rFonts w:cs="Times New Roman"/>
          <w:shd w:val="clear" w:color="auto" w:fill="FFFFFF"/>
        </w:rPr>
        <w:t>(1), pp.379-397.</w:t>
      </w:r>
    </w:p>
    <w:p w14:paraId="2DB31345" w14:textId="77777777" w:rsidR="00E65CDC" w:rsidRPr="002F383C" w:rsidRDefault="00E65CDC" w:rsidP="00D23C43">
      <w:pPr>
        <w:spacing w:before="240" w:after="240"/>
        <w:rPr>
          <w:rFonts w:cs="Times New Roman"/>
        </w:rPr>
      </w:pPr>
      <w:r w:rsidRPr="002F383C">
        <w:rPr>
          <w:rFonts w:cs="Times New Roman"/>
        </w:rPr>
        <w:t>House of Commons. (2023) Environment, Food and Rural Affairs Committee. [Online]. Available at: https://committees.parliament.uk/publications/41095/documents/200335/default/ [Accessed on: 11</w:t>
      </w:r>
      <w:r w:rsidRPr="002F383C">
        <w:rPr>
          <w:rFonts w:cs="Times New Roman"/>
          <w:vertAlign w:val="superscript"/>
        </w:rPr>
        <w:t>th</w:t>
      </w:r>
      <w:r w:rsidRPr="002F383C">
        <w:rPr>
          <w:rFonts w:cs="Times New Roman"/>
        </w:rPr>
        <w:t xml:space="preserve"> September 2026].</w:t>
      </w:r>
    </w:p>
    <w:p w14:paraId="49F6FD61" w14:textId="77777777" w:rsidR="00E65CDC" w:rsidRPr="002F383C" w:rsidRDefault="00E65CDC" w:rsidP="00D23C43">
      <w:pPr>
        <w:spacing w:before="240" w:after="240"/>
        <w:rPr>
          <w:rFonts w:cs="Times New Roman"/>
        </w:rPr>
      </w:pPr>
      <w:r w:rsidRPr="002F383C">
        <w:rPr>
          <w:rFonts w:cs="Times New Roman"/>
        </w:rPr>
        <w:t>Hudson, Jr, P.L. and Richardson, J. (2024) Venture capital internationalization in China and the Uppsala model. </w:t>
      </w:r>
      <w:r w:rsidRPr="002F383C">
        <w:rPr>
          <w:rFonts w:cs="Times New Roman"/>
          <w:i/>
          <w:iCs/>
        </w:rPr>
        <w:t>International Entrepreneurship and Management Journal</w:t>
      </w:r>
      <w:r w:rsidRPr="002F383C">
        <w:rPr>
          <w:rFonts w:cs="Times New Roman"/>
        </w:rPr>
        <w:t>, </w:t>
      </w:r>
      <w:r w:rsidRPr="002F383C">
        <w:rPr>
          <w:rFonts w:cs="Times New Roman"/>
          <w:i/>
          <w:iCs/>
        </w:rPr>
        <w:t>20</w:t>
      </w:r>
      <w:r w:rsidRPr="002F383C">
        <w:rPr>
          <w:rFonts w:cs="Times New Roman"/>
        </w:rPr>
        <w:t>(3), pp. 1731-1757.</w:t>
      </w:r>
    </w:p>
    <w:p w14:paraId="23635EBD" w14:textId="77777777" w:rsidR="00E65CDC" w:rsidRPr="002F383C" w:rsidRDefault="00E65CDC" w:rsidP="00D23C43">
      <w:pPr>
        <w:spacing w:before="240" w:after="240"/>
        <w:rPr>
          <w:rFonts w:cs="Times New Roman"/>
        </w:rPr>
      </w:pPr>
      <w:r w:rsidRPr="002F383C">
        <w:rPr>
          <w:rFonts w:cs="Times New Roman"/>
        </w:rPr>
        <w:t>Iftikhar, A., Ali, I., Zhan, Y., Stevenson, M. and Tarba, S.Y. (2025) Firms’ strategic responses to rising uncertainty amid ongoing geopolitical tensions: The synergistic mediating role of network capability and innovation ambidexterity. </w:t>
      </w:r>
      <w:r w:rsidRPr="002F383C">
        <w:rPr>
          <w:rFonts w:cs="Times New Roman"/>
          <w:i/>
          <w:iCs/>
        </w:rPr>
        <w:t>Transportation Research Part E: Logistics and Transportation Review</w:t>
      </w:r>
      <w:r w:rsidRPr="002F383C">
        <w:rPr>
          <w:rFonts w:cs="Times New Roman"/>
        </w:rPr>
        <w:t>, </w:t>
      </w:r>
      <w:r w:rsidRPr="002F383C">
        <w:rPr>
          <w:rFonts w:cs="Times New Roman"/>
          <w:i/>
          <w:iCs/>
        </w:rPr>
        <w:t>199</w:t>
      </w:r>
      <w:r w:rsidRPr="002F383C">
        <w:rPr>
          <w:rFonts w:cs="Times New Roman"/>
        </w:rPr>
        <w:t>, p. 104146.</w:t>
      </w:r>
    </w:p>
    <w:p w14:paraId="36362CBC" w14:textId="77777777" w:rsidR="00E65CDC" w:rsidRPr="002F383C" w:rsidRDefault="00E65CDC" w:rsidP="00D23C43">
      <w:pPr>
        <w:spacing w:before="240" w:after="240"/>
        <w:rPr>
          <w:rFonts w:cs="Times New Roman"/>
        </w:rPr>
      </w:pPr>
      <w:r w:rsidRPr="002F383C">
        <w:rPr>
          <w:rFonts w:cs="Times New Roman"/>
        </w:rPr>
        <w:t>Igwe, P.A., Rugara, D.G. and Rahman, M. (2022) A triad of uppsala internationalization of emerging markets firms and challenges: A systematic review. </w:t>
      </w:r>
      <w:r w:rsidRPr="002F383C">
        <w:rPr>
          <w:rFonts w:cs="Times New Roman"/>
          <w:i/>
          <w:iCs/>
        </w:rPr>
        <w:t>Administrative Sciences</w:t>
      </w:r>
      <w:r w:rsidRPr="002F383C">
        <w:rPr>
          <w:rFonts w:cs="Times New Roman"/>
        </w:rPr>
        <w:t>, </w:t>
      </w:r>
      <w:r w:rsidRPr="002F383C">
        <w:rPr>
          <w:rFonts w:cs="Times New Roman"/>
          <w:i/>
          <w:iCs/>
        </w:rPr>
        <w:t>12</w:t>
      </w:r>
      <w:r w:rsidRPr="002F383C">
        <w:rPr>
          <w:rFonts w:cs="Times New Roman"/>
        </w:rPr>
        <w:t>(1), p. 3.</w:t>
      </w:r>
    </w:p>
    <w:p w14:paraId="575F0B5A" w14:textId="77777777" w:rsidR="00E65CDC" w:rsidRPr="002F383C" w:rsidRDefault="00E65CDC" w:rsidP="00D23C43">
      <w:pPr>
        <w:spacing w:before="240" w:after="240"/>
        <w:rPr>
          <w:rFonts w:cs="Times New Roman"/>
          <w:shd w:val="clear" w:color="auto" w:fill="FFFFFF"/>
        </w:rPr>
      </w:pPr>
      <w:r w:rsidRPr="002F383C">
        <w:rPr>
          <w:rFonts w:cs="Times New Roman"/>
          <w:shd w:val="clear" w:color="auto" w:fill="FFFFFF"/>
        </w:rPr>
        <w:t xml:space="preserve">Ike, P.N., Ogbuefi, E., Nnabueze, S.B., Olatunde-Thorpe, J., Aifuwa, S.E., Oshoba, T.O. and Akokodaripon, D. (2021) Supplier relationship management strategies fostering innovation, collaboration, and resilience in global supply chain ecosystems. </w:t>
      </w:r>
      <w:r w:rsidRPr="002F383C">
        <w:rPr>
          <w:rFonts w:cs="Times New Roman"/>
          <w:i/>
          <w:iCs/>
          <w:shd w:val="clear" w:color="auto" w:fill="FFFFFF"/>
        </w:rPr>
        <w:t>International Journal of Multidisciplinary Evolutionary Research</w:t>
      </w:r>
      <w:r w:rsidRPr="002F383C">
        <w:rPr>
          <w:rFonts w:cs="Times New Roman"/>
          <w:shd w:val="clear" w:color="auto" w:fill="FFFFFF"/>
        </w:rPr>
        <w:t xml:space="preserve">, </w:t>
      </w:r>
      <w:r w:rsidRPr="002F383C">
        <w:rPr>
          <w:rFonts w:cs="Times New Roman"/>
          <w:i/>
          <w:iCs/>
          <w:shd w:val="clear" w:color="auto" w:fill="FFFFFF"/>
        </w:rPr>
        <w:t>2</w:t>
      </w:r>
      <w:r w:rsidRPr="002F383C">
        <w:rPr>
          <w:rFonts w:cs="Times New Roman"/>
          <w:shd w:val="clear" w:color="auto" w:fill="FFFFFF"/>
        </w:rPr>
        <w:t>(2), pp.52-62.</w:t>
      </w:r>
    </w:p>
    <w:p w14:paraId="74435A7A" w14:textId="77777777" w:rsidR="00E65CDC" w:rsidRPr="002F383C" w:rsidRDefault="00E65CDC" w:rsidP="00D23C43">
      <w:pPr>
        <w:spacing w:before="240" w:after="240"/>
        <w:rPr>
          <w:rFonts w:cs="Times New Roman"/>
        </w:rPr>
      </w:pPr>
      <w:r w:rsidRPr="002F383C">
        <w:rPr>
          <w:rFonts w:cs="Times New Roman"/>
        </w:rPr>
        <w:t>Jin, X., Yang, D. and Rhee, M. (2024) How do dynamic capabilities enable a firm to convert the external pressures into environmental innovation? A process-based study using structural equation modeling. </w:t>
      </w:r>
      <w:r w:rsidRPr="002F383C">
        <w:rPr>
          <w:rFonts w:cs="Times New Roman"/>
          <w:i/>
          <w:iCs/>
        </w:rPr>
        <w:t>Systems</w:t>
      </w:r>
      <w:r w:rsidRPr="002F383C">
        <w:rPr>
          <w:rFonts w:cs="Times New Roman"/>
        </w:rPr>
        <w:t>, </w:t>
      </w:r>
      <w:r w:rsidRPr="002F383C">
        <w:rPr>
          <w:rFonts w:cs="Times New Roman"/>
          <w:i/>
          <w:iCs/>
        </w:rPr>
        <w:t>12</w:t>
      </w:r>
      <w:r w:rsidRPr="002F383C">
        <w:rPr>
          <w:rFonts w:cs="Times New Roman"/>
        </w:rPr>
        <w:t>(12), p. 561.</w:t>
      </w:r>
    </w:p>
    <w:p w14:paraId="56F2F1E8" w14:textId="77777777" w:rsidR="00E65CDC" w:rsidRPr="002F383C" w:rsidRDefault="00E65CDC" w:rsidP="00D23C43">
      <w:pPr>
        <w:spacing w:before="240" w:after="240"/>
        <w:rPr>
          <w:rFonts w:cs="Times New Roman"/>
        </w:rPr>
      </w:pPr>
      <w:r w:rsidRPr="002F383C">
        <w:rPr>
          <w:rFonts w:cs="Times New Roman"/>
        </w:rPr>
        <w:t>Joshi, S., Sharma, M., Ekren, B.Y., Kazancoglu, Y., Luthra, S. and Prasad, M. (2023) Assessing supply chain innovations for building resilient food supply chains: an emerging economy perspective. </w:t>
      </w:r>
      <w:r w:rsidRPr="002F383C">
        <w:rPr>
          <w:rFonts w:cs="Times New Roman"/>
          <w:i/>
          <w:iCs/>
        </w:rPr>
        <w:t>Sustainability</w:t>
      </w:r>
      <w:r w:rsidRPr="002F383C">
        <w:rPr>
          <w:rFonts w:cs="Times New Roman"/>
        </w:rPr>
        <w:t>, </w:t>
      </w:r>
      <w:r w:rsidRPr="002F383C">
        <w:rPr>
          <w:rFonts w:cs="Times New Roman"/>
          <w:i/>
          <w:iCs/>
        </w:rPr>
        <w:t>15</w:t>
      </w:r>
      <w:r w:rsidRPr="002F383C">
        <w:rPr>
          <w:rFonts w:cs="Times New Roman"/>
        </w:rPr>
        <w:t>(6), p.4924.</w:t>
      </w:r>
    </w:p>
    <w:p w14:paraId="41372739" w14:textId="77777777" w:rsidR="00E65CDC" w:rsidRPr="002F383C" w:rsidRDefault="00E65CDC" w:rsidP="00D23C43">
      <w:pPr>
        <w:spacing w:before="240" w:after="240"/>
        <w:rPr>
          <w:rFonts w:cs="Times New Roman"/>
          <w:shd w:val="clear" w:color="auto" w:fill="FFFFFF"/>
        </w:rPr>
      </w:pPr>
      <w:r w:rsidRPr="002F383C">
        <w:rPr>
          <w:rFonts w:cs="Times New Roman"/>
          <w:shd w:val="clear" w:color="auto" w:fill="FFFFFF"/>
        </w:rPr>
        <w:t xml:space="preserve">Kähkönen, A.K., Evangelista, P., Hallikas, J., Immonen, M. and Lintukangas, K. (2023) COVID-19 as a trigger for dynamic capability development and supply chain resilience improvement. </w:t>
      </w:r>
      <w:r w:rsidRPr="002F383C">
        <w:rPr>
          <w:rFonts w:cs="Times New Roman"/>
          <w:i/>
          <w:iCs/>
          <w:shd w:val="clear" w:color="auto" w:fill="FFFFFF"/>
        </w:rPr>
        <w:t>International Journal of Production Research</w:t>
      </w:r>
      <w:r w:rsidRPr="002F383C">
        <w:rPr>
          <w:rFonts w:cs="Times New Roman"/>
          <w:shd w:val="clear" w:color="auto" w:fill="FFFFFF"/>
        </w:rPr>
        <w:t xml:space="preserve">, </w:t>
      </w:r>
      <w:r w:rsidRPr="002F383C">
        <w:rPr>
          <w:rFonts w:cs="Times New Roman"/>
          <w:i/>
          <w:iCs/>
          <w:shd w:val="clear" w:color="auto" w:fill="FFFFFF"/>
        </w:rPr>
        <w:t>61</w:t>
      </w:r>
      <w:r w:rsidRPr="002F383C">
        <w:rPr>
          <w:rFonts w:cs="Times New Roman"/>
          <w:shd w:val="clear" w:color="auto" w:fill="FFFFFF"/>
        </w:rPr>
        <w:t>(8), pp.2696-2715.</w:t>
      </w:r>
    </w:p>
    <w:p w14:paraId="7BE89CA8" w14:textId="77777777" w:rsidR="00E65CDC" w:rsidRPr="002F383C" w:rsidRDefault="00E65CDC" w:rsidP="00D23C43">
      <w:pPr>
        <w:spacing w:before="240" w:after="240"/>
        <w:rPr>
          <w:rFonts w:cs="Times New Roman"/>
          <w:shd w:val="clear" w:color="auto" w:fill="FFFFFF"/>
        </w:rPr>
      </w:pPr>
      <w:r w:rsidRPr="002F383C">
        <w:rPr>
          <w:rFonts w:cs="Times New Roman"/>
          <w:shd w:val="clear" w:color="auto" w:fill="FFFFFF"/>
        </w:rPr>
        <w:t xml:space="preserve">Katsaliaki, K., Galetsi, P. and Kumar, S. (2022) Supply chain disruptions and resilience: a major review and future research agenda. </w:t>
      </w:r>
      <w:r w:rsidRPr="002F383C">
        <w:rPr>
          <w:rFonts w:cs="Times New Roman"/>
          <w:i/>
          <w:iCs/>
          <w:shd w:val="clear" w:color="auto" w:fill="FFFFFF"/>
        </w:rPr>
        <w:t>Annals of operations research</w:t>
      </w:r>
      <w:r w:rsidRPr="002F383C">
        <w:rPr>
          <w:rFonts w:cs="Times New Roman"/>
          <w:shd w:val="clear" w:color="auto" w:fill="FFFFFF"/>
        </w:rPr>
        <w:t xml:space="preserve">, </w:t>
      </w:r>
      <w:r w:rsidRPr="002F383C">
        <w:rPr>
          <w:rFonts w:cs="Times New Roman"/>
          <w:i/>
          <w:iCs/>
          <w:shd w:val="clear" w:color="auto" w:fill="FFFFFF"/>
        </w:rPr>
        <w:t>319</w:t>
      </w:r>
      <w:r w:rsidRPr="002F383C">
        <w:rPr>
          <w:rFonts w:cs="Times New Roman"/>
          <w:shd w:val="clear" w:color="auto" w:fill="FFFFFF"/>
        </w:rPr>
        <w:t>(1), pp.965-1002.</w:t>
      </w:r>
    </w:p>
    <w:p w14:paraId="25CEC8E7" w14:textId="77777777" w:rsidR="00E65CDC" w:rsidRPr="002F383C" w:rsidRDefault="00E65CDC" w:rsidP="00D23C43">
      <w:pPr>
        <w:spacing w:before="240" w:after="240"/>
        <w:rPr>
          <w:rFonts w:cs="Times New Roman"/>
        </w:rPr>
      </w:pPr>
      <w:r w:rsidRPr="002F383C">
        <w:rPr>
          <w:rFonts w:cs="Times New Roman"/>
        </w:rPr>
        <w:t>Khanday, S.A., Vali, K.M., Junaid, M. and Ahmad, M. (2024) Understanding positivism: A qualitative exploration of its principles and relevance today. </w:t>
      </w:r>
      <w:r w:rsidRPr="002F383C">
        <w:rPr>
          <w:rFonts w:cs="Times New Roman"/>
          <w:i/>
          <w:iCs/>
        </w:rPr>
        <w:t xml:space="preserve">European Journal of Applied Sciences, </w:t>
      </w:r>
      <w:r w:rsidRPr="002F383C">
        <w:rPr>
          <w:rFonts w:cs="Times New Roman"/>
          <w:i/>
        </w:rPr>
        <w:t>12</w:t>
      </w:r>
      <w:r w:rsidRPr="002F383C">
        <w:rPr>
          <w:rFonts w:cs="Times New Roman"/>
        </w:rPr>
        <w:t>(6),pp. 531-543.</w:t>
      </w:r>
    </w:p>
    <w:p w14:paraId="08FE00BE" w14:textId="77777777" w:rsidR="00E65CDC" w:rsidRPr="002F383C" w:rsidRDefault="00E65CDC" w:rsidP="00D23C43">
      <w:pPr>
        <w:spacing w:before="240" w:after="240"/>
        <w:rPr>
          <w:rFonts w:cs="Times New Roman"/>
          <w:shd w:val="clear" w:color="auto" w:fill="FFFFFF"/>
        </w:rPr>
      </w:pPr>
      <w:r w:rsidRPr="002F383C">
        <w:rPr>
          <w:rFonts w:cs="Times New Roman"/>
          <w:shd w:val="clear" w:color="auto" w:fill="FFFFFF"/>
        </w:rPr>
        <w:t xml:space="preserve">Kiessling, T., Dabić, M., Yadav, S., Huck, N. and Maley, J.F. (2024) Supply chain disruptions and need for resilience: SMEs direct/indirect exporting and rapid internationalization. </w:t>
      </w:r>
      <w:r w:rsidRPr="002F383C">
        <w:rPr>
          <w:rFonts w:cs="Times New Roman"/>
          <w:i/>
          <w:iCs/>
          <w:shd w:val="clear" w:color="auto" w:fill="FFFFFF"/>
        </w:rPr>
        <w:t>IEEE transactions on engineering management</w:t>
      </w:r>
      <w:r w:rsidRPr="002F383C">
        <w:rPr>
          <w:rFonts w:cs="Times New Roman"/>
          <w:shd w:val="clear" w:color="auto" w:fill="FFFFFF"/>
        </w:rPr>
        <w:t xml:space="preserve">, </w:t>
      </w:r>
      <w:r w:rsidRPr="002F383C">
        <w:rPr>
          <w:rFonts w:cs="Times New Roman"/>
          <w:i/>
          <w:iCs/>
          <w:shd w:val="clear" w:color="auto" w:fill="FFFFFF"/>
        </w:rPr>
        <w:t>72</w:t>
      </w:r>
      <w:r w:rsidRPr="002F383C">
        <w:rPr>
          <w:rFonts w:cs="Times New Roman"/>
          <w:shd w:val="clear" w:color="auto" w:fill="FFFFFF"/>
        </w:rPr>
        <w:t>, pp.115-133.</w:t>
      </w:r>
    </w:p>
    <w:p w14:paraId="136F1CB1" w14:textId="77777777" w:rsidR="00E65CDC" w:rsidRPr="002F383C" w:rsidRDefault="00E65CDC" w:rsidP="00D23C43">
      <w:pPr>
        <w:spacing w:before="240" w:after="240"/>
        <w:rPr>
          <w:rFonts w:cs="Times New Roman"/>
        </w:rPr>
      </w:pPr>
      <w:r w:rsidRPr="002F383C">
        <w:rPr>
          <w:rFonts w:cs="Times New Roman"/>
        </w:rPr>
        <w:t>Kim-Soon, N., Mostafa, S.A., Nurunnabi, M., Chin, L.H., Kumar, N.M., Ali, R.R. and Subramaniam, U. (2020) Quality management practices of food manufacturers: a comparative study between small, medium and large companies in Malaysia. </w:t>
      </w:r>
      <w:r w:rsidRPr="002F383C">
        <w:rPr>
          <w:rFonts w:cs="Times New Roman"/>
          <w:i/>
          <w:iCs/>
        </w:rPr>
        <w:t>Sustainability</w:t>
      </w:r>
      <w:r w:rsidRPr="002F383C">
        <w:rPr>
          <w:rFonts w:cs="Times New Roman"/>
        </w:rPr>
        <w:t>, </w:t>
      </w:r>
      <w:r w:rsidRPr="002F383C">
        <w:rPr>
          <w:rFonts w:cs="Times New Roman"/>
          <w:i/>
          <w:iCs/>
        </w:rPr>
        <w:t>12</w:t>
      </w:r>
      <w:r w:rsidRPr="002F383C">
        <w:rPr>
          <w:rFonts w:cs="Times New Roman"/>
        </w:rPr>
        <w:t>(18), p. 7725.</w:t>
      </w:r>
    </w:p>
    <w:p w14:paraId="28AC7776" w14:textId="77777777" w:rsidR="00E65CDC" w:rsidRPr="002F383C" w:rsidRDefault="00E65CDC" w:rsidP="00D23C43">
      <w:pPr>
        <w:spacing w:before="240" w:after="240"/>
        <w:rPr>
          <w:rFonts w:cs="Times New Roman"/>
        </w:rPr>
      </w:pPr>
      <w:r w:rsidRPr="002F383C">
        <w:rPr>
          <w:rFonts w:cs="Times New Roman"/>
        </w:rPr>
        <w:t>Koray, M., Kaya, E. and Keskin, M.H. (2025) Determining logistical strategies to mitigate supply chain disruptions in maritime shipping for a resilient and sustainable global economy. </w:t>
      </w:r>
      <w:r w:rsidRPr="002F383C">
        <w:rPr>
          <w:rFonts w:cs="Times New Roman"/>
          <w:i/>
          <w:iCs/>
        </w:rPr>
        <w:t>Sustainability</w:t>
      </w:r>
      <w:r w:rsidRPr="002F383C">
        <w:rPr>
          <w:rFonts w:cs="Times New Roman"/>
        </w:rPr>
        <w:t>, </w:t>
      </w:r>
      <w:r w:rsidRPr="002F383C">
        <w:rPr>
          <w:rFonts w:cs="Times New Roman"/>
          <w:i/>
          <w:iCs/>
        </w:rPr>
        <w:t>17</w:t>
      </w:r>
      <w:r w:rsidRPr="002F383C">
        <w:rPr>
          <w:rFonts w:cs="Times New Roman"/>
        </w:rPr>
        <w:t>(12), p. 5261.</w:t>
      </w:r>
    </w:p>
    <w:p w14:paraId="7B6FB671" w14:textId="77777777" w:rsidR="00E65CDC" w:rsidRPr="002F383C" w:rsidRDefault="00E65CDC" w:rsidP="00D23C43">
      <w:pPr>
        <w:spacing w:before="240" w:after="240"/>
        <w:rPr>
          <w:rFonts w:cs="Times New Roman"/>
        </w:rPr>
      </w:pPr>
      <w:r w:rsidRPr="002F383C">
        <w:rPr>
          <w:rFonts w:cs="Times New Roman"/>
        </w:rPr>
        <w:t xml:space="preserve">KPMG. (2025) Reimagining Global Food System Resilience: Enhancing Food Security Through Broad, Cross-Sector Collaboration [Online]. Available at: </w:t>
      </w:r>
      <w:hyperlink r:id="rId22" w:history="1">
        <w:r w:rsidRPr="002F383C">
          <w:rPr>
            <w:rStyle w:val="Hyperlink"/>
            <w:rFonts w:cs="Times New Roman"/>
          </w:rPr>
          <w:t>https://assets.kpmg.com/content/dam/kpmgsites/uk/pdf/2025/08/global-food-resilience.pdf</w:t>
        </w:r>
      </w:hyperlink>
      <w:r w:rsidRPr="002F383C">
        <w:rPr>
          <w:rStyle w:val="contents"/>
          <w:rFonts w:cs="Times New Roman"/>
        </w:rPr>
        <w:t xml:space="preserve"> </w:t>
      </w:r>
      <w:r w:rsidRPr="002F383C">
        <w:rPr>
          <w:rFonts w:cs="Times New Roman"/>
        </w:rPr>
        <w:t xml:space="preserve"> [Accessed on: 11</w:t>
      </w:r>
      <w:r w:rsidRPr="002F383C">
        <w:rPr>
          <w:rFonts w:cs="Times New Roman"/>
          <w:vertAlign w:val="superscript"/>
        </w:rPr>
        <w:t>th</w:t>
      </w:r>
      <w:r w:rsidRPr="002F383C">
        <w:rPr>
          <w:rFonts w:cs="Times New Roman"/>
        </w:rPr>
        <w:t xml:space="preserve"> September 2026].</w:t>
      </w:r>
    </w:p>
    <w:p w14:paraId="07B6FF52" w14:textId="77777777" w:rsidR="00E65CDC" w:rsidRPr="002F383C" w:rsidRDefault="00E65CDC" w:rsidP="00D23C43">
      <w:pPr>
        <w:spacing w:before="240" w:after="240"/>
        <w:rPr>
          <w:rFonts w:cs="Times New Roman"/>
          <w:shd w:val="clear" w:color="auto" w:fill="FFFFFF"/>
        </w:rPr>
      </w:pPr>
      <w:r w:rsidRPr="002F383C">
        <w:rPr>
          <w:rFonts w:cs="Times New Roman"/>
          <w:shd w:val="clear" w:color="auto" w:fill="FFFFFF"/>
        </w:rPr>
        <w:t xml:space="preserve">Li, P., Chen, Y. and Guo, X. (2025) Digital transformation and supply chain resilience. </w:t>
      </w:r>
      <w:r w:rsidRPr="002F383C">
        <w:rPr>
          <w:rFonts w:cs="Times New Roman"/>
          <w:i/>
          <w:iCs/>
          <w:shd w:val="clear" w:color="auto" w:fill="FFFFFF"/>
        </w:rPr>
        <w:t>International Review of Economics &amp; Finance</w:t>
      </w:r>
      <w:r w:rsidRPr="002F383C">
        <w:rPr>
          <w:rFonts w:cs="Times New Roman"/>
          <w:shd w:val="clear" w:color="auto" w:fill="FFFFFF"/>
        </w:rPr>
        <w:t xml:space="preserve">, </w:t>
      </w:r>
      <w:r w:rsidRPr="002F383C">
        <w:rPr>
          <w:rFonts w:cs="Times New Roman"/>
          <w:i/>
          <w:iCs/>
          <w:shd w:val="clear" w:color="auto" w:fill="FFFFFF"/>
        </w:rPr>
        <w:t>99</w:t>
      </w:r>
      <w:r w:rsidRPr="002F383C">
        <w:rPr>
          <w:rFonts w:cs="Times New Roman"/>
          <w:shd w:val="clear" w:color="auto" w:fill="FFFFFF"/>
        </w:rPr>
        <w:t>, p.104033.</w:t>
      </w:r>
    </w:p>
    <w:p w14:paraId="126DA06B" w14:textId="77777777" w:rsidR="00E65CDC" w:rsidRPr="002F383C" w:rsidRDefault="00E65CDC" w:rsidP="00D23C43">
      <w:pPr>
        <w:spacing w:before="240" w:after="240"/>
        <w:rPr>
          <w:rFonts w:cs="Times New Roman"/>
        </w:rPr>
      </w:pPr>
      <w:r w:rsidRPr="002F383C">
        <w:rPr>
          <w:rFonts w:cs="Times New Roman"/>
        </w:rPr>
        <w:t>Lim, W.M. (2025) What is qualitative research? An overview and guidelines. </w:t>
      </w:r>
      <w:r w:rsidRPr="002F383C">
        <w:rPr>
          <w:rFonts w:cs="Times New Roman"/>
          <w:i/>
          <w:iCs/>
        </w:rPr>
        <w:t>Australasian marketing journal</w:t>
      </w:r>
      <w:r w:rsidRPr="002F383C">
        <w:rPr>
          <w:rFonts w:cs="Times New Roman"/>
        </w:rPr>
        <w:t>, </w:t>
      </w:r>
      <w:r w:rsidRPr="002F383C">
        <w:rPr>
          <w:rFonts w:cs="Times New Roman"/>
          <w:i/>
          <w:iCs/>
        </w:rPr>
        <w:t>33</w:t>
      </w:r>
      <w:r w:rsidRPr="002F383C">
        <w:rPr>
          <w:rFonts w:cs="Times New Roman"/>
        </w:rPr>
        <w:t>(2), pp.199-229.</w:t>
      </w:r>
    </w:p>
    <w:p w14:paraId="12AFE21F" w14:textId="77777777" w:rsidR="00E65CDC" w:rsidRPr="002F383C" w:rsidRDefault="00E65CDC" w:rsidP="00D23C43">
      <w:pPr>
        <w:spacing w:before="240" w:after="240"/>
        <w:rPr>
          <w:rFonts w:cs="Times New Roman"/>
          <w:shd w:val="clear" w:color="auto" w:fill="FFFFFF"/>
        </w:rPr>
      </w:pPr>
      <w:r w:rsidRPr="002F383C">
        <w:rPr>
          <w:rFonts w:cs="Times New Roman"/>
          <w:shd w:val="clear" w:color="auto" w:fill="FFFFFF"/>
        </w:rPr>
        <w:t xml:space="preserve">Lingham, S., Kowalska, A., Kowalski, J., Maye, D. and Manning, L. (2025) The impact of Brexit on UK food standards and food security: Perspectives on the repositioning of neoliberal food policy. </w:t>
      </w:r>
      <w:r w:rsidRPr="002F383C">
        <w:rPr>
          <w:rFonts w:cs="Times New Roman"/>
          <w:i/>
          <w:iCs/>
          <w:shd w:val="clear" w:color="auto" w:fill="FFFFFF"/>
        </w:rPr>
        <w:t>Foods</w:t>
      </w:r>
      <w:r w:rsidRPr="002F383C">
        <w:rPr>
          <w:rFonts w:cs="Times New Roman"/>
          <w:shd w:val="clear" w:color="auto" w:fill="FFFFFF"/>
        </w:rPr>
        <w:t xml:space="preserve">, </w:t>
      </w:r>
      <w:r w:rsidRPr="002F383C">
        <w:rPr>
          <w:rFonts w:cs="Times New Roman"/>
          <w:i/>
          <w:iCs/>
          <w:shd w:val="clear" w:color="auto" w:fill="FFFFFF"/>
        </w:rPr>
        <w:t>14</w:t>
      </w:r>
      <w:r w:rsidRPr="002F383C">
        <w:rPr>
          <w:rFonts w:cs="Times New Roman"/>
          <w:shd w:val="clear" w:color="auto" w:fill="FFFFFF"/>
        </w:rPr>
        <w:t>(9), p.1474.</w:t>
      </w:r>
    </w:p>
    <w:p w14:paraId="00826A0D" w14:textId="77777777" w:rsidR="00E65CDC" w:rsidRPr="002F383C" w:rsidRDefault="00E65CDC" w:rsidP="00D23C43">
      <w:pPr>
        <w:spacing w:before="240" w:after="240"/>
        <w:rPr>
          <w:rFonts w:cs="Times New Roman"/>
          <w:shd w:val="clear" w:color="auto" w:fill="FFFFFF"/>
        </w:rPr>
      </w:pPr>
      <w:r w:rsidRPr="002F383C">
        <w:rPr>
          <w:rFonts w:cs="Times New Roman"/>
          <w:shd w:val="clear" w:color="auto" w:fill="FFFFFF"/>
        </w:rPr>
        <w:t xml:space="preserve">Malik, A., Khan, K.I.A., Qayyum, S., Ullah, F. and Maqsoom, A. (2022) Resilient capabilities to tackle supply chain risks: managing integration complexities in construction projects. </w:t>
      </w:r>
      <w:r w:rsidRPr="002F383C">
        <w:rPr>
          <w:rFonts w:cs="Times New Roman"/>
          <w:i/>
          <w:iCs/>
          <w:shd w:val="clear" w:color="auto" w:fill="FFFFFF"/>
        </w:rPr>
        <w:t>Buildings</w:t>
      </w:r>
      <w:r w:rsidRPr="002F383C">
        <w:rPr>
          <w:rFonts w:cs="Times New Roman"/>
          <w:shd w:val="clear" w:color="auto" w:fill="FFFFFF"/>
        </w:rPr>
        <w:t xml:space="preserve">, </w:t>
      </w:r>
      <w:r w:rsidRPr="002F383C">
        <w:rPr>
          <w:rFonts w:cs="Times New Roman"/>
          <w:i/>
          <w:iCs/>
          <w:shd w:val="clear" w:color="auto" w:fill="FFFFFF"/>
        </w:rPr>
        <w:t>12</w:t>
      </w:r>
      <w:r w:rsidRPr="002F383C">
        <w:rPr>
          <w:rFonts w:cs="Times New Roman"/>
          <w:shd w:val="clear" w:color="auto" w:fill="FFFFFF"/>
        </w:rPr>
        <w:t>(9), p.1322.</w:t>
      </w:r>
    </w:p>
    <w:p w14:paraId="262B1D56" w14:textId="77777777" w:rsidR="00E65CDC" w:rsidRPr="002F383C" w:rsidRDefault="00E65CDC" w:rsidP="00D23C43">
      <w:pPr>
        <w:spacing w:before="240" w:after="240"/>
        <w:rPr>
          <w:rFonts w:cs="Times New Roman"/>
        </w:rPr>
      </w:pPr>
      <w:r w:rsidRPr="002F383C">
        <w:rPr>
          <w:rFonts w:cs="Times New Roman"/>
        </w:rPr>
        <w:t>Mamun, M. (2026) Supply chain resilience: a systematic literature review of definitions, drivers, and practices. </w:t>
      </w:r>
      <w:r w:rsidRPr="002F383C">
        <w:rPr>
          <w:rFonts w:cs="Times New Roman"/>
          <w:i/>
          <w:iCs/>
        </w:rPr>
        <w:t>Transportation Research Interdisciplinary Perspectives</w:t>
      </w:r>
      <w:r w:rsidRPr="002F383C">
        <w:rPr>
          <w:rFonts w:cs="Times New Roman"/>
        </w:rPr>
        <w:t>, </w:t>
      </w:r>
      <w:r w:rsidRPr="002F383C">
        <w:rPr>
          <w:rFonts w:cs="Times New Roman"/>
          <w:i/>
          <w:iCs/>
        </w:rPr>
        <w:t>38</w:t>
      </w:r>
      <w:r w:rsidRPr="002F383C">
        <w:rPr>
          <w:rFonts w:cs="Times New Roman"/>
        </w:rPr>
        <w:t>, p. 102055.</w:t>
      </w:r>
    </w:p>
    <w:p w14:paraId="5F1130F3" w14:textId="77777777" w:rsidR="00E65CDC" w:rsidRPr="00E65CDC" w:rsidRDefault="00E65CDC" w:rsidP="00E65CDC">
      <w:r>
        <w:t>Masters, W.A. and Finaret, A.B.</w:t>
      </w:r>
      <w:r w:rsidRPr="008D2E23">
        <w:t xml:space="preserve"> </w:t>
      </w:r>
      <w:r>
        <w:t>(</w:t>
      </w:r>
      <w:r w:rsidRPr="008D2E23">
        <w:t>2024</w:t>
      </w:r>
      <w:r>
        <w:t>)</w:t>
      </w:r>
      <w:r w:rsidRPr="008D2E23">
        <w:t xml:space="preserve"> From Local to Global: International Trade and Value Chains. In </w:t>
      </w:r>
      <w:r w:rsidRPr="008D2E23">
        <w:rPr>
          <w:i/>
          <w:iCs/>
        </w:rPr>
        <w:t>Food Economics: Agriculture, Nutrition, and Health</w:t>
      </w:r>
      <w:r>
        <w:t xml:space="preserve">, </w:t>
      </w:r>
      <w:r w:rsidRPr="008D2E23">
        <w:t>pp. 399-440</w:t>
      </w:r>
    </w:p>
    <w:p w14:paraId="318FD546" w14:textId="77777777" w:rsidR="00E65CDC" w:rsidRPr="002F383C" w:rsidRDefault="00E65CDC" w:rsidP="00D23C43">
      <w:pPr>
        <w:spacing w:before="240" w:after="240"/>
        <w:rPr>
          <w:rFonts w:cs="Times New Roman"/>
        </w:rPr>
      </w:pPr>
      <w:r w:rsidRPr="002F383C">
        <w:rPr>
          <w:rFonts w:cs="Times New Roman"/>
        </w:rPr>
        <w:t>Melnikovas, A. (2018) Towards an explicit research methodology: adapting research onion model for futures studies. </w:t>
      </w:r>
      <w:r w:rsidRPr="002F383C">
        <w:rPr>
          <w:rFonts w:cs="Times New Roman"/>
          <w:i/>
          <w:iCs/>
        </w:rPr>
        <w:t>Journal of futures Studies</w:t>
      </w:r>
      <w:r w:rsidRPr="002F383C">
        <w:rPr>
          <w:rFonts w:cs="Times New Roman"/>
        </w:rPr>
        <w:t>, </w:t>
      </w:r>
      <w:r w:rsidRPr="002F383C">
        <w:rPr>
          <w:rFonts w:cs="Times New Roman"/>
          <w:i/>
          <w:iCs/>
        </w:rPr>
        <w:t>23</w:t>
      </w:r>
      <w:r w:rsidRPr="002F383C">
        <w:rPr>
          <w:rFonts w:cs="Times New Roman"/>
        </w:rPr>
        <w:t>(2), p.29.</w:t>
      </w:r>
    </w:p>
    <w:p w14:paraId="75F5AB4E" w14:textId="77777777" w:rsidR="00E65CDC" w:rsidRPr="002F383C" w:rsidRDefault="00E65CDC" w:rsidP="00D23C43">
      <w:pPr>
        <w:spacing w:before="240" w:after="240"/>
        <w:rPr>
          <w:rFonts w:cs="Times New Roman"/>
          <w:shd w:val="clear" w:color="auto" w:fill="FFFFFF"/>
        </w:rPr>
      </w:pPr>
      <w:r w:rsidRPr="002F383C">
        <w:rPr>
          <w:rFonts w:cs="Times New Roman"/>
          <w:shd w:val="clear" w:color="auto" w:fill="FFFFFF"/>
        </w:rPr>
        <w:t xml:space="preserve">Mishra, R., Singh, R.K. and Song, M. (2025) Managing tensions in resilience development: a paradox theory perspective on the role of digital transformation. </w:t>
      </w:r>
      <w:r w:rsidRPr="002F383C">
        <w:rPr>
          <w:rFonts w:cs="Times New Roman"/>
          <w:i/>
          <w:iCs/>
          <w:shd w:val="clear" w:color="auto" w:fill="FFFFFF"/>
        </w:rPr>
        <w:t>Journal of Enterprise Information Management</w:t>
      </w:r>
      <w:r w:rsidRPr="002F383C">
        <w:rPr>
          <w:rFonts w:cs="Times New Roman"/>
          <w:shd w:val="clear" w:color="auto" w:fill="FFFFFF"/>
        </w:rPr>
        <w:t xml:space="preserve">, </w:t>
      </w:r>
      <w:r w:rsidRPr="002F383C">
        <w:rPr>
          <w:rFonts w:cs="Times New Roman"/>
          <w:i/>
          <w:iCs/>
          <w:shd w:val="clear" w:color="auto" w:fill="FFFFFF"/>
        </w:rPr>
        <w:t>38</w:t>
      </w:r>
      <w:r w:rsidRPr="002F383C">
        <w:rPr>
          <w:rFonts w:cs="Times New Roman"/>
          <w:shd w:val="clear" w:color="auto" w:fill="FFFFFF"/>
        </w:rPr>
        <w:t>(1), pp.127-151.</w:t>
      </w:r>
    </w:p>
    <w:p w14:paraId="6CB9B71C" w14:textId="77777777" w:rsidR="00E65CDC" w:rsidRPr="002F383C" w:rsidRDefault="00E65CDC" w:rsidP="00D23C43">
      <w:pPr>
        <w:spacing w:before="240" w:after="240"/>
        <w:rPr>
          <w:rFonts w:cs="Times New Roman"/>
        </w:rPr>
      </w:pPr>
      <w:r w:rsidRPr="002F383C">
        <w:rPr>
          <w:rFonts w:cs="Times New Roman"/>
        </w:rPr>
        <w:t>Mweshi, G.K. and Muhyila, M. (2024) Determining a statistical analysis for the quantitative study. </w:t>
      </w:r>
      <w:r w:rsidRPr="002F383C">
        <w:rPr>
          <w:rFonts w:cs="Times New Roman"/>
          <w:i/>
          <w:iCs/>
        </w:rPr>
        <w:t>Advances in Social Sciences Research Journal</w:t>
      </w:r>
      <w:r w:rsidRPr="002F383C">
        <w:rPr>
          <w:rFonts w:cs="Times New Roman"/>
        </w:rPr>
        <w:t>, </w:t>
      </w:r>
      <w:r w:rsidRPr="002F383C">
        <w:rPr>
          <w:rFonts w:cs="Times New Roman"/>
          <w:i/>
          <w:iCs/>
        </w:rPr>
        <w:t>7</w:t>
      </w:r>
      <w:r w:rsidRPr="002F383C">
        <w:rPr>
          <w:rFonts w:cs="Times New Roman"/>
        </w:rPr>
        <w:t>(4), pp.187-231.</w:t>
      </w:r>
    </w:p>
    <w:p w14:paraId="2BB29D0B" w14:textId="77777777" w:rsidR="00E65CDC" w:rsidRPr="002F383C" w:rsidRDefault="00E65CDC" w:rsidP="00D23C43">
      <w:pPr>
        <w:spacing w:before="240" w:after="240"/>
        <w:rPr>
          <w:rFonts w:cs="Times New Roman"/>
        </w:rPr>
      </w:pPr>
      <w:r w:rsidRPr="002F383C">
        <w:rPr>
          <w:rFonts w:cs="Times New Roman"/>
        </w:rPr>
        <w:t>Naeem, M., Ozuem, W., Howell, K. and Ranfagni, S. (2023) A step-by-step process of thematic analysis to develop a conceptual model in qualitative research. </w:t>
      </w:r>
      <w:r w:rsidRPr="002F383C">
        <w:rPr>
          <w:rFonts w:cs="Times New Roman"/>
          <w:i/>
          <w:iCs/>
        </w:rPr>
        <w:t>International journal of qualitative methods</w:t>
      </w:r>
      <w:r w:rsidRPr="002F383C">
        <w:rPr>
          <w:rFonts w:cs="Times New Roman"/>
        </w:rPr>
        <w:t>, </w:t>
      </w:r>
      <w:r w:rsidRPr="002F383C">
        <w:rPr>
          <w:rFonts w:cs="Times New Roman"/>
          <w:i/>
          <w:iCs/>
        </w:rPr>
        <w:t>22</w:t>
      </w:r>
      <w:r w:rsidRPr="002F383C">
        <w:rPr>
          <w:rFonts w:cs="Times New Roman"/>
        </w:rPr>
        <w:t>, p.16094069231205789.</w:t>
      </w:r>
    </w:p>
    <w:p w14:paraId="7E3F69D0" w14:textId="77777777" w:rsidR="00E65CDC" w:rsidRPr="002F383C" w:rsidRDefault="00E65CDC" w:rsidP="00D23C43">
      <w:pPr>
        <w:spacing w:before="240" w:after="240"/>
        <w:rPr>
          <w:rFonts w:cs="Times New Roman"/>
          <w:shd w:val="clear" w:color="auto" w:fill="FFFFFF"/>
        </w:rPr>
      </w:pPr>
      <w:r w:rsidRPr="002F383C">
        <w:rPr>
          <w:rFonts w:cs="Times New Roman"/>
          <w:shd w:val="clear" w:color="auto" w:fill="FFFFFF"/>
        </w:rPr>
        <w:t xml:space="preserve">Nnabueze, S.B., Ike, P.N., Olatunde-Thorpe, J., Aifuwa, S.E., Oshoba, T.O., Ogbuefi, E. and Akokodaripon, D. (2021) End-to-end visibility frameworks improving transparency, compliance, and traceability across complex global supply chain operations. </w:t>
      </w:r>
      <w:r w:rsidRPr="002F383C">
        <w:rPr>
          <w:rFonts w:cs="Times New Roman"/>
          <w:i/>
          <w:iCs/>
          <w:shd w:val="clear" w:color="auto" w:fill="FFFFFF"/>
        </w:rPr>
        <w:t>International Journal of Multidisciplinary Futuristic Development</w:t>
      </w:r>
      <w:r w:rsidRPr="002F383C">
        <w:rPr>
          <w:rFonts w:cs="Times New Roman"/>
          <w:shd w:val="clear" w:color="auto" w:fill="FFFFFF"/>
        </w:rPr>
        <w:t xml:space="preserve">, </w:t>
      </w:r>
      <w:r w:rsidRPr="002F383C">
        <w:rPr>
          <w:rFonts w:cs="Times New Roman"/>
          <w:i/>
          <w:iCs/>
          <w:shd w:val="clear" w:color="auto" w:fill="FFFFFF"/>
        </w:rPr>
        <w:t>2</w:t>
      </w:r>
      <w:r w:rsidRPr="002F383C">
        <w:rPr>
          <w:rFonts w:cs="Times New Roman"/>
          <w:shd w:val="clear" w:color="auto" w:fill="FFFFFF"/>
        </w:rPr>
        <w:t>(2), pp.50-60.</w:t>
      </w:r>
    </w:p>
    <w:p w14:paraId="61CB40F4" w14:textId="77777777" w:rsidR="00E65CDC" w:rsidRPr="002F383C" w:rsidRDefault="00E65CDC" w:rsidP="00D23C43">
      <w:pPr>
        <w:spacing w:before="240" w:after="240"/>
        <w:rPr>
          <w:rFonts w:cs="Times New Roman"/>
        </w:rPr>
      </w:pPr>
      <w:r w:rsidRPr="002F383C">
        <w:rPr>
          <w:rFonts w:cs="Times New Roman"/>
        </w:rPr>
        <w:t>Okoli, C. (2023) Inductive, abductive and deductive theorising. </w:t>
      </w:r>
      <w:r w:rsidRPr="002F383C">
        <w:rPr>
          <w:rFonts w:cs="Times New Roman"/>
          <w:i/>
          <w:iCs/>
        </w:rPr>
        <w:t>International Journal of Management Concepts and Philosophy</w:t>
      </w:r>
      <w:r w:rsidRPr="002F383C">
        <w:rPr>
          <w:rFonts w:cs="Times New Roman"/>
        </w:rPr>
        <w:t>, </w:t>
      </w:r>
      <w:r w:rsidRPr="002F383C">
        <w:rPr>
          <w:rFonts w:cs="Times New Roman"/>
          <w:i/>
          <w:iCs/>
        </w:rPr>
        <w:t>16</w:t>
      </w:r>
      <w:r w:rsidRPr="002F383C">
        <w:rPr>
          <w:rFonts w:cs="Times New Roman"/>
        </w:rPr>
        <w:t>(3), pp.302-316.</w:t>
      </w:r>
    </w:p>
    <w:p w14:paraId="4D87BC2A" w14:textId="77777777" w:rsidR="00E65CDC" w:rsidRPr="002F383C" w:rsidRDefault="00E65CDC" w:rsidP="00D23C43">
      <w:pPr>
        <w:spacing w:before="240" w:after="240"/>
        <w:rPr>
          <w:rFonts w:cs="Times New Roman"/>
        </w:rPr>
      </w:pPr>
      <w:r w:rsidRPr="002F383C">
        <w:rPr>
          <w:rFonts w:cs="Times New Roman"/>
        </w:rPr>
        <w:t xml:space="preserve">ONS. (2026) UK manufacturers” sales by product. [Online]. Available at: </w:t>
      </w:r>
      <w:hyperlink r:id="rId23" w:history="1">
        <w:r w:rsidRPr="002F383C">
          <w:rPr>
            <w:rStyle w:val="Hyperlink"/>
            <w:rFonts w:cs="Times New Roman"/>
          </w:rPr>
          <w:t>https://www.ons.gov.uk/businessindustryandtrade/manufacturingandproductionindustry/bulletins/ukmanufacturerssalesbyproductprodcom/2025</w:t>
        </w:r>
      </w:hyperlink>
      <w:r w:rsidRPr="002F383C">
        <w:rPr>
          <w:rFonts w:cs="Times New Roman"/>
        </w:rPr>
        <w:t>. [Accessed on: 16/09/2026].</w:t>
      </w:r>
    </w:p>
    <w:p w14:paraId="6B4A63D5" w14:textId="77777777" w:rsidR="00E65CDC" w:rsidRPr="002F383C" w:rsidRDefault="00E65CDC" w:rsidP="00D23C43">
      <w:pPr>
        <w:spacing w:before="240" w:after="240"/>
        <w:rPr>
          <w:rFonts w:cs="Times New Roman"/>
        </w:rPr>
      </w:pPr>
      <w:r w:rsidRPr="002F383C">
        <w:rPr>
          <w:rFonts w:cs="Times New Roman"/>
        </w:rPr>
        <w:t>Pang, Y., Pan, S., Zhou, W. and Ballot, E. (2025) Resilience of global supply chains with logistics service uncertainty: Onshoring versus offshoring strategy. </w:t>
      </w:r>
      <w:r w:rsidRPr="002F383C">
        <w:rPr>
          <w:rFonts w:cs="Times New Roman"/>
          <w:i/>
          <w:iCs/>
        </w:rPr>
        <w:t>Transportation Research Part E: Logistics and Transportation Review</w:t>
      </w:r>
      <w:r w:rsidRPr="002F383C">
        <w:rPr>
          <w:rFonts w:cs="Times New Roman"/>
        </w:rPr>
        <w:t>, </w:t>
      </w:r>
      <w:r w:rsidRPr="002F383C">
        <w:rPr>
          <w:rFonts w:cs="Times New Roman"/>
          <w:i/>
          <w:iCs/>
        </w:rPr>
        <w:t>204</w:t>
      </w:r>
      <w:r w:rsidRPr="002F383C">
        <w:rPr>
          <w:rFonts w:cs="Times New Roman"/>
        </w:rPr>
        <w:t>, p. 104416.</w:t>
      </w:r>
    </w:p>
    <w:p w14:paraId="1FE4D4A6" w14:textId="77777777" w:rsidR="00E65CDC" w:rsidRPr="002F383C" w:rsidRDefault="00E65CDC" w:rsidP="00D23C43">
      <w:pPr>
        <w:spacing w:before="240" w:after="240"/>
        <w:rPr>
          <w:rFonts w:cs="Times New Roman"/>
          <w:lang w:val="en-IN"/>
        </w:rPr>
      </w:pPr>
      <w:r w:rsidRPr="002F383C">
        <w:rPr>
          <w:rFonts w:cs="Times New Roman"/>
        </w:rPr>
        <w:t>Pertheban, T.R., Thurasamy, R., Marimuthu, A., Venkatachalam, K.R., Annamalah, S., Paraman, P. and Hoo, W.C. (2023) The impact of proactive resilience strategies on organizational performance: Role of ambidextrous and dynamic capabilities of SMEs in manufacturing sector. </w:t>
      </w:r>
      <w:r w:rsidRPr="002F383C">
        <w:rPr>
          <w:rFonts w:cs="Times New Roman"/>
          <w:i/>
          <w:iCs/>
        </w:rPr>
        <w:t>Sustainability</w:t>
      </w:r>
      <w:r w:rsidRPr="002F383C">
        <w:rPr>
          <w:rFonts w:cs="Times New Roman"/>
        </w:rPr>
        <w:t>, </w:t>
      </w:r>
      <w:r w:rsidRPr="002F383C">
        <w:rPr>
          <w:rFonts w:cs="Times New Roman"/>
          <w:i/>
          <w:iCs/>
        </w:rPr>
        <w:t>15</w:t>
      </w:r>
      <w:r w:rsidRPr="002F383C">
        <w:rPr>
          <w:rFonts w:cs="Times New Roman"/>
        </w:rPr>
        <w:t>(16), p. 12665.</w:t>
      </w:r>
    </w:p>
    <w:p w14:paraId="28BE97EF" w14:textId="77777777" w:rsidR="00E65CDC" w:rsidRPr="002F383C" w:rsidRDefault="00E65CDC" w:rsidP="00D23C43">
      <w:pPr>
        <w:spacing w:before="240" w:after="240"/>
        <w:rPr>
          <w:rFonts w:cs="Times New Roman"/>
          <w:lang w:val="en-IN"/>
        </w:rPr>
      </w:pPr>
      <w:r w:rsidRPr="002F383C">
        <w:rPr>
          <w:rFonts w:cs="Times New Roman"/>
          <w:lang w:val="en-IN"/>
        </w:rPr>
        <w:t xml:space="preserve">Phengsuk, T., Worasan, K. and Saenchaiyathon, K. (2023) The Influence of Supply Chain Strategy and Supply Chain Design on Supply Chain Resilience under Uncertain Circumstances: A Review of the Literature. </w:t>
      </w:r>
      <w:r w:rsidRPr="002F383C">
        <w:rPr>
          <w:rFonts w:cs="Times New Roman"/>
          <w:i/>
          <w:iCs/>
          <w:lang w:val="en-IN"/>
        </w:rPr>
        <w:t>E3S Web of Conferences</w:t>
      </w:r>
      <w:r w:rsidRPr="002F383C">
        <w:rPr>
          <w:rFonts w:cs="Times New Roman"/>
          <w:lang w:val="en-IN"/>
        </w:rPr>
        <w:t xml:space="preserve">, </w:t>
      </w:r>
      <w:r w:rsidRPr="002F383C">
        <w:rPr>
          <w:rFonts w:cs="Times New Roman"/>
          <w:i/>
          <w:iCs/>
          <w:lang w:val="en-IN"/>
        </w:rPr>
        <w:t>440</w:t>
      </w:r>
      <w:r w:rsidRPr="002F383C">
        <w:rPr>
          <w:rFonts w:cs="Times New Roman"/>
          <w:lang w:val="en-IN"/>
        </w:rPr>
        <w:t xml:space="preserve">, p. 06005. </w:t>
      </w:r>
    </w:p>
    <w:p w14:paraId="32D76512" w14:textId="77777777" w:rsidR="00E65CDC" w:rsidRPr="002F383C" w:rsidRDefault="00E65CDC" w:rsidP="00D23C43">
      <w:pPr>
        <w:spacing w:before="240" w:after="240"/>
        <w:rPr>
          <w:rFonts w:cs="Times New Roman"/>
        </w:rPr>
      </w:pPr>
      <w:r w:rsidRPr="002F383C">
        <w:rPr>
          <w:rFonts w:cs="Times New Roman"/>
          <w:shd w:val="clear" w:color="auto" w:fill="FFFFFF"/>
        </w:rPr>
        <w:t xml:space="preserve">Piprani, A.Z., Jaafar, N.I., Ali, S.M., Mubarik, M.S. and Shahbaz, M. (2022) Multi-dimensional supply chain flexibility and supply chain resilience: the role of supply chain risks exposure. </w:t>
      </w:r>
      <w:r w:rsidRPr="002F383C">
        <w:rPr>
          <w:rFonts w:cs="Times New Roman"/>
          <w:i/>
          <w:iCs/>
          <w:shd w:val="clear" w:color="auto" w:fill="FFFFFF"/>
        </w:rPr>
        <w:t>Operations Management Research</w:t>
      </w:r>
      <w:r w:rsidRPr="002F383C">
        <w:rPr>
          <w:rFonts w:cs="Times New Roman"/>
          <w:shd w:val="clear" w:color="auto" w:fill="FFFFFF"/>
        </w:rPr>
        <w:t xml:space="preserve">, </w:t>
      </w:r>
      <w:r w:rsidRPr="002F383C">
        <w:rPr>
          <w:rFonts w:cs="Times New Roman"/>
          <w:i/>
          <w:iCs/>
          <w:shd w:val="clear" w:color="auto" w:fill="FFFFFF"/>
        </w:rPr>
        <w:t>15</w:t>
      </w:r>
      <w:r w:rsidRPr="002F383C">
        <w:rPr>
          <w:rFonts w:cs="Times New Roman"/>
          <w:shd w:val="clear" w:color="auto" w:fill="FFFFFF"/>
        </w:rPr>
        <w:t>(1), pp.307-325.</w:t>
      </w:r>
    </w:p>
    <w:p w14:paraId="0C4D34B1" w14:textId="77777777" w:rsidR="00E65CDC" w:rsidRPr="002F383C" w:rsidRDefault="00E65CDC" w:rsidP="00D23C43">
      <w:pPr>
        <w:spacing w:before="240" w:after="240"/>
        <w:rPr>
          <w:rFonts w:cs="Times New Roman"/>
        </w:rPr>
      </w:pPr>
      <w:r w:rsidRPr="002F383C">
        <w:rPr>
          <w:rFonts w:cs="Times New Roman"/>
        </w:rPr>
        <w:t>Poo, M.C.P., Wang, T. and Yang, Z. (2024) Global food supply chain resilience assessment: A case in the United Kingdom. </w:t>
      </w:r>
      <w:r w:rsidRPr="002F383C">
        <w:rPr>
          <w:rFonts w:cs="Times New Roman"/>
          <w:i/>
          <w:iCs/>
        </w:rPr>
        <w:t>Transportation Research Part A: Policy and Practice</w:t>
      </w:r>
      <w:r w:rsidRPr="002F383C">
        <w:rPr>
          <w:rFonts w:cs="Times New Roman"/>
        </w:rPr>
        <w:t>, </w:t>
      </w:r>
      <w:r w:rsidRPr="002F383C">
        <w:rPr>
          <w:rFonts w:cs="Times New Roman"/>
          <w:i/>
          <w:iCs/>
        </w:rPr>
        <w:t>181</w:t>
      </w:r>
      <w:r w:rsidRPr="002F383C">
        <w:rPr>
          <w:rFonts w:cs="Times New Roman"/>
        </w:rPr>
        <w:t>, p.104018.</w:t>
      </w:r>
    </w:p>
    <w:p w14:paraId="08EB12EA" w14:textId="77777777" w:rsidR="00E65CDC" w:rsidRPr="002F383C" w:rsidRDefault="00E65CDC" w:rsidP="00D23C43">
      <w:pPr>
        <w:spacing w:before="240" w:after="240"/>
        <w:rPr>
          <w:rFonts w:cs="Times New Roman"/>
        </w:rPr>
      </w:pPr>
      <w:r w:rsidRPr="002F383C">
        <w:rPr>
          <w:rFonts w:cs="Times New Roman"/>
        </w:rPr>
        <w:t>Qiu, X., Holmen, E., Havenvid, M., De Boer, L. and Hermundsdottir, F. (2022) Open for business: Towards an interactive view on dynamic capabilities. </w:t>
      </w:r>
      <w:r w:rsidRPr="002F383C">
        <w:rPr>
          <w:rFonts w:cs="Times New Roman"/>
          <w:i/>
          <w:iCs/>
        </w:rPr>
        <w:t>Industrial Marketing Management</w:t>
      </w:r>
      <w:r w:rsidRPr="002F383C">
        <w:rPr>
          <w:rFonts w:cs="Times New Roman"/>
        </w:rPr>
        <w:t>, </w:t>
      </w:r>
      <w:r w:rsidRPr="002F383C">
        <w:rPr>
          <w:rFonts w:cs="Times New Roman"/>
          <w:i/>
          <w:iCs/>
        </w:rPr>
        <w:t>107</w:t>
      </w:r>
      <w:r w:rsidRPr="002F383C">
        <w:rPr>
          <w:rFonts w:cs="Times New Roman"/>
        </w:rPr>
        <w:t>, pp.148-160.</w:t>
      </w:r>
    </w:p>
    <w:p w14:paraId="3D415FB8" w14:textId="77777777" w:rsidR="00E65CDC" w:rsidRPr="002F383C" w:rsidRDefault="00E65CDC" w:rsidP="00D23C43">
      <w:pPr>
        <w:spacing w:before="240" w:after="240"/>
        <w:rPr>
          <w:rFonts w:cs="Times New Roman"/>
        </w:rPr>
      </w:pPr>
      <w:r w:rsidRPr="002F383C">
        <w:rPr>
          <w:rFonts w:cs="Times New Roman"/>
        </w:rPr>
        <w:t>Reardon, T. and Vos, R. (2023) How resilience innovations in food supply chains are revolutionizing logistics, wholesale trade, and farm services in developing countries. </w:t>
      </w:r>
      <w:r w:rsidRPr="002F383C">
        <w:rPr>
          <w:rFonts w:cs="Times New Roman"/>
          <w:i/>
          <w:iCs/>
        </w:rPr>
        <w:t>International Food and Agribusiness Management Review</w:t>
      </w:r>
      <w:r w:rsidRPr="002F383C">
        <w:rPr>
          <w:rFonts w:cs="Times New Roman"/>
        </w:rPr>
        <w:t>, </w:t>
      </w:r>
      <w:r w:rsidRPr="002F383C">
        <w:rPr>
          <w:rFonts w:cs="Times New Roman"/>
          <w:i/>
          <w:iCs/>
        </w:rPr>
        <w:t>26</w:t>
      </w:r>
      <w:r w:rsidRPr="002F383C">
        <w:rPr>
          <w:rFonts w:cs="Times New Roman"/>
        </w:rPr>
        <w:t>(3), pp.455-466.</w:t>
      </w:r>
    </w:p>
    <w:p w14:paraId="1001DEFA" w14:textId="77777777" w:rsidR="00E65CDC" w:rsidRPr="002F383C" w:rsidRDefault="00E65CDC" w:rsidP="00D23C43">
      <w:pPr>
        <w:spacing w:before="240" w:after="240"/>
        <w:rPr>
          <w:rFonts w:cs="Times New Roman"/>
          <w:shd w:val="clear" w:color="auto" w:fill="FFFFFF"/>
        </w:rPr>
      </w:pPr>
      <w:r w:rsidRPr="002F383C">
        <w:rPr>
          <w:rFonts w:cs="Times New Roman"/>
          <w:shd w:val="clear" w:color="auto" w:fill="FFFFFF"/>
        </w:rPr>
        <w:t xml:space="preserve">Rimhanen, K., Aakkula, J., Aro, K. and Rikkonen, P. (2023) The elements of resilience in the food system and means to enhance the stability of the food supply. </w:t>
      </w:r>
      <w:r w:rsidRPr="002F383C">
        <w:rPr>
          <w:rFonts w:cs="Times New Roman"/>
          <w:i/>
          <w:iCs/>
          <w:shd w:val="clear" w:color="auto" w:fill="FFFFFF"/>
        </w:rPr>
        <w:t>Environment Systems and Decisions</w:t>
      </w:r>
      <w:r w:rsidRPr="002F383C">
        <w:rPr>
          <w:rFonts w:cs="Times New Roman"/>
          <w:shd w:val="clear" w:color="auto" w:fill="FFFFFF"/>
        </w:rPr>
        <w:t xml:space="preserve">, </w:t>
      </w:r>
      <w:r w:rsidRPr="002F383C">
        <w:rPr>
          <w:rFonts w:cs="Times New Roman"/>
          <w:i/>
          <w:iCs/>
          <w:shd w:val="clear" w:color="auto" w:fill="FFFFFF"/>
        </w:rPr>
        <w:t>43</w:t>
      </w:r>
      <w:r w:rsidRPr="002F383C">
        <w:rPr>
          <w:rFonts w:cs="Times New Roman"/>
          <w:shd w:val="clear" w:color="auto" w:fill="FFFFFF"/>
        </w:rPr>
        <w:t>(2), pp.143-160.</w:t>
      </w:r>
    </w:p>
    <w:p w14:paraId="32D3DB16" w14:textId="77777777" w:rsidR="00E65CDC" w:rsidRPr="002F383C" w:rsidRDefault="00E65CDC" w:rsidP="00D23C43">
      <w:pPr>
        <w:spacing w:before="240" w:after="240"/>
        <w:rPr>
          <w:rFonts w:cs="Times New Roman"/>
          <w:shd w:val="clear" w:color="auto" w:fill="FFFFFF"/>
        </w:rPr>
      </w:pPr>
      <w:r w:rsidRPr="002F383C">
        <w:rPr>
          <w:rFonts w:cs="Times New Roman"/>
          <w:shd w:val="clear" w:color="auto" w:fill="FFFFFF"/>
        </w:rPr>
        <w:t xml:space="preserve">Roman, E.A., Stere, A.S., Roșca, E., Radu, A.V., Codroiu, D. and Anamaria, I. (2025) State of the art of digital twins in improving supply chain resilience. </w:t>
      </w:r>
      <w:r w:rsidRPr="002F383C">
        <w:rPr>
          <w:rFonts w:cs="Times New Roman"/>
          <w:i/>
          <w:iCs/>
          <w:shd w:val="clear" w:color="auto" w:fill="FFFFFF"/>
        </w:rPr>
        <w:t>Logistics</w:t>
      </w:r>
      <w:r w:rsidRPr="002F383C">
        <w:rPr>
          <w:rFonts w:cs="Times New Roman"/>
          <w:shd w:val="clear" w:color="auto" w:fill="FFFFFF"/>
        </w:rPr>
        <w:t xml:space="preserve">, </w:t>
      </w:r>
      <w:r w:rsidRPr="002F383C">
        <w:rPr>
          <w:rFonts w:cs="Times New Roman"/>
          <w:i/>
          <w:iCs/>
          <w:shd w:val="clear" w:color="auto" w:fill="FFFFFF"/>
        </w:rPr>
        <w:t>9</w:t>
      </w:r>
      <w:r w:rsidRPr="002F383C">
        <w:rPr>
          <w:rFonts w:cs="Times New Roman"/>
          <w:shd w:val="clear" w:color="auto" w:fill="FFFFFF"/>
        </w:rPr>
        <w:t>(1), p.22.</w:t>
      </w:r>
    </w:p>
    <w:p w14:paraId="0488B2AA" w14:textId="77777777" w:rsidR="00E65CDC" w:rsidRPr="002F383C" w:rsidRDefault="00E65CDC" w:rsidP="00D23C43">
      <w:pPr>
        <w:spacing w:before="240" w:after="240"/>
        <w:rPr>
          <w:rFonts w:cs="Times New Roman"/>
        </w:rPr>
      </w:pPr>
      <w:bookmarkStart w:id="98" w:name="_Hlk222230414"/>
      <w:r w:rsidRPr="002F383C">
        <w:rPr>
          <w:rFonts w:cs="Times New Roman"/>
        </w:rPr>
        <w:t>Saunders</w:t>
      </w:r>
      <w:bookmarkEnd w:id="98"/>
      <w:r w:rsidRPr="002F383C">
        <w:rPr>
          <w:rFonts w:cs="Times New Roman"/>
        </w:rPr>
        <w:t xml:space="preserve">, M.N.K., Lewis, P. and Thornhill, A. (2019) </w:t>
      </w:r>
      <w:r w:rsidRPr="002F383C">
        <w:rPr>
          <w:rFonts w:cs="Times New Roman"/>
          <w:i/>
        </w:rPr>
        <w:t xml:space="preserve">Research Methods for Business Students. </w:t>
      </w:r>
      <w:r w:rsidRPr="002F383C">
        <w:rPr>
          <w:rFonts w:cs="Times New Roman"/>
        </w:rPr>
        <w:t>8th Edition, Pearson, New York.</w:t>
      </w:r>
    </w:p>
    <w:p w14:paraId="0B3AC4CE" w14:textId="77777777" w:rsidR="00E65CDC" w:rsidRPr="002F383C" w:rsidRDefault="00E65CDC" w:rsidP="00D23C43">
      <w:pPr>
        <w:spacing w:before="240" w:after="240"/>
        <w:rPr>
          <w:rFonts w:cs="Times New Roman"/>
        </w:rPr>
      </w:pPr>
      <w:r w:rsidRPr="002F383C">
        <w:rPr>
          <w:rFonts w:cs="Times New Roman"/>
        </w:rPr>
        <w:t>Schweizer, R. and Vahlne, J.E. (2022) Non-linear internationalization and the Uppsala model–On the importance of individuals. </w:t>
      </w:r>
      <w:r w:rsidRPr="002F383C">
        <w:rPr>
          <w:rFonts w:cs="Times New Roman"/>
          <w:i/>
          <w:iCs/>
        </w:rPr>
        <w:t>Journal of Business Research</w:t>
      </w:r>
      <w:r w:rsidRPr="002F383C">
        <w:rPr>
          <w:rFonts w:cs="Times New Roman"/>
        </w:rPr>
        <w:t>, </w:t>
      </w:r>
      <w:r w:rsidRPr="002F383C">
        <w:rPr>
          <w:rFonts w:cs="Times New Roman"/>
          <w:i/>
          <w:iCs/>
        </w:rPr>
        <w:t>140</w:t>
      </w:r>
      <w:r w:rsidRPr="002F383C">
        <w:rPr>
          <w:rFonts w:cs="Times New Roman"/>
        </w:rPr>
        <w:t>, pp. 583-592.</w:t>
      </w:r>
    </w:p>
    <w:p w14:paraId="689CCA48" w14:textId="77777777" w:rsidR="00E65CDC" w:rsidRPr="002F383C" w:rsidRDefault="00E65CDC" w:rsidP="00D23C43">
      <w:pPr>
        <w:spacing w:before="240" w:after="240"/>
        <w:rPr>
          <w:rFonts w:cs="Times New Roman"/>
        </w:rPr>
      </w:pPr>
      <w:r w:rsidRPr="002F383C">
        <w:rPr>
          <w:rFonts w:cs="Times New Roman"/>
        </w:rPr>
        <w:t>Shan, H., Bai, D., Li, Y., Shi, J. and Yang, S. (2023) Supply chain partnership and innovation performance of manufacturing firms: Mediating effect of knowledge sharing and moderating effect of knowledge distance. </w:t>
      </w:r>
      <w:r w:rsidRPr="002F383C">
        <w:rPr>
          <w:rFonts w:cs="Times New Roman"/>
          <w:i/>
          <w:iCs/>
        </w:rPr>
        <w:t>Journal of Innovation &amp; Knowledge</w:t>
      </w:r>
      <w:r w:rsidRPr="002F383C">
        <w:rPr>
          <w:rFonts w:cs="Times New Roman"/>
        </w:rPr>
        <w:t>, </w:t>
      </w:r>
      <w:r w:rsidRPr="002F383C">
        <w:rPr>
          <w:rFonts w:cs="Times New Roman"/>
          <w:i/>
          <w:iCs/>
        </w:rPr>
        <w:t>8</w:t>
      </w:r>
      <w:r w:rsidRPr="002F383C">
        <w:rPr>
          <w:rFonts w:cs="Times New Roman"/>
        </w:rPr>
        <w:t>(4), p. 100431.</w:t>
      </w:r>
    </w:p>
    <w:p w14:paraId="620915E1" w14:textId="77777777" w:rsidR="00E65CDC" w:rsidRPr="002F383C" w:rsidRDefault="00E65CDC" w:rsidP="00D23C43">
      <w:pPr>
        <w:spacing w:before="240" w:after="240"/>
        <w:rPr>
          <w:rFonts w:cs="Times New Roman"/>
        </w:rPr>
      </w:pPr>
      <w:r w:rsidRPr="002F383C">
        <w:rPr>
          <w:rFonts w:cs="Times New Roman"/>
          <w:shd w:val="clear" w:color="auto" w:fill="FFFFFF"/>
        </w:rPr>
        <w:t xml:space="preserve">Sharma, V.M. and Klein, A. (2026) Managerial decision-making: entry modes in global markets. </w:t>
      </w:r>
      <w:r w:rsidRPr="002F383C">
        <w:rPr>
          <w:rFonts w:cs="Times New Roman"/>
          <w:i/>
          <w:iCs/>
          <w:shd w:val="clear" w:color="auto" w:fill="FFFFFF"/>
        </w:rPr>
        <w:t>Management Decision</w:t>
      </w:r>
      <w:r w:rsidRPr="002F383C">
        <w:rPr>
          <w:rFonts w:cs="Times New Roman"/>
          <w:shd w:val="clear" w:color="auto" w:fill="FFFFFF"/>
        </w:rPr>
        <w:t>, pp.1-33.</w:t>
      </w:r>
    </w:p>
    <w:p w14:paraId="11993DE5" w14:textId="77777777" w:rsidR="00E65CDC" w:rsidRPr="002F383C" w:rsidRDefault="00E65CDC" w:rsidP="00D23C43">
      <w:pPr>
        <w:spacing w:before="240" w:after="240"/>
        <w:rPr>
          <w:rFonts w:cs="Times New Roman"/>
        </w:rPr>
      </w:pPr>
      <w:r w:rsidRPr="002F383C">
        <w:rPr>
          <w:rFonts w:cs="Times New Roman"/>
        </w:rPr>
        <w:t>Shekarabi, S.A.H., Mavi, R.K., Mavi, N.K., Macau, F.R. and Arisian, S.S. (2025) A novel robust optimization approach for supply chain resilience: The role of flexibility and collaboration. </w:t>
      </w:r>
      <w:r w:rsidRPr="002F383C">
        <w:rPr>
          <w:rFonts w:cs="Times New Roman"/>
          <w:i/>
          <w:iCs/>
        </w:rPr>
        <w:t>International Journal of Production Economics</w:t>
      </w:r>
      <w:r w:rsidRPr="002F383C">
        <w:rPr>
          <w:rFonts w:cs="Times New Roman"/>
        </w:rPr>
        <w:t>, </w:t>
      </w:r>
      <w:r w:rsidRPr="002F383C">
        <w:rPr>
          <w:rFonts w:cs="Times New Roman"/>
          <w:i/>
          <w:iCs/>
        </w:rPr>
        <w:t>287</w:t>
      </w:r>
      <w:r w:rsidRPr="002F383C">
        <w:rPr>
          <w:rFonts w:cs="Times New Roman"/>
        </w:rPr>
        <w:t>, p. 109686.</w:t>
      </w:r>
    </w:p>
    <w:p w14:paraId="3EE835E9" w14:textId="77777777" w:rsidR="00E65CDC" w:rsidRDefault="00E65CDC" w:rsidP="00EC7C75">
      <w:r>
        <w:t>Smith, F. (</w:t>
      </w:r>
      <w:r w:rsidRPr="008D2E23">
        <w:t>2023</w:t>
      </w:r>
      <w:r>
        <w:t>)</w:t>
      </w:r>
      <w:r w:rsidRPr="008D2E23">
        <w:t xml:space="preserve"> A new dawn? The UK’s emergent agri-food trade strategy after brexit. </w:t>
      </w:r>
      <w:r w:rsidRPr="008D2E23">
        <w:rPr>
          <w:i/>
          <w:iCs/>
        </w:rPr>
        <w:t>King's Law Journal</w:t>
      </w:r>
      <w:r w:rsidRPr="008D2E23">
        <w:t>, </w:t>
      </w:r>
      <w:r w:rsidRPr="008D2E23">
        <w:rPr>
          <w:i/>
          <w:iCs/>
        </w:rPr>
        <w:t>34</w:t>
      </w:r>
      <w:r w:rsidRPr="008D2E23">
        <w:t>(1), pp.30-49.</w:t>
      </w:r>
    </w:p>
    <w:p w14:paraId="6D68FC91" w14:textId="77777777" w:rsidR="00E65CDC" w:rsidRPr="002F383C" w:rsidRDefault="00E65CDC" w:rsidP="00D23C43">
      <w:pPr>
        <w:spacing w:before="240" w:after="240"/>
        <w:rPr>
          <w:rFonts w:cs="Times New Roman"/>
        </w:rPr>
      </w:pPr>
      <w:r w:rsidRPr="002F383C">
        <w:rPr>
          <w:rFonts w:cs="Times New Roman"/>
        </w:rPr>
        <w:t xml:space="preserve">Statista. (2024) Food, Feed and Drink Share of Total Exports in the United Kingdom (UK) from 2003 to 2023 [Online]. Available at: </w:t>
      </w:r>
      <w:hyperlink r:id="rId24" w:history="1">
        <w:r w:rsidRPr="002F383C">
          <w:rPr>
            <w:rStyle w:val="Hyperlink"/>
            <w:rFonts w:cs="Times New Roman"/>
          </w:rPr>
          <w:t>https://www.statista.com/statistics/315929/food-feed-and-drink-export-share-in-the-united-kingdom-uk</w:t>
        </w:r>
      </w:hyperlink>
      <w:r w:rsidRPr="002F383C">
        <w:rPr>
          <w:rFonts w:cs="Times New Roman"/>
        </w:rPr>
        <w:t>. [Accessed on: 17/08/2026].</w:t>
      </w:r>
    </w:p>
    <w:p w14:paraId="6FAE271B" w14:textId="77777777" w:rsidR="00E65CDC" w:rsidRPr="002F383C" w:rsidRDefault="00E65CDC" w:rsidP="00D23C43">
      <w:pPr>
        <w:spacing w:before="240" w:after="240"/>
        <w:rPr>
          <w:rFonts w:cs="Times New Roman"/>
        </w:rPr>
      </w:pPr>
      <w:r w:rsidRPr="002F383C">
        <w:rPr>
          <w:rFonts w:cs="Times New Roman"/>
        </w:rPr>
        <w:t>Stoeva, S., Van Gompel, R., Van den Bossche, L., Rogge, E., Slavova, P., Grivins, M. and Mileiko, I. (2024) Understanding collaboration in short food supply chains: a focus on collaborative relationships, interaction mechanisms and relational benefits. </w:t>
      </w:r>
      <w:r w:rsidRPr="002F383C">
        <w:rPr>
          <w:rFonts w:cs="Times New Roman"/>
          <w:i/>
          <w:iCs/>
        </w:rPr>
        <w:t>Agricultural and Food Economics</w:t>
      </w:r>
      <w:r w:rsidRPr="002F383C">
        <w:rPr>
          <w:rFonts w:cs="Times New Roman"/>
        </w:rPr>
        <w:t>, </w:t>
      </w:r>
      <w:r w:rsidRPr="002F383C">
        <w:rPr>
          <w:rFonts w:cs="Times New Roman"/>
          <w:i/>
          <w:iCs/>
        </w:rPr>
        <w:t>12</w:t>
      </w:r>
      <w:r w:rsidRPr="002F383C">
        <w:rPr>
          <w:rFonts w:cs="Times New Roman"/>
        </w:rPr>
        <w:t>(1), p. 49.</w:t>
      </w:r>
    </w:p>
    <w:p w14:paraId="071F2E53" w14:textId="77777777" w:rsidR="00E65CDC" w:rsidRPr="002F383C" w:rsidRDefault="00E65CDC" w:rsidP="00D23C43">
      <w:pPr>
        <w:spacing w:before="240" w:after="240"/>
        <w:rPr>
          <w:rFonts w:cs="Times New Roman"/>
        </w:rPr>
      </w:pPr>
      <w:r w:rsidRPr="002F383C">
        <w:rPr>
          <w:rFonts w:cs="Times New Roman"/>
        </w:rPr>
        <w:t>Taherdoost, H. (2021) A review on risk management in information systems: Risk policy, control and fraud detection. </w:t>
      </w:r>
      <w:r w:rsidRPr="002F383C">
        <w:rPr>
          <w:rFonts w:cs="Times New Roman"/>
          <w:i/>
          <w:iCs/>
        </w:rPr>
        <w:t>Electronics</w:t>
      </w:r>
      <w:r w:rsidRPr="002F383C">
        <w:rPr>
          <w:rFonts w:cs="Times New Roman"/>
        </w:rPr>
        <w:t>, </w:t>
      </w:r>
      <w:r w:rsidRPr="002F383C">
        <w:rPr>
          <w:rFonts w:cs="Times New Roman"/>
          <w:i/>
          <w:iCs/>
        </w:rPr>
        <w:t>10</w:t>
      </w:r>
      <w:r w:rsidRPr="002F383C">
        <w:rPr>
          <w:rFonts w:cs="Times New Roman"/>
        </w:rPr>
        <w:t>(24), p. 3065.</w:t>
      </w:r>
    </w:p>
    <w:p w14:paraId="5240CED6" w14:textId="77777777" w:rsidR="00E65CDC" w:rsidRPr="002F383C" w:rsidRDefault="00E65CDC" w:rsidP="00D23C43">
      <w:pPr>
        <w:spacing w:before="240" w:after="240"/>
        <w:rPr>
          <w:rFonts w:cs="Times New Roman"/>
        </w:rPr>
      </w:pPr>
      <w:r w:rsidRPr="002F383C">
        <w:rPr>
          <w:rFonts w:cs="Times New Roman"/>
        </w:rPr>
        <w:t>Ul Haq, I., Colwill, J.A., Backhouse, C. and Franceschini, F. (2022) Effects of lean distributed manufacturing on factory’s resilience: the current practice in UK food manufacturing sector. </w:t>
      </w:r>
      <w:r w:rsidRPr="002F383C">
        <w:rPr>
          <w:rFonts w:cs="Times New Roman"/>
          <w:i/>
          <w:iCs/>
        </w:rPr>
        <w:t>International Journal of Lean Six Sigma</w:t>
      </w:r>
      <w:r w:rsidRPr="002F383C">
        <w:rPr>
          <w:rFonts w:cs="Times New Roman"/>
        </w:rPr>
        <w:t>, </w:t>
      </w:r>
      <w:r w:rsidRPr="002F383C">
        <w:rPr>
          <w:rFonts w:cs="Times New Roman"/>
          <w:i/>
          <w:iCs/>
        </w:rPr>
        <w:t>13</w:t>
      </w:r>
      <w:r w:rsidRPr="002F383C">
        <w:rPr>
          <w:rFonts w:cs="Times New Roman"/>
        </w:rPr>
        <w:t>(5), pp.1104-1136.</w:t>
      </w:r>
    </w:p>
    <w:p w14:paraId="1B4BD9C9" w14:textId="77777777" w:rsidR="00E65CDC" w:rsidRDefault="00E65CDC" w:rsidP="00D23C43">
      <w:pPr>
        <w:spacing w:before="240" w:after="240"/>
        <w:rPr>
          <w:rFonts w:cs="Times New Roman"/>
        </w:rPr>
      </w:pPr>
      <w:r w:rsidRPr="002F383C">
        <w:rPr>
          <w:rFonts w:cs="Times New Roman"/>
        </w:rPr>
        <w:t>Vicario, D.R., Holman, I., Sutcliffe, C. and Hess, T. (2023) Synergies and trade-offs in drought resilience within a multi-level UK food supply chain. </w:t>
      </w:r>
      <w:r w:rsidRPr="002F383C">
        <w:rPr>
          <w:rFonts w:cs="Times New Roman"/>
          <w:i/>
          <w:iCs/>
        </w:rPr>
        <w:t>Regional Environmental Change</w:t>
      </w:r>
      <w:r w:rsidRPr="002F383C">
        <w:rPr>
          <w:rFonts w:cs="Times New Roman"/>
        </w:rPr>
        <w:t>, </w:t>
      </w:r>
      <w:r w:rsidRPr="002F383C">
        <w:rPr>
          <w:rFonts w:cs="Times New Roman"/>
          <w:i/>
          <w:iCs/>
        </w:rPr>
        <w:t>23</w:t>
      </w:r>
      <w:r w:rsidRPr="002F383C">
        <w:rPr>
          <w:rFonts w:cs="Times New Roman"/>
        </w:rPr>
        <w:t>(2), p.55.</w:t>
      </w:r>
    </w:p>
    <w:p w14:paraId="47EEB907" w14:textId="77777777" w:rsidR="00E65CDC" w:rsidRPr="002F383C" w:rsidRDefault="00E65CDC" w:rsidP="00D23C43">
      <w:pPr>
        <w:spacing w:before="240" w:after="240"/>
        <w:rPr>
          <w:rFonts w:cs="Times New Roman"/>
        </w:rPr>
      </w:pPr>
      <w:r w:rsidRPr="002F383C">
        <w:rPr>
          <w:rFonts w:cs="Times New Roman"/>
        </w:rPr>
        <w:t>Wang, W. and Guedes, M.J. (2025) Timing and experience in global markets: unraveling the impact of servitization on new manufacturing venture survival. </w:t>
      </w:r>
      <w:r w:rsidRPr="002F383C">
        <w:rPr>
          <w:rFonts w:cs="Times New Roman"/>
          <w:i/>
          <w:iCs/>
        </w:rPr>
        <w:t>International Entrepreneurship and Management Journal</w:t>
      </w:r>
      <w:r w:rsidRPr="002F383C">
        <w:rPr>
          <w:rFonts w:cs="Times New Roman"/>
        </w:rPr>
        <w:t>, </w:t>
      </w:r>
      <w:r w:rsidRPr="002F383C">
        <w:rPr>
          <w:rFonts w:cs="Times New Roman"/>
          <w:i/>
          <w:iCs/>
        </w:rPr>
        <w:t>21</w:t>
      </w:r>
      <w:r w:rsidRPr="002F383C">
        <w:rPr>
          <w:rFonts w:cs="Times New Roman"/>
        </w:rPr>
        <w:t>(1), p. 21.</w:t>
      </w:r>
    </w:p>
    <w:p w14:paraId="2C3D268C" w14:textId="77777777" w:rsidR="00E65CDC" w:rsidRPr="002F383C" w:rsidRDefault="00E65CDC" w:rsidP="00D23C43">
      <w:pPr>
        <w:spacing w:before="240" w:after="240"/>
        <w:rPr>
          <w:rFonts w:cs="Times New Roman"/>
        </w:rPr>
      </w:pPr>
      <w:r w:rsidRPr="002F383C">
        <w:rPr>
          <w:rFonts w:cs="Times New Roman"/>
        </w:rPr>
        <w:t>Yang, J., Liu, Y. and Jia, Y. (2022) Influence of trust relationships with suppliers on manufacturer resilience in COVID-19 era. </w:t>
      </w:r>
      <w:r w:rsidRPr="002F383C">
        <w:rPr>
          <w:rFonts w:cs="Times New Roman"/>
          <w:i/>
          <w:iCs/>
        </w:rPr>
        <w:t>Sustainability</w:t>
      </w:r>
      <w:r w:rsidRPr="002F383C">
        <w:rPr>
          <w:rFonts w:cs="Times New Roman"/>
        </w:rPr>
        <w:t>, </w:t>
      </w:r>
      <w:r w:rsidRPr="002F383C">
        <w:rPr>
          <w:rFonts w:cs="Times New Roman"/>
          <w:i/>
          <w:iCs/>
        </w:rPr>
        <w:t>14</w:t>
      </w:r>
      <w:r w:rsidRPr="002F383C">
        <w:rPr>
          <w:rFonts w:cs="Times New Roman"/>
        </w:rPr>
        <w:t>(15), p. 9235.</w:t>
      </w:r>
    </w:p>
    <w:p w14:paraId="40FC9D01" w14:textId="77777777" w:rsidR="00E65CDC" w:rsidRPr="002F383C" w:rsidRDefault="00E65CDC" w:rsidP="00D23C43">
      <w:pPr>
        <w:spacing w:before="240" w:after="240"/>
        <w:rPr>
          <w:rFonts w:cs="Times New Roman"/>
          <w:shd w:val="clear" w:color="auto" w:fill="FFFFFF"/>
        </w:rPr>
      </w:pPr>
      <w:r w:rsidRPr="002F383C">
        <w:rPr>
          <w:rFonts w:cs="Times New Roman"/>
          <w:shd w:val="clear" w:color="auto" w:fill="FFFFFF"/>
        </w:rPr>
        <w:t xml:space="preserve">Yang, Z., Wu, M., Sun, J. and Zhang, Y. (2024) Aligning redundancy and flexibility for supply chain resilience: a literature synthesis. </w:t>
      </w:r>
      <w:r w:rsidRPr="002F383C">
        <w:rPr>
          <w:rFonts w:cs="Times New Roman"/>
          <w:i/>
          <w:iCs/>
          <w:shd w:val="clear" w:color="auto" w:fill="FFFFFF"/>
        </w:rPr>
        <w:t>Journal of risk research</w:t>
      </w:r>
      <w:r w:rsidRPr="002F383C">
        <w:rPr>
          <w:rFonts w:cs="Times New Roman"/>
          <w:shd w:val="clear" w:color="auto" w:fill="FFFFFF"/>
        </w:rPr>
        <w:t xml:space="preserve">, </w:t>
      </w:r>
      <w:r w:rsidRPr="002F383C">
        <w:rPr>
          <w:rFonts w:cs="Times New Roman"/>
          <w:i/>
          <w:iCs/>
          <w:shd w:val="clear" w:color="auto" w:fill="FFFFFF"/>
        </w:rPr>
        <w:t>27</w:t>
      </w:r>
      <w:r w:rsidRPr="002F383C">
        <w:rPr>
          <w:rFonts w:cs="Times New Roman"/>
          <w:shd w:val="clear" w:color="auto" w:fill="FFFFFF"/>
        </w:rPr>
        <w:t>(2), pp.313-335.</w:t>
      </w:r>
    </w:p>
    <w:p w14:paraId="36200887" w14:textId="77777777" w:rsidR="00E65CDC" w:rsidRPr="002F383C" w:rsidRDefault="00E65CDC" w:rsidP="00D23C43">
      <w:pPr>
        <w:spacing w:before="240" w:after="240"/>
        <w:rPr>
          <w:rFonts w:cs="Times New Roman"/>
        </w:rPr>
      </w:pPr>
      <w:r w:rsidRPr="002F383C">
        <w:rPr>
          <w:rFonts w:cs="Times New Roman"/>
        </w:rPr>
        <w:t>Yuwono, M.A. and Rachmawati, D. (2023) Combined methods. Can this solve the differences between deductive and inductive methods in qualitative research?. </w:t>
      </w:r>
      <w:r w:rsidRPr="002F383C">
        <w:rPr>
          <w:rFonts w:cs="Times New Roman"/>
          <w:i/>
          <w:iCs/>
        </w:rPr>
        <w:t>Moroccan Journal of Quantitative &amp; Qualitative Research</w:t>
      </w:r>
      <w:r w:rsidRPr="002F383C">
        <w:rPr>
          <w:rFonts w:cs="Times New Roman"/>
        </w:rPr>
        <w:t>, </w:t>
      </w:r>
      <w:r w:rsidRPr="002F383C">
        <w:rPr>
          <w:rFonts w:cs="Times New Roman"/>
          <w:i/>
          <w:iCs/>
        </w:rPr>
        <w:t>5</w:t>
      </w:r>
      <w:r w:rsidRPr="002F383C">
        <w:rPr>
          <w:rFonts w:cs="Times New Roman"/>
        </w:rPr>
        <w:t>(3), p.1.</w:t>
      </w:r>
    </w:p>
    <w:p w14:paraId="05F402BB" w14:textId="77777777" w:rsidR="00E65CDC" w:rsidRDefault="00E65CDC" w:rsidP="00D23C43">
      <w:pPr>
        <w:spacing w:before="240" w:after="240"/>
        <w:rPr>
          <w:rFonts w:cs="Times New Roman"/>
        </w:rPr>
      </w:pPr>
      <w:r w:rsidRPr="002F383C">
        <w:rPr>
          <w:rFonts w:cs="Times New Roman"/>
        </w:rPr>
        <w:t>Zhang, Y. and Yi, T. (2026) Bridging capabilities, resources, and networks: Understanding collaborative innovation in manufacturing clusters. </w:t>
      </w:r>
      <w:r w:rsidRPr="002F383C">
        <w:rPr>
          <w:rFonts w:cs="Times New Roman"/>
          <w:i/>
          <w:iCs/>
        </w:rPr>
        <w:t>Journal of Innovation &amp; Knowledge</w:t>
      </w:r>
      <w:r w:rsidRPr="002F383C">
        <w:rPr>
          <w:rFonts w:cs="Times New Roman"/>
        </w:rPr>
        <w:t>, </w:t>
      </w:r>
      <w:r w:rsidRPr="002F383C">
        <w:rPr>
          <w:rFonts w:cs="Times New Roman"/>
          <w:i/>
          <w:iCs/>
        </w:rPr>
        <w:t>15</w:t>
      </w:r>
      <w:r w:rsidRPr="002F383C">
        <w:rPr>
          <w:rFonts w:cs="Times New Roman"/>
        </w:rPr>
        <w:t>, p. 100980.</w:t>
      </w:r>
    </w:p>
    <w:p w14:paraId="651F3F79" w14:textId="77777777" w:rsidR="00286302" w:rsidRDefault="00286302">
      <w:pPr>
        <w:rPr>
          <w:rFonts w:cs="Times New Roman"/>
        </w:rPr>
      </w:pPr>
      <w:r>
        <w:rPr>
          <w:rFonts w:cs="Times New Roman"/>
        </w:rPr>
        <w:br w:type="page"/>
      </w:r>
    </w:p>
    <w:p w14:paraId="61D5DCC4" w14:textId="77777777" w:rsidR="00EB1EE6" w:rsidRDefault="00EB1EE6" w:rsidP="00D23C43">
      <w:pPr>
        <w:spacing w:before="240" w:after="240"/>
        <w:rPr>
          <w:rFonts w:cs="Times New Roman"/>
        </w:rPr>
        <w:sectPr w:rsidR="00EB1EE6" w:rsidSect="009F23C2">
          <w:footerReference w:type="default" r:id="rId25"/>
          <w:pgSz w:w="11910" w:h="16840"/>
          <w:pgMar w:top="1440" w:right="1440" w:bottom="1440" w:left="1440" w:header="482" w:footer="0" w:gutter="0"/>
          <w:pgBorders w:offsetFrom="page">
            <w:top w:val="single" w:sz="4" w:space="24" w:color="auto"/>
            <w:left w:val="single" w:sz="4" w:space="24" w:color="auto"/>
            <w:bottom w:val="single" w:sz="4" w:space="24" w:color="auto"/>
            <w:right w:val="single" w:sz="4" w:space="24" w:color="auto"/>
          </w:pgBorders>
          <w:cols w:space="708"/>
          <w:docGrid w:linePitch="328"/>
        </w:sectPr>
      </w:pPr>
    </w:p>
    <w:p w14:paraId="37BF8474" w14:textId="2ADC55D7" w:rsidR="00EB1EE6" w:rsidRDefault="00EB1EE6" w:rsidP="00D23C43">
      <w:pPr>
        <w:spacing w:before="240" w:after="240"/>
        <w:rPr>
          <w:rFonts w:cs="Times New Roman"/>
        </w:rPr>
      </w:pPr>
    </w:p>
    <w:p w14:paraId="7FB63D62" w14:textId="506B0C83" w:rsidR="006509D4" w:rsidRDefault="00286302" w:rsidP="00EC7C75">
      <w:pPr>
        <w:pStyle w:val="Heading1"/>
        <w:rPr>
          <w:rFonts w:cs="Times New Roman"/>
        </w:rPr>
      </w:pPr>
      <w:bookmarkStart w:id="99" w:name="_Toc241252056"/>
      <w:r>
        <w:rPr>
          <w:rFonts w:cs="Times New Roman"/>
        </w:rPr>
        <w:t>Appendix 1:</w:t>
      </w:r>
      <w:r w:rsidR="00EC7C75" w:rsidRPr="00EC7C75">
        <w:t xml:space="preserve"> </w:t>
      </w:r>
      <w:r w:rsidR="00EC7C75">
        <w:t>Thematic Coding and Theme Development Audit Trail</w:t>
      </w:r>
      <w:bookmarkEnd w:id="99"/>
      <w:r>
        <w:rPr>
          <w:rFonts w:cs="Times New Roman"/>
        </w:rPr>
        <w:t xml:space="preserve"> </w:t>
      </w:r>
    </w:p>
    <w:tbl>
      <w:tblPr>
        <w:tblStyle w:val="TableGrid"/>
        <w:tblW w:w="0" w:type="auto"/>
        <w:tblLook w:val="04A0" w:firstRow="1" w:lastRow="0" w:firstColumn="1" w:lastColumn="0" w:noHBand="0" w:noVBand="1"/>
      </w:tblPr>
      <w:tblGrid>
        <w:gridCol w:w="1466"/>
        <w:gridCol w:w="3420"/>
        <w:gridCol w:w="2034"/>
        <w:gridCol w:w="2000"/>
        <w:gridCol w:w="920"/>
        <w:gridCol w:w="1211"/>
      </w:tblGrid>
      <w:tr w:rsidR="00EC7C75" w:rsidRPr="00286302" w14:paraId="3BACF03D" w14:textId="77777777" w:rsidTr="00EB1EE6">
        <w:tc>
          <w:tcPr>
            <w:tcW w:w="0" w:type="auto"/>
            <w:hideMark/>
          </w:tcPr>
          <w:p w14:paraId="3628B06A" w14:textId="77777777" w:rsidR="00286302" w:rsidRPr="00286302" w:rsidRDefault="00286302" w:rsidP="00EC7C75">
            <w:pPr>
              <w:spacing w:line="360" w:lineRule="auto"/>
              <w:jc w:val="both"/>
              <w:rPr>
                <w:rFonts w:eastAsia="Times New Roman" w:cs="Times New Roman"/>
                <w:b/>
                <w:bCs/>
                <w:color w:val="auto"/>
                <w:sz w:val="24"/>
                <w:szCs w:val="24"/>
                <w:lang w:eastAsia="en-GB"/>
              </w:rPr>
            </w:pPr>
            <w:r w:rsidRPr="00286302">
              <w:rPr>
                <w:rFonts w:eastAsia="Times New Roman" w:cs="Times New Roman"/>
                <w:b/>
                <w:bCs/>
                <w:color w:val="auto"/>
                <w:sz w:val="24"/>
                <w:szCs w:val="24"/>
                <w:lang w:eastAsia="en-GB"/>
              </w:rPr>
              <w:t>Source</w:t>
            </w:r>
          </w:p>
        </w:tc>
        <w:tc>
          <w:tcPr>
            <w:tcW w:w="0" w:type="auto"/>
            <w:hideMark/>
          </w:tcPr>
          <w:p w14:paraId="5204B616" w14:textId="77777777" w:rsidR="00286302" w:rsidRPr="00286302" w:rsidRDefault="00286302" w:rsidP="00EC7C75">
            <w:pPr>
              <w:spacing w:line="360" w:lineRule="auto"/>
              <w:jc w:val="center"/>
              <w:rPr>
                <w:rFonts w:eastAsia="Times New Roman" w:cs="Times New Roman"/>
                <w:b/>
                <w:bCs/>
                <w:color w:val="auto"/>
                <w:sz w:val="24"/>
                <w:szCs w:val="24"/>
                <w:lang w:eastAsia="en-GB"/>
              </w:rPr>
            </w:pPr>
            <w:r w:rsidRPr="00286302">
              <w:rPr>
                <w:rFonts w:eastAsia="Times New Roman" w:cs="Times New Roman"/>
                <w:b/>
                <w:bCs/>
                <w:color w:val="auto"/>
                <w:sz w:val="24"/>
                <w:szCs w:val="24"/>
                <w:lang w:eastAsia="en-GB"/>
              </w:rPr>
              <w:t>Extracted evidence</w:t>
            </w:r>
          </w:p>
        </w:tc>
        <w:tc>
          <w:tcPr>
            <w:tcW w:w="0" w:type="auto"/>
            <w:hideMark/>
          </w:tcPr>
          <w:p w14:paraId="19CA5332" w14:textId="77777777" w:rsidR="00286302" w:rsidRPr="00286302" w:rsidRDefault="00286302" w:rsidP="00EC7C75">
            <w:pPr>
              <w:spacing w:line="360" w:lineRule="auto"/>
              <w:jc w:val="center"/>
              <w:rPr>
                <w:rFonts w:eastAsia="Times New Roman" w:cs="Times New Roman"/>
                <w:b/>
                <w:bCs/>
                <w:color w:val="auto"/>
                <w:sz w:val="24"/>
                <w:szCs w:val="24"/>
                <w:lang w:eastAsia="en-GB"/>
              </w:rPr>
            </w:pPr>
            <w:r w:rsidRPr="00286302">
              <w:rPr>
                <w:rFonts w:eastAsia="Times New Roman" w:cs="Times New Roman"/>
                <w:b/>
                <w:bCs/>
                <w:color w:val="auto"/>
                <w:sz w:val="24"/>
                <w:szCs w:val="24"/>
                <w:lang w:eastAsia="en-GB"/>
              </w:rPr>
              <w:t>Initial code</w:t>
            </w:r>
          </w:p>
        </w:tc>
        <w:tc>
          <w:tcPr>
            <w:tcW w:w="0" w:type="auto"/>
            <w:hideMark/>
          </w:tcPr>
          <w:p w14:paraId="01E6598B" w14:textId="77777777" w:rsidR="00286302" w:rsidRPr="00286302" w:rsidRDefault="00286302" w:rsidP="00EC7C75">
            <w:pPr>
              <w:spacing w:line="360" w:lineRule="auto"/>
              <w:jc w:val="center"/>
              <w:rPr>
                <w:rFonts w:eastAsia="Times New Roman" w:cs="Times New Roman"/>
                <w:b/>
                <w:bCs/>
                <w:color w:val="auto"/>
                <w:sz w:val="24"/>
                <w:szCs w:val="24"/>
                <w:lang w:eastAsia="en-GB"/>
              </w:rPr>
            </w:pPr>
            <w:r w:rsidRPr="00286302">
              <w:rPr>
                <w:rFonts w:eastAsia="Times New Roman" w:cs="Times New Roman"/>
                <w:b/>
                <w:bCs/>
                <w:color w:val="auto"/>
                <w:sz w:val="24"/>
                <w:szCs w:val="24"/>
                <w:lang w:eastAsia="en-GB"/>
              </w:rPr>
              <w:t>Category</w:t>
            </w:r>
          </w:p>
        </w:tc>
        <w:tc>
          <w:tcPr>
            <w:tcW w:w="0" w:type="auto"/>
            <w:hideMark/>
          </w:tcPr>
          <w:p w14:paraId="7D05DBB2" w14:textId="77777777" w:rsidR="00286302" w:rsidRPr="00286302" w:rsidRDefault="00286302" w:rsidP="00EC7C75">
            <w:pPr>
              <w:spacing w:line="360" w:lineRule="auto"/>
              <w:jc w:val="center"/>
              <w:rPr>
                <w:rFonts w:eastAsia="Times New Roman" w:cs="Times New Roman"/>
                <w:b/>
                <w:bCs/>
                <w:color w:val="auto"/>
                <w:sz w:val="24"/>
                <w:szCs w:val="24"/>
                <w:lang w:eastAsia="en-GB"/>
              </w:rPr>
            </w:pPr>
            <w:r w:rsidRPr="00286302">
              <w:rPr>
                <w:rFonts w:eastAsia="Times New Roman" w:cs="Times New Roman"/>
                <w:b/>
                <w:bCs/>
                <w:color w:val="auto"/>
                <w:sz w:val="24"/>
                <w:szCs w:val="24"/>
                <w:lang w:eastAsia="en-GB"/>
              </w:rPr>
              <w:t>Final theme</w:t>
            </w:r>
          </w:p>
        </w:tc>
        <w:tc>
          <w:tcPr>
            <w:tcW w:w="0" w:type="auto"/>
            <w:hideMark/>
          </w:tcPr>
          <w:p w14:paraId="64CA3054" w14:textId="486879C7" w:rsidR="00286302" w:rsidRPr="00286302" w:rsidRDefault="00286302" w:rsidP="00EC7C75">
            <w:pPr>
              <w:spacing w:line="360" w:lineRule="auto"/>
              <w:jc w:val="center"/>
              <w:rPr>
                <w:rFonts w:eastAsia="Times New Roman" w:cs="Times New Roman"/>
                <w:b/>
                <w:bCs/>
                <w:color w:val="auto"/>
                <w:sz w:val="24"/>
                <w:szCs w:val="24"/>
                <w:lang w:eastAsia="en-GB"/>
              </w:rPr>
            </w:pPr>
            <w:r w:rsidRPr="00286302">
              <w:rPr>
                <w:rFonts w:eastAsia="Times New Roman" w:cs="Times New Roman"/>
                <w:b/>
                <w:bCs/>
                <w:color w:val="auto"/>
                <w:sz w:val="24"/>
                <w:szCs w:val="24"/>
                <w:lang w:eastAsia="en-GB"/>
              </w:rPr>
              <w:t xml:space="preserve">Objective </w:t>
            </w:r>
          </w:p>
        </w:tc>
      </w:tr>
      <w:tr w:rsidR="00EC7C75" w:rsidRPr="00286302" w14:paraId="0876B4F1" w14:textId="77777777" w:rsidTr="00EB1EE6">
        <w:tc>
          <w:tcPr>
            <w:tcW w:w="0" w:type="auto"/>
            <w:hideMark/>
          </w:tcPr>
          <w:p w14:paraId="7489394F"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Vicario, et al., (2023)</w:t>
            </w:r>
          </w:p>
        </w:tc>
        <w:tc>
          <w:tcPr>
            <w:tcW w:w="0" w:type="auto"/>
            <w:hideMark/>
          </w:tcPr>
          <w:p w14:paraId="4F689425"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“Results suggest that the potato supply chain has increased its resilience to weather extremes due to retailers and packers having a wider geographical spread of supply”</w:t>
            </w:r>
          </w:p>
        </w:tc>
        <w:tc>
          <w:tcPr>
            <w:tcW w:w="0" w:type="auto"/>
            <w:hideMark/>
          </w:tcPr>
          <w:p w14:paraId="7A082070"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Wider geographical sourcing</w:t>
            </w:r>
          </w:p>
        </w:tc>
        <w:tc>
          <w:tcPr>
            <w:tcW w:w="0" w:type="auto"/>
            <w:hideMark/>
          </w:tcPr>
          <w:p w14:paraId="24D15017"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Supply diversification</w:t>
            </w:r>
          </w:p>
        </w:tc>
        <w:tc>
          <w:tcPr>
            <w:tcW w:w="0" w:type="auto"/>
            <w:hideMark/>
          </w:tcPr>
          <w:p w14:paraId="0CFA4F4F" w14:textId="7D5C3A25"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2</w:t>
            </w:r>
            <w:r w:rsidRPr="00286302">
              <w:rPr>
                <w:rFonts w:eastAsia="Times New Roman" w:cs="Times New Roman"/>
                <w:color w:val="auto"/>
                <w:sz w:val="24"/>
                <w:szCs w:val="24"/>
                <w:lang w:eastAsia="en-GB"/>
              </w:rPr>
              <w:t xml:space="preserve"> </w:t>
            </w:r>
          </w:p>
        </w:tc>
        <w:tc>
          <w:tcPr>
            <w:tcW w:w="0" w:type="auto"/>
            <w:hideMark/>
          </w:tcPr>
          <w:p w14:paraId="79C15214" w14:textId="557A47AF"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2</w:t>
            </w:r>
          </w:p>
        </w:tc>
      </w:tr>
      <w:tr w:rsidR="00EC7C75" w:rsidRPr="00286302" w14:paraId="4C286779" w14:textId="77777777" w:rsidTr="00EB1EE6">
        <w:tc>
          <w:tcPr>
            <w:tcW w:w="0" w:type="auto"/>
            <w:hideMark/>
          </w:tcPr>
          <w:p w14:paraId="4D0835C6"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Vicario, et al., (2023)</w:t>
            </w:r>
          </w:p>
        </w:tc>
        <w:tc>
          <w:tcPr>
            <w:tcW w:w="0" w:type="auto"/>
            <w:hideMark/>
          </w:tcPr>
          <w:p w14:paraId="4F03DDEC"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“these measures are largely designed to reduce their own risk without considering implications for other parts of the chain and the system as a whole.”</w:t>
            </w:r>
          </w:p>
        </w:tc>
        <w:tc>
          <w:tcPr>
            <w:tcW w:w="0" w:type="auto"/>
            <w:hideMark/>
          </w:tcPr>
          <w:p w14:paraId="62657D46"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Individual actions affect others</w:t>
            </w:r>
          </w:p>
        </w:tc>
        <w:tc>
          <w:tcPr>
            <w:tcW w:w="0" w:type="auto"/>
            <w:hideMark/>
          </w:tcPr>
          <w:p w14:paraId="6A83DEC3"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System interdependence</w:t>
            </w:r>
          </w:p>
        </w:tc>
        <w:tc>
          <w:tcPr>
            <w:tcW w:w="0" w:type="auto"/>
            <w:hideMark/>
          </w:tcPr>
          <w:p w14:paraId="6005D41A" w14:textId="11F0ECDA"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1</w:t>
            </w:r>
            <w:r w:rsidRPr="00286302">
              <w:rPr>
                <w:rFonts w:eastAsia="Times New Roman" w:cs="Times New Roman"/>
                <w:color w:val="auto"/>
                <w:sz w:val="24"/>
                <w:szCs w:val="24"/>
                <w:lang w:eastAsia="en-GB"/>
              </w:rPr>
              <w:t xml:space="preserve"> </w:t>
            </w:r>
          </w:p>
        </w:tc>
        <w:tc>
          <w:tcPr>
            <w:tcW w:w="0" w:type="auto"/>
            <w:hideMark/>
          </w:tcPr>
          <w:p w14:paraId="5AA6CD8C" w14:textId="7674735D"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Objective 1</w:t>
            </w:r>
          </w:p>
        </w:tc>
      </w:tr>
      <w:tr w:rsidR="00EC7C75" w:rsidRPr="00286302" w14:paraId="6AC927A2" w14:textId="77777777" w:rsidTr="00EB1EE6">
        <w:tc>
          <w:tcPr>
            <w:tcW w:w="0" w:type="auto"/>
            <w:hideMark/>
          </w:tcPr>
          <w:p w14:paraId="45167136"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Vicario, et al., (2023)</w:t>
            </w:r>
          </w:p>
        </w:tc>
        <w:tc>
          <w:tcPr>
            <w:tcW w:w="0" w:type="auto"/>
            <w:hideMark/>
          </w:tcPr>
          <w:p w14:paraId="0901FFCF"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“A more integrated approach to promote drought resilience in complex food supply chains that enables improved vertical collaboration and trust between actors is therefore needed.”</w:t>
            </w:r>
          </w:p>
        </w:tc>
        <w:tc>
          <w:tcPr>
            <w:tcW w:w="0" w:type="auto"/>
            <w:hideMark/>
          </w:tcPr>
          <w:p w14:paraId="2CBF5DD9"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Vertical collaboration, trust</w:t>
            </w:r>
          </w:p>
        </w:tc>
        <w:tc>
          <w:tcPr>
            <w:tcW w:w="0" w:type="auto"/>
            <w:hideMark/>
          </w:tcPr>
          <w:p w14:paraId="448029C5"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Supply chain collaboration</w:t>
            </w:r>
          </w:p>
        </w:tc>
        <w:tc>
          <w:tcPr>
            <w:tcW w:w="0" w:type="auto"/>
            <w:hideMark/>
          </w:tcPr>
          <w:p w14:paraId="03CF3F8A" w14:textId="5EF0844A"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3</w:t>
            </w:r>
            <w:r w:rsidRPr="00286302">
              <w:rPr>
                <w:rFonts w:eastAsia="Times New Roman" w:cs="Times New Roman"/>
                <w:color w:val="auto"/>
                <w:sz w:val="24"/>
                <w:szCs w:val="24"/>
                <w:lang w:eastAsia="en-GB"/>
              </w:rPr>
              <w:t xml:space="preserve"> </w:t>
            </w:r>
          </w:p>
        </w:tc>
        <w:tc>
          <w:tcPr>
            <w:tcW w:w="0" w:type="auto"/>
            <w:hideMark/>
          </w:tcPr>
          <w:p w14:paraId="40C543DC" w14:textId="4FA9D777"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2</w:t>
            </w:r>
          </w:p>
        </w:tc>
      </w:tr>
      <w:tr w:rsidR="00EC7C75" w:rsidRPr="00286302" w14:paraId="359873F1" w14:textId="77777777" w:rsidTr="00EB1EE6">
        <w:tc>
          <w:tcPr>
            <w:tcW w:w="0" w:type="auto"/>
            <w:hideMark/>
          </w:tcPr>
          <w:p w14:paraId="42027474"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Ul Haq, et al., (2022)</w:t>
            </w:r>
          </w:p>
        </w:tc>
        <w:tc>
          <w:tcPr>
            <w:tcW w:w="0" w:type="auto"/>
            <w:hideMark/>
          </w:tcPr>
          <w:p w14:paraId="733A50B1"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“The analysis reveals that LDM enablers can improve the resilience capabilities of manufacturing companies at different stages of resilience action cycle”</w:t>
            </w:r>
          </w:p>
        </w:tc>
        <w:tc>
          <w:tcPr>
            <w:tcW w:w="0" w:type="auto"/>
            <w:hideMark/>
          </w:tcPr>
          <w:p w14:paraId="1F368C3E"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Resilience capabilities</w:t>
            </w:r>
          </w:p>
        </w:tc>
        <w:tc>
          <w:tcPr>
            <w:tcW w:w="0" w:type="auto"/>
            <w:hideMark/>
          </w:tcPr>
          <w:p w14:paraId="0AAED668"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Operational resilience</w:t>
            </w:r>
          </w:p>
        </w:tc>
        <w:tc>
          <w:tcPr>
            <w:tcW w:w="0" w:type="auto"/>
            <w:hideMark/>
          </w:tcPr>
          <w:p w14:paraId="706409E0" w14:textId="7777777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1</w:t>
            </w:r>
          </w:p>
        </w:tc>
        <w:tc>
          <w:tcPr>
            <w:tcW w:w="0" w:type="auto"/>
            <w:hideMark/>
          </w:tcPr>
          <w:p w14:paraId="48DBDC1F" w14:textId="4F5A9BB6"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1</w:t>
            </w:r>
          </w:p>
        </w:tc>
      </w:tr>
      <w:tr w:rsidR="00EC7C75" w:rsidRPr="00286302" w14:paraId="06FE1B5C" w14:textId="77777777" w:rsidTr="00EB1EE6">
        <w:tc>
          <w:tcPr>
            <w:tcW w:w="0" w:type="auto"/>
            <w:hideMark/>
          </w:tcPr>
          <w:p w14:paraId="34A4C6DC"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Ul Haq, et al., (2022)</w:t>
            </w:r>
          </w:p>
        </w:tc>
        <w:tc>
          <w:tcPr>
            <w:tcW w:w="0" w:type="auto"/>
            <w:hideMark/>
          </w:tcPr>
          <w:p w14:paraId="306DA563"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“near/on-site production units, multi-functional processing, flexible production volume, local supplier network, customer service provision and traceability of products”</w:t>
            </w:r>
          </w:p>
        </w:tc>
        <w:tc>
          <w:tcPr>
            <w:tcW w:w="0" w:type="auto"/>
            <w:hideMark/>
          </w:tcPr>
          <w:p w14:paraId="796E9B08"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Flexible production, local suppliers, traceability</w:t>
            </w:r>
          </w:p>
        </w:tc>
        <w:tc>
          <w:tcPr>
            <w:tcW w:w="0" w:type="auto"/>
            <w:hideMark/>
          </w:tcPr>
          <w:p w14:paraId="233E7A78"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Flexibility and visibility</w:t>
            </w:r>
          </w:p>
        </w:tc>
        <w:tc>
          <w:tcPr>
            <w:tcW w:w="0" w:type="auto"/>
            <w:hideMark/>
          </w:tcPr>
          <w:p w14:paraId="2EED0B1C" w14:textId="7777777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2</w:t>
            </w:r>
          </w:p>
        </w:tc>
        <w:tc>
          <w:tcPr>
            <w:tcW w:w="0" w:type="auto"/>
            <w:hideMark/>
          </w:tcPr>
          <w:p w14:paraId="56D00FE1" w14:textId="4776B5A1"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Object</w:t>
            </w:r>
            <w:r w:rsidR="00EC7C75">
              <w:rPr>
                <w:rFonts w:eastAsia="Times New Roman" w:cs="Times New Roman"/>
                <w:color w:val="auto"/>
                <w:sz w:val="24"/>
                <w:szCs w:val="24"/>
                <w:lang w:eastAsia="en-GB"/>
              </w:rPr>
              <w:t>ive 2</w:t>
            </w:r>
          </w:p>
        </w:tc>
      </w:tr>
      <w:tr w:rsidR="00EC7C75" w:rsidRPr="00286302" w14:paraId="70CD922B" w14:textId="77777777" w:rsidTr="00EB1EE6">
        <w:tc>
          <w:tcPr>
            <w:tcW w:w="0" w:type="auto"/>
            <w:hideMark/>
          </w:tcPr>
          <w:p w14:paraId="5D6C4C1F"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Ul Haq, et al., (2022)</w:t>
            </w:r>
          </w:p>
        </w:tc>
        <w:tc>
          <w:tcPr>
            <w:tcW w:w="0" w:type="auto"/>
            <w:hideMark/>
          </w:tcPr>
          <w:p w14:paraId="1EB127D7"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“production data analytics, consumer data analytics, mass/late customization, new production technologies and novel innovation processes enhance diversity, early warning detection systems, security, innovation, efficiency and risk aware culture capabilities of resilience”</w:t>
            </w:r>
          </w:p>
        </w:tc>
        <w:tc>
          <w:tcPr>
            <w:tcW w:w="0" w:type="auto"/>
            <w:hideMark/>
          </w:tcPr>
          <w:p w14:paraId="0D523023"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Analytics, early warning, innovation</w:t>
            </w:r>
          </w:p>
        </w:tc>
        <w:tc>
          <w:tcPr>
            <w:tcW w:w="0" w:type="auto"/>
            <w:hideMark/>
          </w:tcPr>
          <w:p w14:paraId="250D57B4"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Digital resilience</w:t>
            </w:r>
          </w:p>
        </w:tc>
        <w:tc>
          <w:tcPr>
            <w:tcW w:w="0" w:type="auto"/>
            <w:hideMark/>
          </w:tcPr>
          <w:p w14:paraId="0BEA5595" w14:textId="135A69FC"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5</w:t>
            </w:r>
            <w:r w:rsidRPr="00286302">
              <w:rPr>
                <w:rFonts w:eastAsia="Times New Roman" w:cs="Times New Roman"/>
                <w:color w:val="auto"/>
                <w:sz w:val="24"/>
                <w:szCs w:val="24"/>
                <w:lang w:eastAsia="en-GB"/>
              </w:rPr>
              <w:t xml:space="preserve"> </w:t>
            </w:r>
          </w:p>
        </w:tc>
        <w:tc>
          <w:tcPr>
            <w:tcW w:w="0" w:type="auto"/>
            <w:hideMark/>
          </w:tcPr>
          <w:p w14:paraId="37E1E9A8" w14:textId="581739EE"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4</w:t>
            </w:r>
          </w:p>
        </w:tc>
      </w:tr>
      <w:tr w:rsidR="00EC7C75" w:rsidRPr="00286302" w14:paraId="6FBEA9FA" w14:textId="77777777" w:rsidTr="00EB1EE6">
        <w:tc>
          <w:tcPr>
            <w:tcW w:w="0" w:type="auto"/>
            <w:hideMark/>
          </w:tcPr>
          <w:p w14:paraId="196D680C"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Poo, et al., (2024)</w:t>
            </w:r>
          </w:p>
        </w:tc>
        <w:tc>
          <w:tcPr>
            <w:tcW w:w="0" w:type="auto"/>
            <w:hideMark/>
          </w:tcPr>
          <w:p w14:paraId="153D418B"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“countries such as the United Kingdom (UK) heavily rely on shipping for food imports and supplies.”</w:t>
            </w:r>
          </w:p>
        </w:tc>
        <w:tc>
          <w:tcPr>
            <w:tcW w:w="0" w:type="auto"/>
            <w:hideMark/>
          </w:tcPr>
          <w:p w14:paraId="6A083946"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Reliance on shipping</w:t>
            </w:r>
          </w:p>
        </w:tc>
        <w:tc>
          <w:tcPr>
            <w:tcW w:w="0" w:type="auto"/>
            <w:hideMark/>
          </w:tcPr>
          <w:p w14:paraId="588A3315"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International supply dependence</w:t>
            </w:r>
          </w:p>
        </w:tc>
        <w:tc>
          <w:tcPr>
            <w:tcW w:w="0" w:type="auto"/>
            <w:hideMark/>
          </w:tcPr>
          <w:p w14:paraId="48D681BF" w14:textId="37E3476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4</w:t>
            </w:r>
            <w:r w:rsidRPr="00286302">
              <w:rPr>
                <w:rFonts w:eastAsia="Times New Roman" w:cs="Times New Roman"/>
                <w:color w:val="auto"/>
                <w:sz w:val="24"/>
                <w:szCs w:val="24"/>
                <w:lang w:eastAsia="en-GB"/>
              </w:rPr>
              <w:t xml:space="preserve"> </w:t>
            </w:r>
          </w:p>
        </w:tc>
        <w:tc>
          <w:tcPr>
            <w:tcW w:w="0" w:type="auto"/>
            <w:hideMark/>
          </w:tcPr>
          <w:p w14:paraId="683C6369" w14:textId="459AC65C"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3</w:t>
            </w:r>
          </w:p>
        </w:tc>
      </w:tr>
      <w:tr w:rsidR="00EC7C75" w:rsidRPr="00286302" w14:paraId="5E917A4B" w14:textId="77777777" w:rsidTr="00EB1EE6">
        <w:tc>
          <w:tcPr>
            <w:tcW w:w="0" w:type="auto"/>
            <w:hideMark/>
          </w:tcPr>
          <w:p w14:paraId="008BDF2C"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Poo, et al., (2024)</w:t>
            </w:r>
          </w:p>
        </w:tc>
        <w:tc>
          <w:tcPr>
            <w:tcW w:w="0" w:type="auto"/>
            <w:hideMark/>
          </w:tcPr>
          <w:p w14:paraId="10FD5E7F"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“The observed consistent decline in these values across the UK, Australia, Canada, and the DRC indicates a decreasing resilience in food supply across 2019–2020.”</w:t>
            </w:r>
          </w:p>
        </w:tc>
        <w:tc>
          <w:tcPr>
            <w:tcW w:w="0" w:type="auto"/>
            <w:hideMark/>
          </w:tcPr>
          <w:p w14:paraId="631EFADD"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Declining food resilience</w:t>
            </w:r>
          </w:p>
        </w:tc>
        <w:tc>
          <w:tcPr>
            <w:tcW w:w="0" w:type="auto"/>
            <w:hideMark/>
          </w:tcPr>
          <w:p w14:paraId="368AD5A0"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Exposure to disruption</w:t>
            </w:r>
          </w:p>
        </w:tc>
        <w:tc>
          <w:tcPr>
            <w:tcW w:w="0" w:type="auto"/>
            <w:hideMark/>
          </w:tcPr>
          <w:p w14:paraId="07323B7D" w14:textId="7777777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1</w:t>
            </w:r>
          </w:p>
        </w:tc>
        <w:tc>
          <w:tcPr>
            <w:tcW w:w="0" w:type="auto"/>
            <w:hideMark/>
          </w:tcPr>
          <w:p w14:paraId="2D20CE27" w14:textId="1CF59AF4"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1</w:t>
            </w:r>
          </w:p>
        </w:tc>
      </w:tr>
      <w:tr w:rsidR="00EC7C75" w:rsidRPr="00286302" w14:paraId="2FA456CB" w14:textId="77777777" w:rsidTr="00EB1EE6">
        <w:tc>
          <w:tcPr>
            <w:tcW w:w="0" w:type="auto"/>
            <w:hideMark/>
          </w:tcPr>
          <w:p w14:paraId="0E0D7E12"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Poo, et al., (2024)</w:t>
            </w:r>
          </w:p>
        </w:tc>
        <w:tc>
          <w:tcPr>
            <w:tcW w:w="0" w:type="auto"/>
            <w:hideMark/>
          </w:tcPr>
          <w:p w14:paraId="36AA1E74"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“Geographic elements such as proximity to sources of production, transportation networks, distribution hubs, and market access all influence the efficiency and vulnerability of FSC.”</w:t>
            </w:r>
          </w:p>
        </w:tc>
        <w:tc>
          <w:tcPr>
            <w:tcW w:w="0" w:type="auto"/>
            <w:hideMark/>
          </w:tcPr>
          <w:p w14:paraId="375F1E89"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Geography, transport, market access</w:t>
            </w:r>
          </w:p>
        </w:tc>
        <w:tc>
          <w:tcPr>
            <w:tcW w:w="0" w:type="auto"/>
            <w:hideMark/>
          </w:tcPr>
          <w:p w14:paraId="572331CE"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Supply network configuration</w:t>
            </w:r>
          </w:p>
        </w:tc>
        <w:tc>
          <w:tcPr>
            <w:tcW w:w="0" w:type="auto"/>
            <w:hideMark/>
          </w:tcPr>
          <w:p w14:paraId="7C3A82F9" w14:textId="7777777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4</w:t>
            </w:r>
          </w:p>
        </w:tc>
        <w:tc>
          <w:tcPr>
            <w:tcW w:w="0" w:type="auto"/>
            <w:hideMark/>
          </w:tcPr>
          <w:p w14:paraId="6BBF942C" w14:textId="378D4ECF"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3</w:t>
            </w:r>
          </w:p>
        </w:tc>
      </w:tr>
      <w:tr w:rsidR="00EC7C75" w:rsidRPr="00286302" w14:paraId="218AAB09" w14:textId="77777777" w:rsidTr="00EB1EE6">
        <w:tc>
          <w:tcPr>
            <w:tcW w:w="0" w:type="auto"/>
            <w:hideMark/>
          </w:tcPr>
          <w:p w14:paraId="4EA2787F"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Rimhanen, et al., (2023)</w:t>
            </w:r>
          </w:p>
        </w:tc>
        <w:tc>
          <w:tcPr>
            <w:tcW w:w="0" w:type="auto"/>
            <w:hideMark/>
          </w:tcPr>
          <w:p w14:paraId="49F5764E"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“Our study identified four key elements of resilience: system thinking through science and communication; redundancy of activities and networks; diversity of production and partners; and buffering strategies.”</w:t>
            </w:r>
          </w:p>
        </w:tc>
        <w:tc>
          <w:tcPr>
            <w:tcW w:w="0" w:type="auto"/>
            <w:hideMark/>
          </w:tcPr>
          <w:p w14:paraId="68C863D4"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Communication, redundancy, diversity, buffering</w:t>
            </w:r>
          </w:p>
        </w:tc>
        <w:tc>
          <w:tcPr>
            <w:tcW w:w="0" w:type="auto"/>
            <w:hideMark/>
          </w:tcPr>
          <w:p w14:paraId="6AAA9F85"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Resilience capabilities</w:t>
            </w:r>
          </w:p>
        </w:tc>
        <w:tc>
          <w:tcPr>
            <w:tcW w:w="0" w:type="auto"/>
            <w:hideMark/>
          </w:tcPr>
          <w:p w14:paraId="2EB6938C" w14:textId="7777777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1</w:t>
            </w:r>
          </w:p>
        </w:tc>
        <w:tc>
          <w:tcPr>
            <w:tcW w:w="0" w:type="auto"/>
            <w:hideMark/>
          </w:tcPr>
          <w:p w14:paraId="2D4740B8" w14:textId="1DCC135B"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1</w:t>
            </w:r>
          </w:p>
        </w:tc>
      </w:tr>
      <w:tr w:rsidR="00EC7C75" w:rsidRPr="00286302" w14:paraId="50C17C74" w14:textId="77777777" w:rsidTr="00EB1EE6">
        <w:tc>
          <w:tcPr>
            <w:tcW w:w="0" w:type="auto"/>
            <w:hideMark/>
          </w:tcPr>
          <w:p w14:paraId="5FD04A17"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Rimhanen, et al., (2023)</w:t>
            </w:r>
          </w:p>
        </w:tc>
        <w:tc>
          <w:tcPr>
            <w:tcW w:w="0" w:type="auto"/>
            <w:hideMark/>
          </w:tcPr>
          <w:p w14:paraId="54B73BAE"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“A dialogue between different actors in the food system was highlighted to format a situational picture and enable a rapid response.”</w:t>
            </w:r>
          </w:p>
        </w:tc>
        <w:tc>
          <w:tcPr>
            <w:tcW w:w="0" w:type="auto"/>
            <w:hideMark/>
          </w:tcPr>
          <w:p w14:paraId="14796E8F"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Dialogue, rapid response</w:t>
            </w:r>
          </w:p>
        </w:tc>
        <w:tc>
          <w:tcPr>
            <w:tcW w:w="0" w:type="auto"/>
            <w:hideMark/>
          </w:tcPr>
          <w:p w14:paraId="11933074"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Collaboration</w:t>
            </w:r>
          </w:p>
        </w:tc>
        <w:tc>
          <w:tcPr>
            <w:tcW w:w="0" w:type="auto"/>
            <w:hideMark/>
          </w:tcPr>
          <w:p w14:paraId="56B69713" w14:textId="7777777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3</w:t>
            </w:r>
          </w:p>
        </w:tc>
        <w:tc>
          <w:tcPr>
            <w:tcW w:w="0" w:type="auto"/>
            <w:hideMark/>
          </w:tcPr>
          <w:p w14:paraId="35CE91F0" w14:textId="76ED4ADC"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2</w:t>
            </w:r>
          </w:p>
        </w:tc>
      </w:tr>
      <w:tr w:rsidR="00EC7C75" w:rsidRPr="00286302" w14:paraId="2D5CF5E5" w14:textId="77777777" w:rsidTr="00EB1EE6">
        <w:tc>
          <w:tcPr>
            <w:tcW w:w="0" w:type="auto"/>
            <w:hideMark/>
          </w:tcPr>
          <w:p w14:paraId="29D046EF"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Rimhanen, et al., (2023)</w:t>
            </w:r>
          </w:p>
        </w:tc>
        <w:tc>
          <w:tcPr>
            <w:tcW w:w="0" w:type="auto"/>
            <w:hideMark/>
          </w:tcPr>
          <w:p w14:paraId="363DFBAB"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“The maintenance of an extensive network of market partners should therefore also be encouraged to secure critical imported inputs in the event of disruption.”</w:t>
            </w:r>
          </w:p>
        </w:tc>
        <w:tc>
          <w:tcPr>
            <w:tcW w:w="0" w:type="auto"/>
            <w:hideMark/>
          </w:tcPr>
          <w:p w14:paraId="02EC957C"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Extensive partner network</w:t>
            </w:r>
          </w:p>
        </w:tc>
        <w:tc>
          <w:tcPr>
            <w:tcW w:w="0" w:type="auto"/>
            <w:hideMark/>
          </w:tcPr>
          <w:p w14:paraId="492F58AA"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Network diversification</w:t>
            </w:r>
          </w:p>
        </w:tc>
        <w:tc>
          <w:tcPr>
            <w:tcW w:w="0" w:type="auto"/>
            <w:hideMark/>
          </w:tcPr>
          <w:p w14:paraId="38694874" w14:textId="7777777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2</w:t>
            </w:r>
          </w:p>
        </w:tc>
        <w:tc>
          <w:tcPr>
            <w:tcW w:w="0" w:type="auto"/>
            <w:hideMark/>
          </w:tcPr>
          <w:p w14:paraId="3A0D5AB0" w14:textId="7E3C2FBE"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2</w:t>
            </w:r>
          </w:p>
        </w:tc>
      </w:tr>
      <w:tr w:rsidR="00EC7C75" w:rsidRPr="00286302" w14:paraId="7F2B679E" w14:textId="77777777" w:rsidTr="00EB1EE6">
        <w:tc>
          <w:tcPr>
            <w:tcW w:w="0" w:type="auto"/>
            <w:hideMark/>
          </w:tcPr>
          <w:p w14:paraId="62521181"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Joshi, et al., (2023)</w:t>
            </w:r>
          </w:p>
        </w:tc>
        <w:tc>
          <w:tcPr>
            <w:tcW w:w="0" w:type="auto"/>
            <w:hideMark/>
          </w:tcPr>
          <w:p w14:paraId="01766E5D"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“The results from the SWARA show that ‘Business strategy innovations’ are the most significant innovations that can bring resiliency to the food supply chains, followed by ‘Technological innovations.’”</w:t>
            </w:r>
          </w:p>
        </w:tc>
        <w:tc>
          <w:tcPr>
            <w:tcW w:w="0" w:type="auto"/>
            <w:hideMark/>
          </w:tcPr>
          <w:p w14:paraId="377499DC"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Business and technological innovation</w:t>
            </w:r>
          </w:p>
        </w:tc>
        <w:tc>
          <w:tcPr>
            <w:tcW w:w="0" w:type="auto"/>
            <w:hideMark/>
          </w:tcPr>
          <w:p w14:paraId="0F3F6FFB"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Resilience innovation</w:t>
            </w:r>
          </w:p>
        </w:tc>
        <w:tc>
          <w:tcPr>
            <w:tcW w:w="0" w:type="auto"/>
            <w:hideMark/>
          </w:tcPr>
          <w:p w14:paraId="0FB7B412" w14:textId="7777777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5</w:t>
            </w:r>
          </w:p>
        </w:tc>
        <w:tc>
          <w:tcPr>
            <w:tcW w:w="0" w:type="auto"/>
            <w:hideMark/>
          </w:tcPr>
          <w:p w14:paraId="1583DFBF" w14:textId="09B562D1"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4</w:t>
            </w:r>
          </w:p>
        </w:tc>
      </w:tr>
      <w:tr w:rsidR="00EC7C75" w:rsidRPr="00286302" w14:paraId="4166C54B" w14:textId="77777777" w:rsidTr="00EB1EE6">
        <w:tc>
          <w:tcPr>
            <w:tcW w:w="0" w:type="auto"/>
            <w:hideMark/>
          </w:tcPr>
          <w:p w14:paraId="3F33124F"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Joshi, et al., (2023)</w:t>
            </w:r>
          </w:p>
        </w:tc>
        <w:tc>
          <w:tcPr>
            <w:tcW w:w="0" w:type="auto"/>
            <w:hideMark/>
          </w:tcPr>
          <w:p w14:paraId="2552288F"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“The study highlights that multiple supply locations are also required to reduce risk (C2-4).”</w:t>
            </w:r>
          </w:p>
        </w:tc>
        <w:tc>
          <w:tcPr>
            <w:tcW w:w="0" w:type="auto"/>
            <w:hideMark/>
          </w:tcPr>
          <w:p w14:paraId="5BEAB0D7"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Multiple supply locations</w:t>
            </w:r>
          </w:p>
        </w:tc>
        <w:tc>
          <w:tcPr>
            <w:tcW w:w="0" w:type="auto"/>
            <w:hideMark/>
          </w:tcPr>
          <w:p w14:paraId="558F1F77"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Supply diversification</w:t>
            </w:r>
          </w:p>
        </w:tc>
        <w:tc>
          <w:tcPr>
            <w:tcW w:w="0" w:type="auto"/>
            <w:hideMark/>
          </w:tcPr>
          <w:p w14:paraId="6EB6FFA1" w14:textId="7777777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2</w:t>
            </w:r>
          </w:p>
        </w:tc>
        <w:tc>
          <w:tcPr>
            <w:tcW w:w="0" w:type="auto"/>
            <w:hideMark/>
          </w:tcPr>
          <w:p w14:paraId="7D79B6CD" w14:textId="5BEE310C"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2</w:t>
            </w:r>
          </w:p>
        </w:tc>
      </w:tr>
      <w:tr w:rsidR="00EC7C75" w:rsidRPr="00286302" w14:paraId="73FF3697" w14:textId="77777777" w:rsidTr="00EB1EE6">
        <w:tc>
          <w:tcPr>
            <w:tcW w:w="0" w:type="auto"/>
            <w:hideMark/>
          </w:tcPr>
          <w:p w14:paraId="1EAB9A9A"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Joshi, et al., (2023)</w:t>
            </w:r>
          </w:p>
        </w:tc>
        <w:tc>
          <w:tcPr>
            <w:tcW w:w="0" w:type="auto"/>
            <w:hideMark/>
          </w:tcPr>
          <w:p w14:paraId="3856BCF2"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“The impact of digital technologies on data management, real-time decision-making, and innovative practices are the significant changes that have positively changed the end-of-life of the products.”</w:t>
            </w:r>
          </w:p>
        </w:tc>
        <w:tc>
          <w:tcPr>
            <w:tcW w:w="0" w:type="auto"/>
            <w:hideMark/>
          </w:tcPr>
          <w:p w14:paraId="729B4FD3"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Digital technology, real time decisions</w:t>
            </w:r>
          </w:p>
        </w:tc>
        <w:tc>
          <w:tcPr>
            <w:tcW w:w="0" w:type="auto"/>
            <w:hideMark/>
          </w:tcPr>
          <w:p w14:paraId="4B524F88"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Digital capabilities</w:t>
            </w:r>
          </w:p>
        </w:tc>
        <w:tc>
          <w:tcPr>
            <w:tcW w:w="0" w:type="auto"/>
            <w:hideMark/>
          </w:tcPr>
          <w:p w14:paraId="2FC1F43E" w14:textId="7777777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5</w:t>
            </w:r>
          </w:p>
        </w:tc>
        <w:tc>
          <w:tcPr>
            <w:tcW w:w="0" w:type="auto"/>
            <w:hideMark/>
          </w:tcPr>
          <w:p w14:paraId="3EC3AE36" w14:textId="44C461DC"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4</w:t>
            </w:r>
          </w:p>
        </w:tc>
      </w:tr>
      <w:tr w:rsidR="00EC7C75" w:rsidRPr="00286302" w14:paraId="4CE9F778" w14:textId="77777777" w:rsidTr="00EB1EE6">
        <w:tc>
          <w:tcPr>
            <w:tcW w:w="0" w:type="auto"/>
            <w:hideMark/>
          </w:tcPr>
          <w:p w14:paraId="20DE2B0E"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Galanakis, et al., (2021)</w:t>
            </w:r>
          </w:p>
        </w:tc>
        <w:tc>
          <w:tcPr>
            <w:tcW w:w="0" w:type="auto"/>
            <w:hideMark/>
          </w:tcPr>
          <w:p w14:paraId="062676A8"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“Internet and Communication Technologies, blockchain in the food supply chain and other Industry 4.0 applications”</w:t>
            </w:r>
          </w:p>
        </w:tc>
        <w:tc>
          <w:tcPr>
            <w:tcW w:w="0" w:type="auto"/>
            <w:hideMark/>
          </w:tcPr>
          <w:p w14:paraId="0CA2B1D9"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ICT, blockchain, Industry 4.0</w:t>
            </w:r>
          </w:p>
        </w:tc>
        <w:tc>
          <w:tcPr>
            <w:tcW w:w="0" w:type="auto"/>
            <w:hideMark/>
          </w:tcPr>
          <w:p w14:paraId="588D88C1"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Technological innovation</w:t>
            </w:r>
          </w:p>
        </w:tc>
        <w:tc>
          <w:tcPr>
            <w:tcW w:w="0" w:type="auto"/>
            <w:hideMark/>
          </w:tcPr>
          <w:p w14:paraId="48C4336C" w14:textId="7777777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5</w:t>
            </w:r>
          </w:p>
        </w:tc>
        <w:tc>
          <w:tcPr>
            <w:tcW w:w="0" w:type="auto"/>
            <w:hideMark/>
          </w:tcPr>
          <w:p w14:paraId="29F591E0" w14:textId="28DEF47A"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4</w:t>
            </w:r>
          </w:p>
        </w:tc>
      </w:tr>
      <w:tr w:rsidR="00EC7C75" w:rsidRPr="00286302" w14:paraId="32A743BA" w14:textId="77777777" w:rsidTr="00EB1EE6">
        <w:tc>
          <w:tcPr>
            <w:tcW w:w="0" w:type="auto"/>
            <w:hideMark/>
          </w:tcPr>
          <w:p w14:paraId="46C7A02B"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Galanakis, et al., (2021)</w:t>
            </w:r>
          </w:p>
        </w:tc>
        <w:tc>
          <w:tcPr>
            <w:tcW w:w="0" w:type="auto"/>
            <w:hideMark/>
          </w:tcPr>
          <w:p w14:paraId="735868D6"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“There is also a trend towards intensive sustainable food production systems (such as digitization, AI, and automation in smart agriculture)”</w:t>
            </w:r>
          </w:p>
        </w:tc>
        <w:tc>
          <w:tcPr>
            <w:tcW w:w="0" w:type="auto"/>
            <w:hideMark/>
          </w:tcPr>
          <w:p w14:paraId="21BAC411"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Digitalisation, AI, automation</w:t>
            </w:r>
          </w:p>
        </w:tc>
        <w:tc>
          <w:tcPr>
            <w:tcW w:w="0" w:type="auto"/>
            <w:hideMark/>
          </w:tcPr>
          <w:p w14:paraId="1500906D"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Digital adaptation</w:t>
            </w:r>
          </w:p>
        </w:tc>
        <w:tc>
          <w:tcPr>
            <w:tcW w:w="0" w:type="auto"/>
            <w:hideMark/>
          </w:tcPr>
          <w:p w14:paraId="51B16DAE" w14:textId="7777777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5</w:t>
            </w:r>
          </w:p>
        </w:tc>
        <w:tc>
          <w:tcPr>
            <w:tcW w:w="0" w:type="auto"/>
            <w:hideMark/>
          </w:tcPr>
          <w:p w14:paraId="1EC97C03" w14:textId="169B8644"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4</w:t>
            </w:r>
          </w:p>
        </w:tc>
      </w:tr>
      <w:tr w:rsidR="00EC7C75" w:rsidRPr="00286302" w14:paraId="40C7C1D7" w14:textId="77777777" w:rsidTr="00EB1EE6">
        <w:tc>
          <w:tcPr>
            <w:tcW w:w="0" w:type="auto"/>
            <w:hideMark/>
          </w:tcPr>
          <w:p w14:paraId="55DDF8BB"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Boyacı Gündüz, et al., (2021)</w:t>
            </w:r>
          </w:p>
        </w:tc>
        <w:tc>
          <w:tcPr>
            <w:tcW w:w="0" w:type="auto"/>
            <w:hideMark/>
          </w:tcPr>
          <w:p w14:paraId="3F9C06AF"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“the pandemic has shown that our food systems are fragile.”</w:t>
            </w:r>
          </w:p>
        </w:tc>
        <w:tc>
          <w:tcPr>
            <w:tcW w:w="0" w:type="auto"/>
            <w:hideMark/>
          </w:tcPr>
          <w:p w14:paraId="5FB93EDD"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Food system fragility</w:t>
            </w:r>
          </w:p>
        </w:tc>
        <w:tc>
          <w:tcPr>
            <w:tcW w:w="0" w:type="auto"/>
            <w:hideMark/>
          </w:tcPr>
          <w:p w14:paraId="60AD9593"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Vulnerability to disruption</w:t>
            </w:r>
          </w:p>
        </w:tc>
        <w:tc>
          <w:tcPr>
            <w:tcW w:w="0" w:type="auto"/>
            <w:hideMark/>
          </w:tcPr>
          <w:p w14:paraId="7E501AD0" w14:textId="7777777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1</w:t>
            </w:r>
          </w:p>
        </w:tc>
        <w:tc>
          <w:tcPr>
            <w:tcW w:w="0" w:type="auto"/>
            <w:hideMark/>
          </w:tcPr>
          <w:p w14:paraId="6221ABC6" w14:textId="33E136BE"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1</w:t>
            </w:r>
          </w:p>
        </w:tc>
      </w:tr>
      <w:tr w:rsidR="00EC7C75" w:rsidRPr="00286302" w14:paraId="37DC8F2A" w14:textId="77777777" w:rsidTr="00EB1EE6">
        <w:tc>
          <w:tcPr>
            <w:tcW w:w="0" w:type="auto"/>
            <w:hideMark/>
          </w:tcPr>
          <w:p w14:paraId="4A64390F"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Boyacı Gündüz, et al., (2021)</w:t>
            </w:r>
          </w:p>
        </w:tc>
        <w:tc>
          <w:tcPr>
            <w:tcW w:w="0" w:type="auto"/>
            <w:hideMark/>
          </w:tcPr>
          <w:p w14:paraId="01EDDA22"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“there is a need to ensure that our food systems become more sustainable and resilient.”</w:t>
            </w:r>
          </w:p>
        </w:tc>
        <w:tc>
          <w:tcPr>
            <w:tcW w:w="0" w:type="auto"/>
            <w:hideMark/>
          </w:tcPr>
          <w:p w14:paraId="1CD5EA20"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Sustainable resilience</w:t>
            </w:r>
          </w:p>
        </w:tc>
        <w:tc>
          <w:tcPr>
            <w:tcW w:w="0" w:type="auto"/>
            <w:hideMark/>
          </w:tcPr>
          <w:p w14:paraId="558381B4"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Long term adaptation</w:t>
            </w:r>
          </w:p>
        </w:tc>
        <w:tc>
          <w:tcPr>
            <w:tcW w:w="0" w:type="auto"/>
            <w:hideMark/>
          </w:tcPr>
          <w:p w14:paraId="3113AA16" w14:textId="7777777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5</w:t>
            </w:r>
          </w:p>
        </w:tc>
        <w:tc>
          <w:tcPr>
            <w:tcW w:w="0" w:type="auto"/>
            <w:hideMark/>
          </w:tcPr>
          <w:p w14:paraId="5A70E3B5" w14:textId="7D92D2F7"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4</w:t>
            </w:r>
          </w:p>
        </w:tc>
      </w:tr>
      <w:tr w:rsidR="00EC7C75" w:rsidRPr="00286302" w14:paraId="3ABFEA94" w14:textId="77777777" w:rsidTr="00EB1EE6">
        <w:tc>
          <w:tcPr>
            <w:tcW w:w="0" w:type="auto"/>
            <w:hideMark/>
          </w:tcPr>
          <w:p w14:paraId="236D1421" w14:textId="77777777"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Boyacı Gündüz, et al., (2021)</w:t>
            </w:r>
          </w:p>
        </w:tc>
        <w:tc>
          <w:tcPr>
            <w:tcW w:w="0" w:type="auto"/>
            <w:hideMark/>
          </w:tcPr>
          <w:p w14:paraId="2AA9EF9C"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“develop contingency plans and mitigation strategies that would allow a more rapid response to extreme events”</w:t>
            </w:r>
          </w:p>
        </w:tc>
        <w:tc>
          <w:tcPr>
            <w:tcW w:w="0" w:type="auto"/>
            <w:hideMark/>
          </w:tcPr>
          <w:p w14:paraId="545A014C"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Contingency planning, mitigation</w:t>
            </w:r>
          </w:p>
        </w:tc>
        <w:tc>
          <w:tcPr>
            <w:tcW w:w="0" w:type="auto"/>
            <w:hideMark/>
          </w:tcPr>
          <w:p w14:paraId="1BF0A158"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Preparedness and adaptation</w:t>
            </w:r>
          </w:p>
        </w:tc>
        <w:tc>
          <w:tcPr>
            <w:tcW w:w="0" w:type="auto"/>
            <w:hideMark/>
          </w:tcPr>
          <w:p w14:paraId="796A738C" w14:textId="7777777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5</w:t>
            </w:r>
          </w:p>
        </w:tc>
        <w:tc>
          <w:tcPr>
            <w:tcW w:w="0" w:type="auto"/>
            <w:hideMark/>
          </w:tcPr>
          <w:p w14:paraId="03DFC61D" w14:textId="0F59B291"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4</w:t>
            </w:r>
          </w:p>
        </w:tc>
      </w:tr>
      <w:tr w:rsidR="00EC7C75" w:rsidRPr="00286302" w14:paraId="241EB2DB" w14:textId="77777777" w:rsidTr="00EB1EE6">
        <w:tc>
          <w:tcPr>
            <w:tcW w:w="0" w:type="auto"/>
            <w:hideMark/>
          </w:tcPr>
          <w:p w14:paraId="5169E0DD" w14:textId="7EC2C53B" w:rsidR="00286302" w:rsidRPr="00286302" w:rsidRDefault="00286302" w:rsidP="00EC7C75">
            <w:pPr>
              <w:spacing w:line="360" w:lineRule="auto"/>
              <w:jc w:val="both"/>
              <w:rPr>
                <w:rFonts w:eastAsia="Times New Roman" w:cs="Times New Roman"/>
                <w:color w:val="auto"/>
                <w:sz w:val="24"/>
                <w:szCs w:val="24"/>
                <w:lang w:eastAsia="en-GB"/>
              </w:rPr>
            </w:pPr>
            <w:r w:rsidRPr="00EB1EE6">
              <w:rPr>
                <w:rFonts w:eastAsia="Times New Roman" w:cs="Times New Roman"/>
                <w:b/>
                <w:bCs/>
                <w:color w:val="auto"/>
                <w:sz w:val="24"/>
                <w:szCs w:val="24"/>
                <w:lang w:eastAsia="en-GB"/>
              </w:rPr>
              <w:t>DEFRA</w:t>
            </w:r>
            <w:r w:rsidR="00EC7C75">
              <w:rPr>
                <w:rFonts w:eastAsia="Times New Roman" w:cs="Times New Roman"/>
                <w:b/>
                <w:bCs/>
                <w:color w:val="auto"/>
                <w:sz w:val="24"/>
                <w:szCs w:val="24"/>
                <w:lang w:eastAsia="en-GB"/>
              </w:rPr>
              <w:t xml:space="preserve">, </w:t>
            </w:r>
            <w:r w:rsidRPr="00EB1EE6">
              <w:rPr>
                <w:rFonts w:eastAsia="Times New Roman" w:cs="Times New Roman"/>
                <w:b/>
                <w:bCs/>
                <w:color w:val="auto"/>
                <w:sz w:val="24"/>
                <w:szCs w:val="24"/>
                <w:lang w:eastAsia="en-GB"/>
              </w:rPr>
              <w:t xml:space="preserve"> (2024)</w:t>
            </w:r>
          </w:p>
        </w:tc>
        <w:tc>
          <w:tcPr>
            <w:tcW w:w="0" w:type="auto"/>
            <w:hideMark/>
          </w:tcPr>
          <w:p w14:paraId="6F1A4A37" w14:textId="77777777" w:rsid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“Diversity of supply is important to security of supply as it spreads risks from disruption”</w:t>
            </w:r>
            <w:r w:rsidR="00EC7C75">
              <w:rPr>
                <w:rFonts w:eastAsia="Times New Roman" w:cs="Times New Roman"/>
                <w:color w:val="auto"/>
                <w:sz w:val="24"/>
                <w:szCs w:val="24"/>
                <w:lang w:eastAsia="en-GB"/>
              </w:rPr>
              <w:t>.</w:t>
            </w:r>
          </w:p>
          <w:p w14:paraId="65E4665C" w14:textId="7F19D0BF" w:rsidR="00EC7C75" w:rsidRPr="00286302" w:rsidRDefault="00EC7C75"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“Single points of failure in food supply chains pose resilience risks</w:t>
            </w:r>
          </w:p>
        </w:tc>
        <w:tc>
          <w:tcPr>
            <w:tcW w:w="0" w:type="auto"/>
            <w:hideMark/>
          </w:tcPr>
          <w:p w14:paraId="0637BCBB" w14:textId="532BBBEA"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Diversity spreads risk</w:t>
            </w:r>
            <w:r w:rsidR="00EC7C75">
              <w:rPr>
                <w:rFonts w:eastAsia="Times New Roman" w:cs="Times New Roman"/>
                <w:color w:val="auto"/>
                <w:sz w:val="24"/>
                <w:szCs w:val="24"/>
                <w:lang w:eastAsia="en-GB"/>
              </w:rPr>
              <w:t xml:space="preserve">, </w:t>
            </w:r>
            <w:r w:rsidR="00EC7C75" w:rsidRPr="00286302">
              <w:rPr>
                <w:rFonts w:eastAsia="Times New Roman" w:cs="Times New Roman"/>
                <w:color w:val="auto"/>
                <w:sz w:val="24"/>
                <w:szCs w:val="24"/>
                <w:lang w:eastAsia="en-GB"/>
              </w:rPr>
              <w:t>Single points of failure</w:t>
            </w:r>
          </w:p>
        </w:tc>
        <w:tc>
          <w:tcPr>
            <w:tcW w:w="0" w:type="auto"/>
            <w:hideMark/>
          </w:tcPr>
          <w:p w14:paraId="234FF53A" w14:textId="404EA60C"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Supply diversification</w:t>
            </w:r>
            <w:r w:rsidR="00EC7C75">
              <w:rPr>
                <w:rFonts w:eastAsia="Times New Roman" w:cs="Times New Roman"/>
                <w:color w:val="auto"/>
                <w:sz w:val="24"/>
                <w:szCs w:val="24"/>
                <w:lang w:eastAsia="en-GB"/>
              </w:rPr>
              <w:t xml:space="preserve">, </w:t>
            </w:r>
            <w:r w:rsidR="00EC7C75" w:rsidRPr="00286302">
              <w:rPr>
                <w:rFonts w:eastAsia="Times New Roman" w:cs="Times New Roman"/>
                <w:color w:val="auto"/>
                <w:sz w:val="24"/>
                <w:szCs w:val="24"/>
                <w:lang w:eastAsia="en-GB"/>
              </w:rPr>
              <w:t>Supply concentration risk</w:t>
            </w:r>
          </w:p>
        </w:tc>
        <w:tc>
          <w:tcPr>
            <w:tcW w:w="0" w:type="auto"/>
            <w:hideMark/>
          </w:tcPr>
          <w:p w14:paraId="4D7F7AC0" w14:textId="7777777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2</w:t>
            </w:r>
          </w:p>
        </w:tc>
        <w:tc>
          <w:tcPr>
            <w:tcW w:w="0" w:type="auto"/>
            <w:hideMark/>
          </w:tcPr>
          <w:p w14:paraId="2E94F8EF" w14:textId="7A4573C5"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2</w:t>
            </w:r>
          </w:p>
        </w:tc>
      </w:tr>
      <w:tr w:rsidR="00EC7C75" w:rsidRPr="00286302" w14:paraId="7F9D1493" w14:textId="77777777" w:rsidTr="00EB1EE6">
        <w:tc>
          <w:tcPr>
            <w:tcW w:w="0" w:type="auto"/>
            <w:hideMark/>
          </w:tcPr>
          <w:p w14:paraId="48C040B8" w14:textId="69FBBBFC" w:rsidR="00286302" w:rsidRPr="00286302" w:rsidRDefault="00EC7C75" w:rsidP="00EC7C75">
            <w:pPr>
              <w:spacing w:line="360" w:lineRule="auto"/>
              <w:jc w:val="both"/>
              <w:rPr>
                <w:rFonts w:eastAsia="Times New Roman" w:cs="Times New Roman"/>
                <w:color w:val="auto"/>
                <w:sz w:val="24"/>
                <w:szCs w:val="24"/>
                <w:lang w:eastAsia="en-GB"/>
              </w:rPr>
            </w:pPr>
            <w:r>
              <w:rPr>
                <w:rFonts w:eastAsia="Times New Roman" w:cs="Times New Roman"/>
                <w:b/>
                <w:bCs/>
                <w:color w:val="auto"/>
                <w:sz w:val="24"/>
                <w:szCs w:val="24"/>
                <w:lang w:eastAsia="en-GB"/>
              </w:rPr>
              <w:t xml:space="preserve">House of Commons, </w:t>
            </w:r>
            <w:r w:rsidR="00286302" w:rsidRPr="00EB1EE6">
              <w:rPr>
                <w:rFonts w:eastAsia="Times New Roman" w:cs="Times New Roman"/>
                <w:b/>
                <w:bCs/>
                <w:color w:val="auto"/>
                <w:sz w:val="24"/>
                <w:szCs w:val="24"/>
                <w:lang w:eastAsia="en-GB"/>
              </w:rPr>
              <w:t>(2023)</w:t>
            </w:r>
          </w:p>
        </w:tc>
        <w:tc>
          <w:tcPr>
            <w:tcW w:w="0" w:type="auto"/>
            <w:hideMark/>
          </w:tcPr>
          <w:p w14:paraId="127F9F6C"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“Recent shocks to food supply chain such as the covid-19 pandemic and the war in Ukraine have served as a reminder of the fragility of the food supply chain”</w:t>
            </w:r>
          </w:p>
        </w:tc>
        <w:tc>
          <w:tcPr>
            <w:tcW w:w="0" w:type="auto"/>
            <w:hideMark/>
          </w:tcPr>
          <w:p w14:paraId="4513BE23"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Pandemic, war, fragility</w:t>
            </w:r>
          </w:p>
        </w:tc>
        <w:tc>
          <w:tcPr>
            <w:tcW w:w="0" w:type="auto"/>
            <w:hideMark/>
          </w:tcPr>
          <w:p w14:paraId="21721EA2"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External supply shocks</w:t>
            </w:r>
          </w:p>
        </w:tc>
        <w:tc>
          <w:tcPr>
            <w:tcW w:w="0" w:type="auto"/>
            <w:hideMark/>
          </w:tcPr>
          <w:p w14:paraId="320DDF21" w14:textId="7777777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1</w:t>
            </w:r>
          </w:p>
        </w:tc>
        <w:tc>
          <w:tcPr>
            <w:tcW w:w="0" w:type="auto"/>
            <w:hideMark/>
          </w:tcPr>
          <w:p w14:paraId="5935CA41" w14:textId="76CECA8E"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1</w:t>
            </w:r>
          </w:p>
        </w:tc>
      </w:tr>
      <w:tr w:rsidR="00EC7C75" w:rsidRPr="00286302" w14:paraId="4C61621D" w14:textId="77777777" w:rsidTr="00EB1EE6">
        <w:tc>
          <w:tcPr>
            <w:tcW w:w="0" w:type="auto"/>
            <w:hideMark/>
          </w:tcPr>
          <w:p w14:paraId="5AEE7931" w14:textId="4D9747CD" w:rsidR="00286302" w:rsidRPr="00286302" w:rsidRDefault="00EC7C75" w:rsidP="00EC7C75">
            <w:pPr>
              <w:spacing w:line="360" w:lineRule="auto"/>
              <w:jc w:val="both"/>
              <w:rPr>
                <w:rFonts w:eastAsia="Times New Roman" w:cs="Times New Roman"/>
                <w:color w:val="auto"/>
                <w:sz w:val="24"/>
                <w:szCs w:val="24"/>
                <w:lang w:eastAsia="en-GB"/>
              </w:rPr>
            </w:pPr>
            <w:r>
              <w:rPr>
                <w:rFonts w:eastAsia="Times New Roman" w:cs="Times New Roman"/>
                <w:b/>
                <w:bCs/>
                <w:color w:val="auto"/>
                <w:sz w:val="24"/>
                <w:szCs w:val="24"/>
                <w:lang w:eastAsia="en-GB"/>
              </w:rPr>
              <w:t>Statista, (2024</w:t>
            </w:r>
            <w:r w:rsidR="00286302" w:rsidRPr="00EB1EE6">
              <w:rPr>
                <w:rFonts w:eastAsia="Times New Roman" w:cs="Times New Roman"/>
                <w:b/>
                <w:bCs/>
                <w:color w:val="auto"/>
                <w:sz w:val="24"/>
                <w:szCs w:val="24"/>
                <w:lang w:eastAsia="en-GB"/>
              </w:rPr>
              <w:t>)</w:t>
            </w:r>
          </w:p>
        </w:tc>
        <w:tc>
          <w:tcPr>
            <w:tcW w:w="0" w:type="auto"/>
            <w:hideMark/>
          </w:tcPr>
          <w:p w14:paraId="09AC266B"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“In 2023, the share of imports of food, feed and drink was estimated at 8.8 percent of total imports”</w:t>
            </w:r>
          </w:p>
        </w:tc>
        <w:tc>
          <w:tcPr>
            <w:tcW w:w="0" w:type="auto"/>
            <w:hideMark/>
          </w:tcPr>
          <w:p w14:paraId="2C4A93A4"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Food imports</w:t>
            </w:r>
          </w:p>
        </w:tc>
        <w:tc>
          <w:tcPr>
            <w:tcW w:w="0" w:type="auto"/>
            <w:hideMark/>
          </w:tcPr>
          <w:p w14:paraId="440EB9F8" w14:textId="77777777"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International trade dependence</w:t>
            </w:r>
          </w:p>
        </w:tc>
        <w:tc>
          <w:tcPr>
            <w:tcW w:w="0" w:type="auto"/>
            <w:hideMark/>
          </w:tcPr>
          <w:p w14:paraId="04012C33" w14:textId="77777777" w:rsidR="00286302" w:rsidRPr="00286302" w:rsidRDefault="00286302" w:rsidP="00EC7C75">
            <w:pPr>
              <w:spacing w:line="360" w:lineRule="auto"/>
              <w:rPr>
                <w:rFonts w:eastAsia="Times New Roman" w:cs="Times New Roman"/>
                <w:color w:val="auto"/>
                <w:sz w:val="24"/>
                <w:szCs w:val="24"/>
                <w:lang w:eastAsia="en-GB"/>
              </w:rPr>
            </w:pPr>
            <w:r w:rsidRPr="00EC7C75">
              <w:rPr>
                <w:rFonts w:eastAsia="Times New Roman" w:cs="Times New Roman"/>
                <w:bCs/>
                <w:color w:val="auto"/>
                <w:sz w:val="24"/>
                <w:szCs w:val="24"/>
                <w:lang w:eastAsia="en-GB"/>
              </w:rPr>
              <w:t>Theme 4</w:t>
            </w:r>
          </w:p>
        </w:tc>
        <w:tc>
          <w:tcPr>
            <w:tcW w:w="0" w:type="auto"/>
            <w:hideMark/>
          </w:tcPr>
          <w:p w14:paraId="3C09507B" w14:textId="0720D545" w:rsidR="00286302" w:rsidRPr="00286302" w:rsidRDefault="00EC7C75" w:rsidP="00EC7C75">
            <w:pPr>
              <w:spacing w:line="360" w:lineRule="auto"/>
              <w:rPr>
                <w:rFonts w:eastAsia="Times New Roman" w:cs="Times New Roman"/>
                <w:color w:val="auto"/>
                <w:sz w:val="24"/>
                <w:szCs w:val="24"/>
                <w:lang w:eastAsia="en-GB"/>
              </w:rPr>
            </w:pPr>
            <w:r>
              <w:rPr>
                <w:rFonts w:eastAsia="Times New Roman" w:cs="Times New Roman"/>
                <w:color w:val="auto"/>
                <w:sz w:val="24"/>
                <w:szCs w:val="24"/>
                <w:lang w:eastAsia="en-GB"/>
              </w:rPr>
              <w:t>Objective 3</w:t>
            </w:r>
          </w:p>
        </w:tc>
      </w:tr>
      <w:tr w:rsidR="00EC7C75" w:rsidRPr="00286302" w14:paraId="691440A1" w14:textId="77777777" w:rsidTr="00EB1EE6">
        <w:tc>
          <w:tcPr>
            <w:tcW w:w="0" w:type="auto"/>
            <w:hideMark/>
          </w:tcPr>
          <w:p w14:paraId="4EFDCDCC" w14:textId="68FAB9C4" w:rsidR="00286302" w:rsidRPr="00286302" w:rsidRDefault="00EC7C75" w:rsidP="00EC7C75">
            <w:pPr>
              <w:spacing w:line="360" w:lineRule="auto"/>
              <w:jc w:val="both"/>
              <w:rPr>
                <w:rFonts w:eastAsia="Times New Roman" w:cs="Times New Roman"/>
                <w:color w:val="auto"/>
                <w:sz w:val="24"/>
                <w:szCs w:val="24"/>
                <w:lang w:eastAsia="en-GB"/>
              </w:rPr>
            </w:pPr>
            <w:r>
              <w:rPr>
                <w:rFonts w:eastAsia="Times New Roman" w:cs="Times New Roman"/>
                <w:b/>
                <w:bCs/>
                <w:color w:val="auto"/>
                <w:sz w:val="24"/>
                <w:szCs w:val="24"/>
                <w:lang w:eastAsia="en-GB"/>
              </w:rPr>
              <w:t xml:space="preserve">KPMG, </w:t>
            </w:r>
            <w:r w:rsidR="00286302" w:rsidRPr="00EB1EE6">
              <w:rPr>
                <w:rFonts w:eastAsia="Times New Roman" w:cs="Times New Roman"/>
                <w:b/>
                <w:bCs/>
                <w:color w:val="auto"/>
                <w:sz w:val="24"/>
                <w:szCs w:val="24"/>
                <w:lang w:eastAsia="en-GB"/>
              </w:rPr>
              <w:t>(2025)</w:t>
            </w:r>
          </w:p>
        </w:tc>
        <w:tc>
          <w:tcPr>
            <w:tcW w:w="0" w:type="auto"/>
            <w:hideMark/>
          </w:tcPr>
          <w:p w14:paraId="79CCEE16" w14:textId="7296FEEA" w:rsidR="00286302" w:rsidRPr="00286302" w:rsidRDefault="00EB1EE6" w:rsidP="00EC7C75">
            <w:pPr>
              <w:spacing w:line="360" w:lineRule="auto"/>
              <w:rPr>
                <w:rFonts w:eastAsia="Times New Roman" w:cs="Times New Roman"/>
                <w:color w:val="auto"/>
                <w:sz w:val="24"/>
                <w:szCs w:val="24"/>
                <w:lang w:eastAsia="en-GB"/>
              </w:rPr>
            </w:pPr>
            <w:r w:rsidRPr="00EB1EE6">
              <w:rPr>
                <w:rFonts w:cs="Times New Roman"/>
                <w:sz w:val="24"/>
                <w:szCs w:val="24"/>
              </w:rPr>
              <w:t>“Advance the integration of Generative Artificial Intelligence tools to optimise production systems and supply chains for improved efficiency and balanced outcomes 88%”</w:t>
            </w:r>
          </w:p>
        </w:tc>
        <w:tc>
          <w:tcPr>
            <w:tcW w:w="0" w:type="auto"/>
            <w:hideMark/>
          </w:tcPr>
          <w:p w14:paraId="45D6C02C" w14:textId="312C6F5A" w:rsidR="00286302" w:rsidRPr="00286302" w:rsidRDefault="00EB1EE6" w:rsidP="00EC7C75">
            <w:pPr>
              <w:spacing w:line="360" w:lineRule="auto"/>
              <w:rPr>
                <w:rFonts w:eastAsia="Times New Roman" w:cs="Times New Roman"/>
                <w:color w:val="auto"/>
                <w:sz w:val="24"/>
                <w:szCs w:val="24"/>
                <w:lang w:eastAsia="en-GB"/>
              </w:rPr>
            </w:pPr>
            <w:r w:rsidRPr="00EB1EE6">
              <w:rPr>
                <w:rFonts w:cs="Times New Roman"/>
                <w:sz w:val="24"/>
                <w:szCs w:val="24"/>
              </w:rPr>
              <w:t>Generative AI, production optimisation</w:t>
            </w:r>
          </w:p>
        </w:tc>
        <w:tc>
          <w:tcPr>
            <w:tcW w:w="0" w:type="auto"/>
            <w:hideMark/>
          </w:tcPr>
          <w:p w14:paraId="5A972D54" w14:textId="5CB9A5B8" w:rsidR="00286302" w:rsidRPr="00286302" w:rsidRDefault="00EB1EE6" w:rsidP="00EC7C75">
            <w:pPr>
              <w:spacing w:line="360" w:lineRule="auto"/>
              <w:rPr>
                <w:rFonts w:eastAsia="Times New Roman" w:cs="Times New Roman"/>
                <w:color w:val="auto"/>
                <w:sz w:val="24"/>
                <w:szCs w:val="24"/>
                <w:lang w:eastAsia="en-GB"/>
              </w:rPr>
            </w:pPr>
            <w:r w:rsidRPr="00EB1EE6">
              <w:rPr>
                <w:rFonts w:cs="Times New Roman"/>
                <w:sz w:val="24"/>
                <w:szCs w:val="24"/>
              </w:rPr>
              <w:t>Technological innovation</w:t>
            </w:r>
          </w:p>
        </w:tc>
        <w:tc>
          <w:tcPr>
            <w:tcW w:w="0" w:type="auto"/>
            <w:hideMark/>
          </w:tcPr>
          <w:p w14:paraId="74B2C515" w14:textId="6F7BD9F4" w:rsidR="00286302" w:rsidRPr="00286302" w:rsidRDefault="00EB1EE6" w:rsidP="00EC7C75">
            <w:pPr>
              <w:spacing w:line="360" w:lineRule="auto"/>
              <w:rPr>
                <w:rFonts w:eastAsia="Times New Roman" w:cs="Times New Roman"/>
                <w:color w:val="auto"/>
                <w:sz w:val="24"/>
                <w:szCs w:val="24"/>
                <w:lang w:eastAsia="en-GB"/>
              </w:rPr>
            </w:pPr>
            <w:r w:rsidRPr="00EC7C75">
              <w:rPr>
                <w:rFonts w:cs="Times New Roman"/>
                <w:sz w:val="24"/>
                <w:szCs w:val="24"/>
              </w:rPr>
              <w:t xml:space="preserve">Theme 5: </w:t>
            </w:r>
          </w:p>
        </w:tc>
        <w:tc>
          <w:tcPr>
            <w:tcW w:w="0" w:type="auto"/>
            <w:hideMark/>
          </w:tcPr>
          <w:p w14:paraId="093FA11B" w14:textId="0D011F4C" w:rsidR="00286302" w:rsidRPr="00286302" w:rsidRDefault="00286302" w:rsidP="00EC7C75">
            <w:pPr>
              <w:spacing w:line="360" w:lineRule="auto"/>
              <w:rPr>
                <w:rFonts w:eastAsia="Times New Roman" w:cs="Times New Roman"/>
                <w:color w:val="auto"/>
                <w:sz w:val="24"/>
                <w:szCs w:val="24"/>
                <w:lang w:eastAsia="en-GB"/>
              </w:rPr>
            </w:pPr>
            <w:r w:rsidRPr="00286302">
              <w:rPr>
                <w:rFonts w:eastAsia="Times New Roman" w:cs="Times New Roman"/>
                <w:color w:val="auto"/>
                <w:sz w:val="24"/>
                <w:szCs w:val="24"/>
                <w:lang w:eastAsia="en-GB"/>
              </w:rPr>
              <w:t xml:space="preserve">Objective 4 </w:t>
            </w:r>
          </w:p>
        </w:tc>
      </w:tr>
      <w:tr w:rsidR="00EC7C75" w:rsidRPr="00EC7C75" w14:paraId="4B19F49C" w14:textId="77777777" w:rsidTr="00EB1EE6">
        <w:tc>
          <w:tcPr>
            <w:tcW w:w="0" w:type="auto"/>
          </w:tcPr>
          <w:p w14:paraId="58E53477" w14:textId="587E783B" w:rsidR="00EC7C75" w:rsidRPr="00EC7C75" w:rsidRDefault="00EC7C75" w:rsidP="00EC7C75">
            <w:pPr>
              <w:spacing w:line="360" w:lineRule="auto"/>
              <w:rPr>
                <w:rFonts w:eastAsia="Times New Roman" w:cs="Times New Roman"/>
                <w:b/>
                <w:bCs/>
                <w:color w:val="auto"/>
                <w:sz w:val="24"/>
                <w:szCs w:val="24"/>
                <w:lang w:eastAsia="en-GB"/>
              </w:rPr>
            </w:pPr>
            <w:r w:rsidRPr="00EC7C75">
              <w:rPr>
                <w:rStyle w:val="Strong"/>
                <w:rFonts w:cs="Times New Roman"/>
                <w:sz w:val="24"/>
                <w:szCs w:val="24"/>
              </w:rPr>
              <w:t>Du, et al., (2025)</w:t>
            </w:r>
          </w:p>
        </w:tc>
        <w:tc>
          <w:tcPr>
            <w:tcW w:w="0" w:type="auto"/>
          </w:tcPr>
          <w:p w14:paraId="6C1AA041" w14:textId="611C7704" w:rsidR="00EC7C75" w:rsidRPr="00EC7C75" w:rsidRDefault="00EC7C75" w:rsidP="00EC7C75">
            <w:pPr>
              <w:spacing w:line="360" w:lineRule="auto"/>
              <w:rPr>
                <w:rFonts w:cs="Times New Roman"/>
                <w:sz w:val="24"/>
                <w:szCs w:val="24"/>
              </w:rPr>
            </w:pPr>
            <w:r w:rsidRPr="00EC7C75">
              <w:rPr>
                <w:rFonts w:cs="Times New Roman"/>
                <w:sz w:val="24"/>
                <w:szCs w:val="24"/>
              </w:rPr>
              <w:t>“prices increasing due to additional trade costs imposed by worsened market access and additional border checks.”</w:t>
            </w:r>
          </w:p>
        </w:tc>
        <w:tc>
          <w:tcPr>
            <w:tcW w:w="0" w:type="auto"/>
          </w:tcPr>
          <w:p w14:paraId="5482D473" w14:textId="1C7B1A91" w:rsidR="00EC7C75" w:rsidRPr="00EC7C75" w:rsidRDefault="00EC7C75" w:rsidP="00EC7C75">
            <w:pPr>
              <w:spacing w:line="360" w:lineRule="auto"/>
              <w:rPr>
                <w:rFonts w:cs="Times New Roman"/>
                <w:sz w:val="24"/>
                <w:szCs w:val="24"/>
              </w:rPr>
            </w:pPr>
            <w:r w:rsidRPr="00EC7C75">
              <w:rPr>
                <w:sz w:val="24"/>
                <w:szCs w:val="24"/>
              </w:rPr>
              <w:t>Market access, trade costs, border checks</w:t>
            </w:r>
          </w:p>
        </w:tc>
        <w:tc>
          <w:tcPr>
            <w:tcW w:w="0" w:type="auto"/>
          </w:tcPr>
          <w:p w14:paraId="3A1D1CEA" w14:textId="53455C85" w:rsidR="00EC7C75" w:rsidRPr="00EC7C75" w:rsidRDefault="00EC7C75" w:rsidP="00EC7C75">
            <w:pPr>
              <w:spacing w:line="360" w:lineRule="auto"/>
              <w:rPr>
                <w:rFonts w:cs="Times New Roman"/>
                <w:sz w:val="24"/>
                <w:szCs w:val="24"/>
              </w:rPr>
            </w:pPr>
            <w:r w:rsidRPr="00EC7C75">
              <w:rPr>
                <w:sz w:val="24"/>
                <w:szCs w:val="24"/>
              </w:rPr>
              <w:t>Barriers to international market access</w:t>
            </w:r>
          </w:p>
        </w:tc>
        <w:tc>
          <w:tcPr>
            <w:tcW w:w="0" w:type="auto"/>
          </w:tcPr>
          <w:p w14:paraId="09EB0E62" w14:textId="43570716" w:rsidR="00EC7C75" w:rsidRPr="00EC7C75" w:rsidRDefault="00EC7C75" w:rsidP="00EC7C75">
            <w:pPr>
              <w:spacing w:line="360" w:lineRule="auto"/>
              <w:rPr>
                <w:rFonts w:cs="Times New Roman"/>
                <w:sz w:val="24"/>
                <w:szCs w:val="24"/>
              </w:rPr>
            </w:pPr>
            <w:r w:rsidRPr="00EC7C75">
              <w:rPr>
                <w:rFonts w:eastAsia="Times New Roman" w:cs="Times New Roman"/>
                <w:bCs/>
                <w:color w:val="auto"/>
                <w:sz w:val="24"/>
                <w:szCs w:val="24"/>
                <w:lang w:eastAsia="en-GB"/>
              </w:rPr>
              <w:t>Theme 4</w:t>
            </w:r>
          </w:p>
        </w:tc>
        <w:tc>
          <w:tcPr>
            <w:tcW w:w="0" w:type="auto"/>
          </w:tcPr>
          <w:p w14:paraId="1993831F" w14:textId="5AB9119E" w:rsidR="00EC7C75" w:rsidRPr="00EC7C75" w:rsidRDefault="00EC7C75" w:rsidP="00EC7C75">
            <w:pPr>
              <w:spacing w:line="360" w:lineRule="auto"/>
              <w:rPr>
                <w:rFonts w:eastAsia="Times New Roman" w:cs="Times New Roman"/>
                <w:color w:val="auto"/>
                <w:sz w:val="24"/>
                <w:szCs w:val="24"/>
                <w:lang w:eastAsia="en-GB"/>
              </w:rPr>
            </w:pPr>
            <w:r w:rsidRPr="00EC7C75">
              <w:rPr>
                <w:sz w:val="24"/>
                <w:szCs w:val="24"/>
              </w:rPr>
              <w:t>Objective 3</w:t>
            </w:r>
          </w:p>
        </w:tc>
      </w:tr>
      <w:tr w:rsidR="00EC7C75" w:rsidRPr="00EC7C75" w14:paraId="74F80F58" w14:textId="77777777" w:rsidTr="00EB1EE6">
        <w:tc>
          <w:tcPr>
            <w:tcW w:w="0" w:type="auto"/>
          </w:tcPr>
          <w:p w14:paraId="3DC9CEED" w14:textId="7EF40E1E" w:rsidR="00EC7C75" w:rsidRPr="00EC7C75" w:rsidRDefault="00EC7C75" w:rsidP="00EC7C75">
            <w:pPr>
              <w:spacing w:line="360" w:lineRule="auto"/>
              <w:rPr>
                <w:rFonts w:eastAsia="Times New Roman" w:cs="Times New Roman"/>
                <w:b/>
                <w:bCs/>
                <w:color w:val="auto"/>
                <w:sz w:val="24"/>
                <w:szCs w:val="24"/>
                <w:lang w:eastAsia="en-GB"/>
              </w:rPr>
            </w:pPr>
            <w:r w:rsidRPr="00EC7C75">
              <w:rPr>
                <w:rStyle w:val="Strong"/>
                <w:rFonts w:cs="Times New Roman"/>
                <w:sz w:val="24"/>
                <w:szCs w:val="24"/>
              </w:rPr>
              <w:t>Du, et al., (2025)</w:t>
            </w:r>
          </w:p>
        </w:tc>
        <w:tc>
          <w:tcPr>
            <w:tcW w:w="0" w:type="auto"/>
          </w:tcPr>
          <w:p w14:paraId="0214342A" w14:textId="7A636602" w:rsidR="00EC7C75" w:rsidRPr="00EC7C75" w:rsidRDefault="00EC7C75" w:rsidP="00EC7C75">
            <w:pPr>
              <w:spacing w:line="360" w:lineRule="auto"/>
              <w:rPr>
                <w:rFonts w:cs="Times New Roman"/>
                <w:sz w:val="24"/>
                <w:szCs w:val="24"/>
              </w:rPr>
            </w:pPr>
            <w:r w:rsidRPr="00EC7C75">
              <w:rPr>
                <w:sz w:val="24"/>
                <w:szCs w:val="24"/>
              </w:rPr>
              <w:t>“The decline in exports was driven by a 34.8% reduction in the extensive margins (varieties)”</w:t>
            </w:r>
          </w:p>
        </w:tc>
        <w:tc>
          <w:tcPr>
            <w:tcW w:w="0" w:type="auto"/>
          </w:tcPr>
          <w:p w14:paraId="5C21EF78" w14:textId="7657C200" w:rsidR="00EC7C75" w:rsidRPr="00EC7C75" w:rsidRDefault="00EC7C75" w:rsidP="00EC7C75">
            <w:pPr>
              <w:spacing w:line="360" w:lineRule="auto"/>
              <w:rPr>
                <w:rFonts w:cs="Times New Roman"/>
                <w:sz w:val="24"/>
                <w:szCs w:val="24"/>
              </w:rPr>
            </w:pPr>
            <w:r w:rsidRPr="00EC7C75">
              <w:rPr>
                <w:sz w:val="24"/>
                <w:szCs w:val="24"/>
              </w:rPr>
              <w:t>Reduced export varieties</w:t>
            </w:r>
          </w:p>
        </w:tc>
        <w:tc>
          <w:tcPr>
            <w:tcW w:w="0" w:type="auto"/>
          </w:tcPr>
          <w:p w14:paraId="1CECC1FD" w14:textId="2D274CD0" w:rsidR="00EC7C75" w:rsidRPr="00EC7C75" w:rsidRDefault="00EC7C75" w:rsidP="00EC7C75">
            <w:pPr>
              <w:spacing w:line="360" w:lineRule="auto"/>
              <w:rPr>
                <w:rFonts w:cs="Times New Roman"/>
                <w:sz w:val="24"/>
                <w:szCs w:val="24"/>
              </w:rPr>
            </w:pPr>
            <w:r w:rsidRPr="00EC7C75">
              <w:rPr>
                <w:sz w:val="24"/>
                <w:szCs w:val="24"/>
              </w:rPr>
              <w:t>International market participation</w:t>
            </w:r>
          </w:p>
        </w:tc>
        <w:tc>
          <w:tcPr>
            <w:tcW w:w="0" w:type="auto"/>
          </w:tcPr>
          <w:p w14:paraId="41DAC6E6" w14:textId="7D364F54" w:rsidR="00EC7C75" w:rsidRPr="00EC7C75" w:rsidRDefault="00EC7C75" w:rsidP="00EC7C75">
            <w:pPr>
              <w:spacing w:line="360" w:lineRule="auto"/>
              <w:rPr>
                <w:rFonts w:cs="Times New Roman"/>
                <w:sz w:val="24"/>
                <w:szCs w:val="24"/>
              </w:rPr>
            </w:pPr>
            <w:r w:rsidRPr="00EC7C75">
              <w:rPr>
                <w:rFonts w:eastAsia="Times New Roman" w:cs="Times New Roman"/>
                <w:bCs/>
                <w:color w:val="auto"/>
                <w:sz w:val="24"/>
                <w:szCs w:val="24"/>
                <w:lang w:eastAsia="en-GB"/>
              </w:rPr>
              <w:t>Theme 4</w:t>
            </w:r>
          </w:p>
        </w:tc>
        <w:tc>
          <w:tcPr>
            <w:tcW w:w="0" w:type="auto"/>
          </w:tcPr>
          <w:p w14:paraId="010D440B" w14:textId="6179B2C1" w:rsidR="00EC7C75" w:rsidRPr="00EC7C75" w:rsidRDefault="00EC7C75" w:rsidP="00EC7C75">
            <w:pPr>
              <w:spacing w:line="360" w:lineRule="auto"/>
              <w:rPr>
                <w:rFonts w:eastAsia="Times New Roman" w:cs="Times New Roman"/>
                <w:color w:val="auto"/>
                <w:sz w:val="24"/>
                <w:szCs w:val="24"/>
                <w:lang w:eastAsia="en-GB"/>
              </w:rPr>
            </w:pPr>
            <w:r w:rsidRPr="00EC7C75">
              <w:rPr>
                <w:sz w:val="24"/>
                <w:szCs w:val="24"/>
              </w:rPr>
              <w:t>Objective 3</w:t>
            </w:r>
          </w:p>
        </w:tc>
      </w:tr>
      <w:tr w:rsidR="00EC7C75" w:rsidRPr="00EC7C75" w14:paraId="50512C7B" w14:textId="77777777" w:rsidTr="00EB1EE6">
        <w:tc>
          <w:tcPr>
            <w:tcW w:w="0" w:type="auto"/>
          </w:tcPr>
          <w:p w14:paraId="6B718965" w14:textId="6894098A" w:rsidR="00EC7C75" w:rsidRPr="00EC7C75" w:rsidRDefault="00EC7C75" w:rsidP="00EC7C75">
            <w:pPr>
              <w:spacing w:line="360" w:lineRule="auto"/>
              <w:rPr>
                <w:rFonts w:eastAsia="Times New Roman" w:cs="Times New Roman"/>
                <w:b/>
                <w:bCs/>
                <w:color w:val="auto"/>
                <w:sz w:val="24"/>
                <w:szCs w:val="24"/>
                <w:lang w:eastAsia="en-GB"/>
              </w:rPr>
            </w:pPr>
            <w:r w:rsidRPr="00EC7C75">
              <w:rPr>
                <w:b/>
                <w:sz w:val="24"/>
                <w:szCs w:val="24"/>
              </w:rPr>
              <w:t>Smith, (2023)</w:t>
            </w:r>
          </w:p>
        </w:tc>
        <w:tc>
          <w:tcPr>
            <w:tcW w:w="0" w:type="auto"/>
          </w:tcPr>
          <w:p w14:paraId="7DB0D8C1" w14:textId="37DFCCC9" w:rsidR="00EC7C75" w:rsidRPr="00EC7C75" w:rsidRDefault="00EC7C75" w:rsidP="00EC7C75">
            <w:pPr>
              <w:spacing w:line="360" w:lineRule="auto"/>
              <w:rPr>
                <w:rFonts w:cs="Times New Roman"/>
                <w:sz w:val="24"/>
                <w:szCs w:val="24"/>
              </w:rPr>
            </w:pPr>
            <w:r w:rsidRPr="00EC7C75">
              <w:rPr>
                <w:sz w:val="24"/>
                <w:szCs w:val="24"/>
              </w:rPr>
              <w:t>Evidence examines the UK's emerging agri food trade strategy following Brexit and the development of new international trading relationships.</w:t>
            </w:r>
          </w:p>
        </w:tc>
        <w:tc>
          <w:tcPr>
            <w:tcW w:w="0" w:type="auto"/>
          </w:tcPr>
          <w:p w14:paraId="04786811" w14:textId="1F1C4D61" w:rsidR="00EC7C75" w:rsidRPr="00EC7C75" w:rsidRDefault="00EC7C75" w:rsidP="00EC7C75">
            <w:pPr>
              <w:spacing w:line="360" w:lineRule="auto"/>
              <w:rPr>
                <w:rFonts w:cs="Times New Roman"/>
                <w:sz w:val="24"/>
                <w:szCs w:val="24"/>
              </w:rPr>
            </w:pPr>
            <w:r w:rsidRPr="00EC7C75">
              <w:rPr>
                <w:sz w:val="24"/>
                <w:szCs w:val="24"/>
              </w:rPr>
              <w:t>Trade strategy, international relationships</w:t>
            </w:r>
          </w:p>
        </w:tc>
        <w:tc>
          <w:tcPr>
            <w:tcW w:w="0" w:type="auto"/>
          </w:tcPr>
          <w:p w14:paraId="1A3D02B5" w14:textId="39E3C1A0" w:rsidR="00EC7C75" w:rsidRPr="00EC7C75" w:rsidRDefault="00EC7C75" w:rsidP="00EC7C75">
            <w:pPr>
              <w:spacing w:line="360" w:lineRule="auto"/>
              <w:rPr>
                <w:rFonts w:cs="Times New Roman"/>
                <w:sz w:val="24"/>
                <w:szCs w:val="24"/>
              </w:rPr>
            </w:pPr>
            <w:r w:rsidRPr="00EC7C75">
              <w:rPr>
                <w:sz w:val="24"/>
                <w:szCs w:val="24"/>
              </w:rPr>
              <w:t>International market opportunities</w:t>
            </w:r>
          </w:p>
        </w:tc>
        <w:tc>
          <w:tcPr>
            <w:tcW w:w="0" w:type="auto"/>
          </w:tcPr>
          <w:p w14:paraId="319DABE0" w14:textId="19F3C08E" w:rsidR="00EC7C75" w:rsidRPr="00EC7C75" w:rsidRDefault="00EC7C75" w:rsidP="00EC7C75">
            <w:pPr>
              <w:spacing w:line="360" w:lineRule="auto"/>
              <w:rPr>
                <w:rFonts w:cs="Times New Roman"/>
                <w:sz w:val="24"/>
                <w:szCs w:val="24"/>
              </w:rPr>
            </w:pPr>
            <w:r w:rsidRPr="00EC7C75">
              <w:rPr>
                <w:rFonts w:eastAsia="Times New Roman" w:cs="Times New Roman"/>
                <w:bCs/>
                <w:color w:val="auto"/>
                <w:sz w:val="24"/>
                <w:szCs w:val="24"/>
                <w:lang w:eastAsia="en-GB"/>
              </w:rPr>
              <w:t>Theme 4</w:t>
            </w:r>
          </w:p>
        </w:tc>
        <w:tc>
          <w:tcPr>
            <w:tcW w:w="0" w:type="auto"/>
          </w:tcPr>
          <w:p w14:paraId="08D78D37" w14:textId="5B520AA6" w:rsidR="00EC7C75" w:rsidRPr="00EC7C75" w:rsidRDefault="00EC7C75" w:rsidP="00EC7C75">
            <w:pPr>
              <w:spacing w:line="360" w:lineRule="auto"/>
              <w:rPr>
                <w:rFonts w:eastAsia="Times New Roman" w:cs="Times New Roman"/>
                <w:color w:val="auto"/>
                <w:sz w:val="24"/>
                <w:szCs w:val="24"/>
                <w:lang w:eastAsia="en-GB"/>
              </w:rPr>
            </w:pPr>
            <w:r w:rsidRPr="00EC7C75">
              <w:rPr>
                <w:sz w:val="24"/>
                <w:szCs w:val="24"/>
              </w:rPr>
              <w:t>Objective 3</w:t>
            </w:r>
          </w:p>
        </w:tc>
      </w:tr>
      <w:tr w:rsidR="00EC7C75" w:rsidRPr="00EC7C75" w14:paraId="443C5396" w14:textId="77777777" w:rsidTr="00EB1EE6">
        <w:tc>
          <w:tcPr>
            <w:tcW w:w="0" w:type="auto"/>
          </w:tcPr>
          <w:p w14:paraId="265F8F74" w14:textId="7B4DA782" w:rsidR="00EC7C75" w:rsidRPr="00EC7C75" w:rsidRDefault="00EC7C75" w:rsidP="00EC7C75">
            <w:pPr>
              <w:spacing w:line="360" w:lineRule="auto"/>
              <w:rPr>
                <w:b/>
                <w:sz w:val="24"/>
                <w:szCs w:val="24"/>
              </w:rPr>
            </w:pPr>
            <w:r w:rsidRPr="00EC7C75">
              <w:rPr>
                <w:b/>
                <w:sz w:val="24"/>
                <w:szCs w:val="24"/>
              </w:rPr>
              <w:t>Smith, (2023)</w:t>
            </w:r>
          </w:p>
        </w:tc>
        <w:tc>
          <w:tcPr>
            <w:tcW w:w="0" w:type="auto"/>
          </w:tcPr>
          <w:p w14:paraId="3B0F1ECC" w14:textId="0C4DB72F" w:rsidR="00EC7C75" w:rsidRPr="00EC7C75" w:rsidRDefault="00EC7C75" w:rsidP="00EC7C75">
            <w:pPr>
              <w:spacing w:line="360" w:lineRule="auto"/>
              <w:rPr>
                <w:rFonts w:cs="Times New Roman"/>
                <w:sz w:val="24"/>
                <w:szCs w:val="24"/>
              </w:rPr>
            </w:pPr>
            <w:r w:rsidRPr="00EC7C75">
              <w:rPr>
                <w:sz w:val="24"/>
                <w:szCs w:val="24"/>
              </w:rPr>
              <w:t>Evidence considers how the UK seeks new agri food trade opportunities through its post Brexit trade agreements and wider free trade strategy.</w:t>
            </w:r>
          </w:p>
        </w:tc>
        <w:tc>
          <w:tcPr>
            <w:tcW w:w="0" w:type="auto"/>
          </w:tcPr>
          <w:p w14:paraId="4E1D40CA" w14:textId="72D0B7F3" w:rsidR="00EC7C75" w:rsidRPr="00EC7C75" w:rsidRDefault="00EC7C75" w:rsidP="00EC7C75">
            <w:pPr>
              <w:spacing w:line="360" w:lineRule="auto"/>
              <w:rPr>
                <w:rFonts w:cs="Times New Roman"/>
                <w:sz w:val="24"/>
                <w:szCs w:val="24"/>
              </w:rPr>
            </w:pPr>
            <w:r w:rsidRPr="00EC7C75">
              <w:rPr>
                <w:sz w:val="24"/>
                <w:szCs w:val="24"/>
              </w:rPr>
              <w:t>Trade agreements, export opportunities</w:t>
            </w:r>
          </w:p>
        </w:tc>
        <w:tc>
          <w:tcPr>
            <w:tcW w:w="0" w:type="auto"/>
          </w:tcPr>
          <w:p w14:paraId="534B6690" w14:textId="398474C8" w:rsidR="00EC7C75" w:rsidRPr="00EC7C75" w:rsidRDefault="00EC7C75" w:rsidP="00EC7C75">
            <w:pPr>
              <w:spacing w:line="360" w:lineRule="auto"/>
              <w:rPr>
                <w:rFonts w:cs="Times New Roman"/>
                <w:sz w:val="24"/>
                <w:szCs w:val="24"/>
              </w:rPr>
            </w:pPr>
            <w:r w:rsidRPr="00EC7C75">
              <w:rPr>
                <w:sz w:val="24"/>
                <w:szCs w:val="24"/>
              </w:rPr>
              <w:t>Foreign market access</w:t>
            </w:r>
          </w:p>
        </w:tc>
        <w:tc>
          <w:tcPr>
            <w:tcW w:w="0" w:type="auto"/>
          </w:tcPr>
          <w:p w14:paraId="0EAA92B5" w14:textId="33D9678C" w:rsidR="00EC7C75" w:rsidRPr="00EC7C75" w:rsidRDefault="00EC7C75" w:rsidP="00EC7C75">
            <w:pPr>
              <w:spacing w:line="360" w:lineRule="auto"/>
              <w:rPr>
                <w:rFonts w:cs="Times New Roman"/>
                <w:sz w:val="24"/>
                <w:szCs w:val="24"/>
              </w:rPr>
            </w:pPr>
            <w:r w:rsidRPr="00EC7C75">
              <w:rPr>
                <w:rFonts w:eastAsia="Times New Roman" w:cs="Times New Roman"/>
                <w:bCs/>
                <w:color w:val="auto"/>
                <w:sz w:val="24"/>
                <w:szCs w:val="24"/>
                <w:lang w:eastAsia="en-GB"/>
              </w:rPr>
              <w:t>Theme 4</w:t>
            </w:r>
          </w:p>
        </w:tc>
        <w:tc>
          <w:tcPr>
            <w:tcW w:w="0" w:type="auto"/>
          </w:tcPr>
          <w:p w14:paraId="40CAEEEA" w14:textId="21B11739" w:rsidR="00EC7C75" w:rsidRPr="00EC7C75" w:rsidRDefault="00EC7C75" w:rsidP="00EC7C75">
            <w:pPr>
              <w:spacing w:line="360" w:lineRule="auto"/>
              <w:rPr>
                <w:rFonts w:eastAsia="Times New Roman" w:cs="Times New Roman"/>
                <w:color w:val="auto"/>
                <w:sz w:val="24"/>
                <w:szCs w:val="24"/>
                <w:lang w:eastAsia="en-GB"/>
              </w:rPr>
            </w:pPr>
            <w:r w:rsidRPr="00EC7C75">
              <w:rPr>
                <w:sz w:val="24"/>
                <w:szCs w:val="24"/>
              </w:rPr>
              <w:t>Objective 3</w:t>
            </w:r>
          </w:p>
        </w:tc>
      </w:tr>
      <w:tr w:rsidR="00EC7C75" w:rsidRPr="00EC7C75" w14:paraId="4C081C88" w14:textId="77777777" w:rsidTr="00EB1EE6">
        <w:tc>
          <w:tcPr>
            <w:tcW w:w="0" w:type="auto"/>
          </w:tcPr>
          <w:p w14:paraId="6B6438CB" w14:textId="1AD20882" w:rsidR="00EC7C75" w:rsidRPr="00EC7C75" w:rsidRDefault="00EC7C75" w:rsidP="00EC7C75">
            <w:pPr>
              <w:spacing w:line="360" w:lineRule="auto"/>
              <w:rPr>
                <w:b/>
                <w:sz w:val="24"/>
                <w:szCs w:val="24"/>
              </w:rPr>
            </w:pPr>
            <w:r w:rsidRPr="00EC7C75">
              <w:rPr>
                <w:b/>
                <w:sz w:val="24"/>
                <w:szCs w:val="24"/>
              </w:rPr>
              <w:t>Masters and Finaret, (2024)</w:t>
            </w:r>
          </w:p>
        </w:tc>
        <w:tc>
          <w:tcPr>
            <w:tcW w:w="0" w:type="auto"/>
          </w:tcPr>
          <w:p w14:paraId="7EE3B5B5" w14:textId="577BAC44" w:rsidR="00EC7C75" w:rsidRPr="00EC7C75" w:rsidRDefault="00EC7C75" w:rsidP="00EC7C75">
            <w:pPr>
              <w:spacing w:line="360" w:lineRule="auto"/>
              <w:rPr>
                <w:rFonts w:cs="Times New Roman"/>
                <w:sz w:val="24"/>
                <w:szCs w:val="24"/>
              </w:rPr>
            </w:pPr>
            <w:r w:rsidRPr="00EC7C75">
              <w:rPr>
                <w:sz w:val="24"/>
                <w:szCs w:val="24"/>
              </w:rPr>
              <w:t>“local and national food systems are interconnected through trade, storage and processing, forming a global system that links each country’s producers and consumers.”</w:t>
            </w:r>
          </w:p>
        </w:tc>
        <w:tc>
          <w:tcPr>
            <w:tcW w:w="0" w:type="auto"/>
          </w:tcPr>
          <w:p w14:paraId="00BEEB9A" w14:textId="362DD103" w:rsidR="00EC7C75" w:rsidRPr="00EC7C75" w:rsidRDefault="00EC7C75" w:rsidP="00EC7C75">
            <w:pPr>
              <w:spacing w:line="360" w:lineRule="auto"/>
              <w:rPr>
                <w:rFonts w:cs="Times New Roman"/>
                <w:sz w:val="24"/>
                <w:szCs w:val="24"/>
              </w:rPr>
            </w:pPr>
            <w:r w:rsidRPr="00EC7C75">
              <w:rPr>
                <w:sz w:val="24"/>
                <w:szCs w:val="24"/>
              </w:rPr>
              <w:t>Trade, storage, processing</w:t>
            </w:r>
          </w:p>
        </w:tc>
        <w:tc>
          <w:tcPr>
            <w:tcW w:w="0" w:type="auto"/>
          </w:tcPr>
          <w:p w14:paraId="37611663" w14:textId="3BB0D3C0" w:rsidR="00EC7C75" w:rsidRPr="00EC7C75" w:rsidRDefault="00EC7C75" w:rsidP="00EC7C75">
            <w:pPr>
              <w:spacing w:line="360" w:lineRule="auto"/>
              <w:rPr>
                <w:rFonts w:cs="Times New Roman"/>
                <w:sz w:val="24"/>
                <w:szCs w:val="24"/>
              </w:rPr>
            </w:pPr>
            <w:r w:rsidRPr="00EC7C75">
              <w:rPr>
                <w:sz w:val="24"/>
                <w:szCs w:val="24"/>
              </w:rPr>
              <w:t>Global food value chains</w:t>
            </w:r>
          </w:p>
        </w:tc>
        <w:tc>
          <w:tcPr>
            <w:tcW w:w="0" w:type="auto"/>
          </w:tcPr>
          <w:p w14:paraId="22A4AA96" w14:textId="6D98DC20" w:rsidR="00EC7C75" w:rsidRPr="00EC7C75" w:rsidRDefault="00EC7C75" w:rsidP="00EC7C75">
            <w:pPr>
              <w:spacing w:line="360" w:lineRule="auto"/>
              <w:rPr>
                <w:rFonts w:cs="Times New Roman"/>
                <w:sz w:val="24"/>
                <w:szCs w:val="24"/>
              </w:rPr>
            </w:pPr>
            <w:r w:rsidRPr="00EC7C75">
              <w:rPr>
                <w:rFonts w:eastAsia="Times New Roman" w:cs="Times New Roman"/>
                <w:bCs/>
                <w:color w:val="auto"/>
                <w:sz w:val="24"/>
                <w:szCs w:val="24"/>
                <w:lang w:eastAsia="en-GB"/>
              </w:rPr>
              <w:t>Theme 4</w:t>
            </w:r>
          </w:p>
        </w:tc>
        <w:tc>
          <w:tcPr>
            <w:tcW w:w="0" w:type="auto"/>
          </w:tcPr>
          <w:p w14:paraId="2230FA89" w14:textId="31BC5567" w:rsidR="00EC7C75" w:rsidRPr="00EC7C75" w:rsidRDefault="00EC7C75" w:rsidP="00EC7C75">
            <w:pPr>
              <w:spacing w:line="360" w:lineRule="auto"/>
              <w:rPr>
                <w:rFonts w:eastAsia="Times New Roman" w:cs="Times New Roman"/>
                <w:color w:val="auto"/>
                <w:sz w:val="24"/>
                <w:szCs w:val="24"/>
                <w:lang w:eastAsia="en-GB"/>
              </w:rPr>
            </w:pPr>
            <w:r w:rsidRPr="00EC7C75">
              <w:rPr>
                <w:sz w:val="24"/>
                <w:szCs w:val="24"/>
              </w:rPr>
              <w:t>Objective 3</w:t>
            </w:r>
          </w:p>
        </w:tc>
      </w:tr>
      <w:tr w:rsidR="00EC7C75" w:rsidRPr="00EC7C75" w14:paraId="165380A1" w14:textId="77777777" w:rsidTr="00EB1EE6">
        <w:tc>
          <w:tcPr>
            <w:tcW w:w="0" w:type="auto"/>
          </w:tcPr>
          <w:p w14:paraId="7EE0C9EF" w14:textId="2D9C03BE" w:rsidR="00EC7C75" w:rsidRPr="00EC7C75" w:rsidRDefault="00EC7C75" w:rsidP="00EC7C75">
            <w:pPr>
              <w:spacing w:line="360" w:lineRule="auto"/>
              <w:rPr>
                <w:b/>
                <w:sz w:val="24"/>
                <w:szCs w:val="24"/>
              </w:rPr>
            </w:pPr>
            <w:r w:rsidRPr="00EC7C75">
              <w:rPr>
                <w:b/>
                <w:sz w:val="24"/>
                <w:szCs w:val="24"/>
              </w:rPr>
              <w:t>Masters and Finaret, (2024)</w:t>
            </w:r>
          </w:p>
        </w:tc>
        <w:tc>
          <w:tcPr>
            <w:tcW w:w="0" w:type="auto"/>
          </w:tcPr>
          <w:p w14:paraId="10AFCF83" w14:textId="03632477" w:rsidR="00EC7C75" w:rsidRPr="00EC7C75" w:rsidRDefault="00EC7C75" w:rsidP="00EC7C75">
            <w:pPr>
              <w:spacing w:line="360" w:lineRule="auto"/>
              <w:rPr>
                <w:rFonts w:cs="Times New Roman"/>
                <w:sz w:val="24"/>
                <w:szCs w:val="24"/>
              </w:rPr>
            </w:pPr>
            <w:r w:rsidRPr="00EC7C75">
              <w:rPr>
                <w:sz w:val="24"/>
                <w:szCs w:val="24"/>
              </w:rPr>
              <w:t>“the influence of transportation costs and commodity storage on price levels and price volatility in each country.”</w:t>
            </w:r>
          </w:p>
        </w:tc>
        <w:tc>
          <w:tcPr>
            <w:tcW w:w="0" w:type="auto"/>
          </w:tcPr>
          <w:p w14:paraId="43B88777" w14:textId="3D63C1C0" w:rsidR="00EC7C75" w:rsidRPr="00EC7C75" w:rsidRDefault="00EC7C75" w:rsidP="00EC7C75">
            <w:pPr>
              <w:spacing w:line="360" w:lineRule="auto"/>
              <w:rPr>
                <w:rFonts w:cs="Times New Roman"/>
                <w:sz w:val="24"/>
                <w:szCs w:val="24"/>
              </w:rPr>
            </w:pPr>
            <w:r w:rsidRPr="00EC7C75">
              <w:rPr>
                <w:sz w:val="24"/>
                <w:szCs w:val="24"/>
              </w:rPr>
              <w:t>Transportation costs, storage, price volatility</w:t>
            </w:r>
          </w:p>
        </w:tc>
        <w:tc>
          <w:tcPr>
            <w:tcW w:w="0" w:type="auto"/>
          </w:tcPr>
          <w:p w14:paraId="1931C6E3" w14:textId="120B0A6E" w:rsidR="00EC7C75" w:rsidRPr="00EC7C75" w:rsidRDefault="00EC7C75" w:rsidP="00EC7C75">
            <w:pPr>
              <w:spacing w:line="360" w:lineRule="auto"/>
              <w:rPr>
                <w:rFonts w:cs="Times New Roman"/>
                <w:sz w:val="24"/>
                <w:szCs w:val="24"/>
              </w:rPr>
            </w:pPr>
            <w:r w:rsidRPr="00EC7C75">
              <w:rPr>
                <w:sz w:val="24"/>
                <w:szCs w:val="24"/>
              </w:rPr>
              <w:t>International supply configuration</w:t>
            </w:r>
          </w:p>
        </w:tc>
        <w:tc>
          <w:tcPr>
            <w:tcW w:w="0" w:type="auto"/>
          </w:tcPr>
          <w:p w14:paraId="25A7A019" w14:textId="04779300" w:rsidR="00EC7C75" w:rsidRPr="00EC7C75" w:rsidRDefault="00EC7C75" w:rsidP="00EC7C75">
            <w:pPr>
              <w:spacing w:line="360" w:lineRule="auto"/>
              <w:rPr>
                <w:rFonts w:cs="Times New Roman"/>
                <w:sz w:val="24"/>
                <w:szCs w:val="24"/>
              </w:rPr>
            </w:pPr>
            <w:r w:rsidRPr="00EC7C75">
              <w:rPr>
                <w:rFonts w:eastAsia="Times New Roman" w:cs="Times New Roman"/>
                <w:bCs/>
                <w:color w:val="auto"/>
                <w:sz w:val="24"/>
                <w:szCs w:val="24"/>
                <w:lang w:eastAsia="en-GB"/>
              </w:rPr>
              <w:t>Theme 4</w:t>
            </w:r>
          </w:p>
        </w:tc>
        <w:tc>
          <w:tcPr>
            <w:tcW w:w="0" w:type="auto"/>
          </w:tcPr>
          <w:p w14:paraId="2AB5AA50" w14:textId="0DBD8EB5" w:rsidR="00EC7C75" w:rsidRPr="00EC7C75" w:rsidRDefault="00EC7C75" w:rsidP="00EC7C75">
            <w:pPr>
              <w:spacing w:line="360" w:lineRule="auto"/>
              <w:rPr>
                <w:rFonts w:eastAsia="Times New Roman" w:cs="Times New Roman"/>
                <w:color w:val="auto"/>
                <w:sz w:val="24"/>
                <w:szCs w:val="24"/>
                <w:lang w:eastAsia="en-GB"/>
              </w:rPr>
            </w:pPr>
            <w:r w:rsidRPr="00EC7C75">
              <w:rPr>
                <w:sz w:val="24"/>
                <w:szCs w:val="24"/>
              </w:rPr>
              <w:t>Objective 3</w:t>
            </w:r>
          </w:p>
        </w:tc>
      </w:tr>
    </w:tbl>
    <w:p w14:paraId="6FA8D3AA" w14:textId="7E405AF5" w:rsidR="00E65CDC" w:rsidRDefault="00E65CDC" w:rsidP="00D23C43">
      <w:pPr>
        <w:spacing w:before="240" w:after="240"/>
        <w:rPr>
          <w:rFonts w:cs="Times New Roman"/>
        </w:rPr>
      </w:pPr>
    </w:p>
    <w:p w14:paraId="39A8B95E" w14:textId="6DD3A6E0" w:rsidR="00E65CDC" w:rsidRPr="00D23C43" w:rsidRDefault="00E65CDC" w:rsidP="001F2ED9">
      <w:pPr>
        <w:rPr>
          <w:rFonts w:cs="Times New Roman"/>
        </w:rPr>
      </w:pPr>
      <w:r>
        <w:rPr>
          <w:rFonts w:cs="Times New Roman"/>
        </w:rPr>
        <w:br w:type="page"/>
      </w:r>
    </w:p>
    <w:sectPr w:rsidR="00E65CDC" w:rsidRPr="00D23C43" w:rsidSect="001F2ED9">
      <w:headerReference w:type="default" r:id="rId26"/>
      <w:footerReference w:type="default" r:id="rId27"/>
      <w:pgSz w:w="11910" w:h="16840"/>
      <w:pgMar w:top="900" w:right="283" w:bottom="860" w:left="566" w:header="702" w:footer="6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1CCCA" w14:textId="77777777" w:rsidR="004319AA" w:rsidRDefault="004319AA" w:rsidP="00B726A6">
      <w:pPr>
        <w:spacing w:before="0" w:after="0" w:line="240" w:lineRule="auto"/>
      </w:pPr>
      <w:r>
        <w:separator/>
      </w:r>
    </w:p>
  </w:endnote>
  <w:endnote w:type="continuationSeparator" w:id="0">
    <w:p w14:paraId="29540A7E" w14:textId="77777777" w:rsidR="004319AA" w:rsidRDefault="004319AA" w:rsidP="00B726A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5004106"/>
      <w:docPartObj>
        <w:docPartGallery w:val="Page Numbers (Bottom of Page)"/>
        <w:docPartUnique/>
      </w:docPartObj>
    </w:sdtPr>
    <w:sdtEndPr>
      <w:rPr>
        <w:noProof/>
      </w:rPr>
    </w:sdtEndPr>
    <w:sdtContent>
      <w:p w14:paraId="7BD4A900" w14:textId="7AA4AF09" w:rsidR="00E65CDC" w:rsidRDefault="00E65CDC">
        <w:pPr>
          <w:pStyle w:val="Footer"/>
          <w:jc w:val="right"/>
        </w:pPr>
        <w:r>
          <w:fldChar w:fldCharType="begin"/>
        </w:r>
        <w:r>
          <w:instrText xml:space="preserve"> PAGE   \* MERGEFORMAT </w:instrText>
        </w:r>
        <w:r>
          <w:fldChar w:fldCharType="separate"/>
        </w:r>
        <w:r w:rsidR="001F5261">
          <w:rPr>
            <w:noProof/>
          </w:rPr>
          <w:t>31</w:t>
        </w:r>
        <w:r>
          <w:rPr>
            <w:noProof/>
          </w:rPr>
          <w:fldChar w:fldCharType="end"/>
        </w:r>
      </w:p>
    </w:sdtContent>
  </w:sdt>
  <w:p w14:paraId="77A23133" w14:textId="77777777" w:rsidR="00E65CDC" w:rsidRDefault="00E65C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31F35" w14:textId="77777777" w:rsidR="00E65CDC" w:rsidRDefault="00E65CDC">
    <w:pPr>
      <w:pStyle w:val="BodyText"/>
      <w:spacing w:line="14" w:lineRule="auto"/>
      <w:rPr>
        <w:sz w:val="20"/>
      </w:rPr>
    </w:pPr>
    <w:r>
      <w:rPr>
        <w:noProof/>
        <w:sz w:val="20"/>
        <w:lang w:val="en-GB" w:eastAsia="en-GB"/>
      </w:rPr>
      <mc:AlternateContent>
        <mc:Choice Requires="wps">
          <w:drawing>
            <wp:anchor distT="0" distB="0" distL="0" distR="0" simplePos="0" relativeHeight="251660288" behindDoc="1" locked="0" layoutInCell="1" allowOverlap="1" wp14:anchorId="69BF7520" wp14:editId="70FD4748">
              <wp:simplePos x="0" y="0"/>
              <wp:positionH relativeFrom="page">
                <wp:posOffset>444500</wp:posOffset>
              </wp:positionH>
              <wp:positionV relativeFrom="page">
                <wp:posOffset>10086413</wp:posOffset>
              </wp:positionV>
              <wp:extent cx="872490" cy="182245"/>
              <wp:effectExtent l="0" t="0" r="0" b="0"/>
              <wp:wrapNone/>
              <wp:docPr id="6"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2490" cy="182245"/>
                      </a:xfrm>
                      <a:prstGeom prst="rect">
                        <a:avLst/>
                      </a:prstGeom>
                    </wps:spPr>
                    <wps:txbx>
                      <w:txbxContent>
                        <w:p w14:paraId="07F5D6D7" w14:textId="77777777" w:rsidR="00E65CDC" w:rsidRDefault="00E65CDC">
                          <w:pPr>
                            <w:pStyle w:val="BodyText"/>
                            <w:spacing w:before="13"/>
                            <w:ind w:left="20"/>
                          </w:pPr>
                          <w:r>
                            <w:t>January</w:t>
                          </w:r>
                          <w:r>
                            <w:rPr>
                              <w:spacing w:val="-7"/>
                            </w:rPr>
                            <w:t xml:space="preserve"> </w:t>
                          </w:r>
                          <w:r>
                            <w:rPr>
                              <w:spacing w:val="-4"/>
                            </w:rPr>
                            <w:t>2026</w:t>
                          </w:r>
                        </w:p>
                      </w:txbxContent>
                    </wps:txbx>
                    <wps:bodyPr wrap="square" lIns="0" tIns="0" rIns="0" bIns="0" rtlCol="0">
                      <a:noAutofit/>
                    </wps:bodyPr>
                  </wps:wsp>
                </a:graphicData>
              </a:graphic>
            </wp:anchor>
          </w:drawing>
        </mc:Choice>
        <mc:Fallback>
          <w:pict>
            <v:shapetype w14:anchorId="69BF7520" id="_x0000_t202" coordsize="21600,21600" o:spt="202" path="m,l,21600r21600,l21600,xe">
              <v:stroke joinstyle="miter"/>
              <v:path gradientshapeok="t" o:connecttype="rect"/>
            </v:shapetype>
            <v:shape id="Textbox 2" o:spid="_x0000_s1027" type="#_x0000_t202" style="position:absolute;margin-left:35pt;margin-top:794.2pt;width:68.7pt;height:14.3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" filled="f" stroked="f">
              <v:textbox inset="0,0,0,0">
                <w:txbxContent>
                  <w:p w14:paraId="07F5D6D7" w14:textId="77777777" w:rsidR="00E65CDC" w:rsidRDefault="00E65CDC">
                    <w:pPr>
                      <w:pStyle w:val="BodyText"/>
                      <w:spacing w:before="13"/>
                      <w:ind w:left="20"/>
                    </w:pPr>
                    <w:r>
                      <w:t>January</w:t>
                    </w:r>
                    <w:r>
                      <w:rPr>
                        <w:spacing w:val="-7"/>
                      </w:rPr>
                      <w:t xml:space="preserve"> </w:t>
                    </w:r>
                    <w:r>
                      <w:rPr>
                        <w:spacing w:val="-4"/>
                      </w:rPr>
                      <w:t>2026</w:t>
                    </w:r>
                  </w:p>
                </w:txbxContent>
              </v:textbox>
              <w10:wrap anchorx="page" anchory="page"/>
            </v:shape>
          </w:pict>
        </mc:Fallback>
      </mc:AlternateContent>
    </w:r>
    <w:r>
      <w:rPr>
        <w:noProof/>
        <w:sz w:val="20"/>
        <w:lang w:val="en-GB" w:eastAsia="en-GB"/>
      </w:rPr>
      <mc:AlternateContent>
        <mc:Choice Requires="wps">
          <w:drawing>
            <wp:anchor distT="0" distB="0" distL="0" distR="0" simplePos="0" relativeHeight="251661312" behindDoc="1" locked="0" layoutInCell="1" allowOverlap="1" wp14:anchorId="3FA47C42" wp14:editId="243FC76B">
              <wp:simplePos x="0" y="0"/>
              <wp:positionH relativeFrom="page">
                <wp:posOffset>1997025</wp:posOffset>
              </wp:positionH>
              <wp:positionV relativeFrom="page">
                <wp:posOffset>10086413</wp:posOffset>
              </wp:positionV>
              <wp:extent cx="3383279" cy="378460"/>
              <wp:effectExtent l="0" t="0" r="0" b="0"/>
              <wp:wrapNone/>
              <wp:docPr id="7"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83279" cy="378460"/>
                      </a:xfrm>
                      <a:prstGeom prst="rect">
                        <a:avLst/>
                      </a:prstGeom>
                    </wps:spPr>
                    <wps:txbx>
                      <w:txbxContent>
                        <w:p w14:paraId="0FDAB979" w14:textId="602D2F22" w:rsidR="00E65CDC" w:rsidRDefault="00E65CDC">
                          <w:pPr>
                            <w:pStyle w:val="BodyText"/>
                            <w:spacing w:before="13"/>
                            <w:ind w:left="288"/>
                            <w:jc w:val="center"/>
                          </w:pPr>
                          <w:r>
                            <w:rPr>
                              <w:spacing w:val="-5"/>
                            </w:rPr>
                            <w:fldChar w:fldCharType="begin"/>
                          </w:r>
                          <w:r>
                            <w:rPr>
                              <w:spacing w:val="-5"/>
                            </w:rPr>
                            <w:instrText xml:space="preserve"> PAGE </w:instrText>
                          </w:r>
                          <w:r>
                            <w:rPr>
                              <w:spacing w:val="-5"/>
                            </w:rPr>
                            <w:fldChar w:fldCharType="separate"/>
                          </w:r>
                          <w:r w:rsidR="001F5261">
                            <w:rPr>
                              <w:noProof/>
                              <w:spacing w:val="-5"/>
                            </w:rPr>
                            <w:t>12</w:t>
                          </w:r>
                          <w:r>
                            <w:rPr>
                              <w:spacing w:val="-5"/>
                            </w:rPr>
                            <w:fldChar w:fldCharType="end"/>
                          </w:r>
                        </w:p>
                        <w:p w14:paraId="550A2136" w14:textId="77777777" w:rsidR="00E65CDC" w:rsidRDefault="00E65CDC">
                          <w:pPr>
                            <w:spacing w:before="125"/>
                            <w:ind w:left="20"/>
                            <w:rPr>
                              <w:rFonts w:ascii="Arial"/>
                              <w:b/>
                              <w:sz w:val="16"/>
                            </w:rPr>
                          </w:pPr>
                          <w:r>
                            <w:rPr>
                              <w:rFonts w:ascii="Arial"/>
                              <w:b/>
                              <w:sz w:val="16"/>
                            </w:rPr>
                            <w:t>UNDERGRADUATE</w:t>
                          </w:r>
                          <w:r>
                            <w:rPr>
                              <w:rFonts w:ascii="Arial"/>
                              <w:b/>
                              <w:spacing w:val="-2"/>
                              <w:sz w:val="16"/>
                            </w:rPr>
                            <w:t xml:space="preserve"> </w:t>
                          </w:r>
                          <w:r>
                            <w:rPr>
                              <w:rFonts w:ascii="Arial"/>
                              <w:b/>
                              <w:sz w:val="16"/>
                            </w:rPr>
                            <w:t>AND</w:t>
                          </w:r>
                          <w:r>
                            <w:rPr>
                              <w:rFonts w:ascii="Arial"/>
                              <w:b/>
                              <w:spacing w:val="-2"/>
                              <w:sz w:val="16"/>
                            </w:rPr>
                            <w:t xml:space="preserve"> </w:t>
                          </w:r>
                          <w:r>
                            <w:rPr>
                              <w:rFonts w:ascii="Arial"/>
                              <w:b/>
                              <w:sz w:val="16"/>
                            </w:rPr>
                            <w:t>TAUGHT</w:t>
                          </w:r>
                          <w:r>
                            <w:rPr>
                              <w:rFonts w:ascii="Arial"/>
                              <w:b/>
                              <w:spacing w:val="-3"/>
                              <w:sz w:val="16"/>
                            </w:rPr>
                            <w:t xml:space="preserve"> </w:t>
                          </w:r>
                          <w:r>
                            <w:rPr>
                              <w:rFonts w:ascii="Arial"/>
                              <w:b/>
                              <w:sz w:val="16"/>
                            </w:rPr>
                            <w:t>POSTGRADUATE</w:t>
                          </w:r>
                          <w:r>
                            <w:rPr>
                              <w:rFonts w:ascii="Arial"/>
                              <w:b/>
                              <w:spacing w:val="-2"/>
                              <w:sz w:val="16"/>
                            </w:rPr>
                            <w:t xml:space="preserve"> </w:t>
                          </w:r>
                          <w:r>
                            <w:rPr>
                              <w:rFonts w:ascii="Arial"/>
                              <w:b/>
                              <w:sz w:val="16"/>
                            </w:rPr>
                            <w:t>COURSES</w:t>
                          </w:r>
                          <w:r>
                            <w:rPr>
                              <w:rFonts w:ascii="Arial"/>
                              <w:b/>
                              <w:spacing w:val="-2"/>
                              <w:sz w:val="16"/>
                            </w:rPr>
                            <w:t xml:space="preserve"> </w:t>
                          </w:r>
                          <w:r>
                            <w:rPr>
                              <w:rFonts w:ascii="Arial"/>
                              <w:b/>
                              <w:spacing w:val="-4"/>
                              <w:sz w:val="16"/>
                            </w:rPr>
                            <w:t>ONLY</w:t>
                          </w:r>
                        </w:p>
                      </w:txbxContent>
                    </wps:txbx>
                    <wps:bodyPr wrap="square" lIns="0" tIns="0" rIns="0" bIns="0" rtlCol="0">
                      <a:noAutofit/>
                    </wps:bodyPr>
                  </wps:wsp>
                </a:graphicData>
              </a:graphic>
            </wp:anchor>
          </w:drawing>
        </mc:Choice>
        <mc:Fallback>
          <w:pict>
            <v:shape w14:anchorId="3FA47C42" id="Textbox 3" o:spid="_x0000_s1028" type="#_x0000_t202" style="position:absolute;margin-left:157.25pt;margin-top:794.2pt;width:266.4pt;height:29.8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" filled="f" stroked="f">
              <v:textbox inset="0,0,0,0">
                <w:txbxContent>
                  <w:p w14:paraId="0FDAB979" w14:textId="602D2F22" w:rsidR="00E65CDC" w:rsidRDefault="00E65CDC">
                    <w:pPr>
                      <w:pStyle w:val="BodyText"/>
                      <w:spacing w:before="13"/>
                      <w:ind w:left="288"/>
                      <w:jc w:val="center"/>
                    </w:pPr>
                    <w:r>
                      <w:rPr>
                        <w:spacing w:val="-5"/>
                      </w:rPr>
                      <w:fldChar w:fldCharType="begin"/>
                    </w:r>
                    <w:r>
                      <w:rPr>
                        <w:spacing w:val="-5"/>
                      </w:rPr>
                      <w:instrText xml:space="preserve"> PAGE </w:instrText>
                    </w:r>
                    <w:r>
                      <w:rPr>
                        <w:spacing w:val="-5"/>
                      </w:rPr>
                      <w:fldChar w:fldCharType="separate"/>
                    </w:r>
                    <w:r w:rsidR="001F5261">
                      <w:rPr>
                        <w:noProof/>
                        <w:spacing w:val="-5"/>
                      </w:rPr>
                      <w:t>12</w:t>
                    </w:r>
                    <w:r>
                      <w:rPr>
                        <w:spacing w:val="-5"/>
                      </w:rPr>
                      <w:fldChar w:fldCharType="end"/>
                    </w:r>
                  </w:p>
                  <w:p w14:paraId="550A2136" w14:textId="77777777" w:rsidR="00E65CDC" w:rsidRDefault="00E65CDC">
                    <w:pPr>
                      <w:spacing w:before="125"/>
                      <w:ind w:left="20"/>
                      <w:rPr>
                        <w:rFonts w:ascii="Arial"/>
                        <w:b/>
                        <w:sz w:val="16"/>
                      </w:rPr>
                    </w:pPr>
                    <w:r>
                      <w:rPr>
                        <w:rFonts w:ascii="Arial"/>
                        <w:b/>
                        <w:sz w:val="16"/>
                      </w:rPr>
                      <w:t>UNDERGRADUATE</w:t>
                    </w:r>
                    <w:r>
                      <w:rPr>
                        <w:rFonts w:ascii="Arial"/>
                        <w:b/>
                        <w:spacing w:val="-2"/>
                        <w:sz w:val="16"/>
                      </w:rPr>
                      <w:t xml:space="preserve"> </w:t>
                    </w:r>
                    <w:r>
                      <w:rPr>
                        <w:rFonts w:ascii="Arial"/>
                        <w:b/>
                        <w:sz w:val="16"/>
                      </w:rPr>
                      <w:t>AND</w:t>
                    </w:r>
                    <w:r>
                      <w:rPr>
                        <w:rFonts w:ascii="Arial"/>
                        <w:b/>
                        <w:spacing w:val="-2"/>
                        <w:sz w:val="16"/>
                      </w:rPr>
                      <w:t xml:space="preserve"> </w:t>
                    </w:r>
                    <w:r>
                      <w:rPr>
                        <w:rFonts w:ascii="Arial"/>
                        <w:b/>
                        <w:sz w:val="16"/>
                      </w:rPr>
                      <w:t>TAUGHT</w:t>
                    </w:r>
                    <w:r>
                      <w:rPr>
                        <w:rFonts w:ascii="Arial"/>
                        <w:b/>
                        <w:spacing w:val="-3"/>
                        <w:sz w:val="16"/>
                      </w:rPr>
                      <w:t xml:space="preserve"> </w:t>
                    </w:r>
                    <w:r>
                      <w:rPr>
                        <w:rFonts w:ascii="Arial"/>
                        <w:b/>
                        <w:sz w:val="16"/>
                      </w:rPr>
                      <w:t>POSTGRADUATE</w:t>
                    </w:r>
                    <w:r>
                      <w:rPr>
                        <w:rFonts w:ascii="Arial"/>
                        <w:b/>
                        <w:spacing w:val="-2"/>
                        <w:sz w:val="16"/>
                      </w:rPr>
                      <w:t xml:space="preserve"> </w:t>
                    </w:r>
                    <w:r>
                      <w:rPr>
                        <w:rFonts w:ascii="Arial"/>
                        <w:b/>
                        <w:sz w:val="16"/>
                      </w:rPr>
                      <w:t>COURSES</w:t>
                    </w:r>
                    <w:r>
                      <w:rPr>
                        <w:rFonts w:ascii="Arial"/>
                        <w:b/>
                        <w:spacing w:val="-2"/>
                        <w:sz w:val="16"/>
                      </w:rPr>
                      <w:t xml:space="preserve"> </w:t>
                    </w:r>
                    <w:r>
                      <w:rPr>
                        <w:rFonts w:ascii="Arial"/>
                        <w:b/>
                        <w:spacing w:val="-4"/>
                        <w:sz w:val="16"/>
                      </w:rPr>
                      <w:t>ONLY</w:t>
                    </w:r>
                  </w:p>
                </w:txbxContent>
              </v:textbox>
              <w10:wrap anchorx="page" anchory="page"/>
            </v:shape>
          </w:pict>
        </mc:Fallback>
      </mc:AlternateContent>
    </w:r>
    <w:r>
      <w:rPr>
        <w:noProof/>
        <w:sz w:val="20"/>
        <w:lang w:val="en-GB" w:eastAsia="en-GB"/>
      </w:rPr>
      <mc:AlternateContent>
        <mc:Choice Requires="wps">
          <w:drawing>
            <wp:anchor distT="0" distB="0" distL="0" distR="0" simplePos="0" relativeHeight="251662336" behindDoc="1" locked="0" layoutInCell="1" allowOverlap="1" wp14:anchorId="3DD22CBD" wp14:editId="430B1278">
              <wp:simplePos x="0" y="0"/>
              <wp:positionH relativeFrom="page">
                <wp:posOffset>5716192</wp:posOffset>
              </wp:positionH>
              <wp:positionV relativeFrom="page">
                <wp:posOffset>10086413</wp:posOffset>
              </wp:positionV>
              <wp:extent cx="1400810" cy="182245"/>
              <wp:effectExtent l="0" t="0" r="0" b="0"/>
              <wp:wrapNone/>
              <wp:docPr id="8"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0810" cy="182245"/>
                      </a:xfrm>
                      <a:prstGeom prst="rect">
                        <a:avLst/>
                      </a:prstGeom>
                    </wps:spPr>
                    <wps:txbx>
                      <w:txbxContent>
                        <w:p w14:paraId="6BD96FC9" w14:textId="77777777" w:rsidR="00E65CDC" w:rsidRDefault="00E65CDC">
                          <w:pPr>
                            <w:pStyle w:val="BodyText"/>
                            <w:spacing w:before="13"/>
                            <w:ind w:left="20"/>
                          </w:pPr>
                          <w:r>
                            <w:t>Ethical</w:t>
                          </w:r>
                          <w:r>
                            <w:rPr>
                              <w:spacing w:val="-8"/>
                            </w:rPr>
                            <w:t xml:space="preserve"> </w:t>
                          </w:r>
                          <w:r>
                            <w:t>Approval</w:t>
                          </w:r>
                          <w:r>
                            <w:rPr>
                              <w:spacing w:val="-7"/>
                            </w:rPr>
                            <w:t xml:space="preserve"> </w:t>
                          </w:r>
                          <w:r>
                            <w:rPr>
                              <w:spacing w:val="-4"/>
                            </w:rPr>
                            <w:t>Form</w:t>
                          </w:r>
                        </w:p>
                      </w:txbxContent>
                    </wps:txbx>
                    <wps:bodyPr wrap="square" lIns="0" tIns="0" rIns="0" bIns="0" rtlCol="0">
                      <a:noAutofit/>
                    </wps:bodyPr>
                  </wps:wsp>
                </a:graphicData>
              </a:graphic>
            </wp:anchor>
          </w:drawing>
        </mc:Choice>
        <mc:Fallback>
          <w:pict>
            <v:shape w14:anchorId="3DD22CBD" id="Textbox 4" o:spid="_x0000_s1029" type="#_x0000_t202" style="position:absolute;margin-left:450.1pt;margin-top:794.2pt;width:110.3pt;height:14.3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" filled="f" stroked="f">
              <v:textbox inset="0,0,0,0">
                <w:txbxContent>
                  <w:p w14:paraId="6BD96FC9" w14:textId="77777777" w:rsidR="00E65CDC" w:rsidRDefault="00E65CDC">
                    <w:pPr>
                      <w:pStyle w:val="BodyText"/>
                      <w:spacing w:before="13"/>
                      <w:ind w:left="20"/>
                    </w:pPr>
                    <w:r>
                      <w:t>Ethical</w:t>
                    </w:r>
                    <w:r>
                      <w:rPr>
                        <w:spacing w:val="-8"/>
                      </w:rPr>
                      <w:t xml:space="preserve"> </w:t>
                    </w:r>
                    <w:r>
                      <w:t>Approval</w:t>
                    </w:r>
                    <w:r>
                      <w:rPr>
                        <w:spacing w:val="-7"/>
                      </w:rPr>
                      <w:t xml:space="preserve"> </w:t>
                    </w:r>
                    <w:r>
                      <w:rPr>
                        <w:spacing w:val="-4"/>
                      </w:rPr>
                      <w:t>Form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5F2DA" w14:textId="77777777" w:rsidR="004319AA" w:rsidRDefault="004319AA" w:rsidP="00B726A6">
      <w:pPr>
        <w:spacing w:before="0" w:after="0" w:line="240" w:lineRule="auto"/>
      </w:pPr>
      <w:r>
        <w:separator/>
      </w:r>
    </w:p>
  </w:footnote>
  <w:footnote w:type="continuationSeparator" w:id="0">
    <w:p w14:paraId="0B03EACE" w14:textId="77777777" w:rsidR="004319AA" w:rsidRDefault="004319AA" w:rsidP="00B726A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94808" w14:textId="77777777" w:rsidR="00E65CDC" w:rsidRDefault="00E65CDC">
    <w:pPr>
      <w:pStyle w:val="BodyText"/>
      <w:spacing w:line="14" w:lineRule="auto"/>
      <w:rPr>
        <w:sz w:val="20"/>
      </w:rPr>
    </w:pPr>
    <w:r>
      <w:rPr>
        <w:noProof/>
        <w:sz w:val="20"/>
        <w:lang w:val="en-GB" w:eastAsia="en-GB"/>
      </w:rPr>
      <mc:AlternateContent>
        <mc:Choice Requires="wps">
          <w:drawing>
            <wp:anchor distT="0" distB="0" distL="0" distR="0" simplePos="0" relativeHeight="251659264" behindDoc="1" locked="0" layoutInCell="1" allowOverlap="1" wp14:anchorId="5ED26D99" wp14:editId="49C3707E">
              <wp:simplePos x="0" y="0"/>
              <wp:positionH relativeFrom="page">
                <wp:posOffset>444500</wp:posOffset>
              </wp:positionH>
              <wp:positionV relativeFrom="page">
                <wp:posOffset>447931</wp:posOffset>
              </wp:positionV>
              <wp:extent cx="4196080" cy="137795"/>
              <wp:effectExtent l="0" t="0" r="0" b="0"/>
              <wp:wrapNone/>
              <wp:docPr id="4"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6080" cy="137795"/>
                      </a:xfrm>
                      <a:prstGeom prst="rect">
                        <a:avLst/>
                      </a:prstGeom>
                    </wps:spPr>
                    <wps:txbx>
                      <w:txbxContent>
                        <w:p w14:paraId="38DE6838" w14:textId="77777777" w:rsidR="00E65CDC" w:rsidRDefault="00E65CDC">
                          <w:pPr>
                            <w:spacing w:before="13"/>
                            <w:ind w:left="20"/>
                            <w:rPr>
                              <w:rFonts w:ascii="Arial" w:hAnsi="Arial"/>
                              <w:b/>
                              <w:sz w:val="16"/>
                            </w:rPr>
                          </w:pPr>
                          <w:r>
                            <w:rPr>
                              <w:rFonts w:ascii="Arial" w:hAnsi="Arial"/>
                              <w:b/>
                              <w:sz w:val="16"/>
                            </w:rPr>
                            <w:t>ETHICS</w:t>
                          </w:r>
                          <w:r>
                            <w:rPr>
                              <w:rFonts w:ascii="Arial" w:hAnsi="Arial"/>
                              <w:b/>
                              <w:spacing w:val="-2"/>
                              <w:sz w:val="16"/>
                            </w:rPr>
                            <w:t xml:space="preserve"> </w:t>
                          </w:r>
                          <w:r>
                            <w:rPr>
                              <w:rFonts w:ascii="Arial" w:hAnsi="Arial"/>
                              <w:b/>
                              <w:sz w:val="16"/>
                            </w:rPr>
                            <w:t>FORM</w:t>
                          </w:r>
                          <w:r>
                            <w:rPr>
                              <w:rFonts w:ascii="Arial" w:hAnsi="Arial"/>
                              <w:b/>
                              <w:spacing w:val="-2"/>
                              <w:sz w:val="16"/>
                            </w:rPr>
                            <w:t xml:space="preserve"> </w:t>
                          </w:r>
                          <w:r>
                            <w:rPr>
                              <w:rFonts w:ascii="Arial" w:hAnsi="Arial"/>
                              <w:b/>
                              <w:sz w:val="16"/>
                            </w:rPr>
                            <w:t>–</w:t>
                          </w:r>
                          <w:r>
                            <w:rPr>
                              <w:rFonts w:ascii="Arial" w:hAnsi="Arial"/>
                              <w:b/>
                              <w:spacing w:val="-2"/>
                              <w:sz w:val="16"/>
                            </w:rPr>
                            <w:t xml:space="preserve"> </w:t>
                          </w:r>
                          <w:r>
                            <w:rPr>
                              <w:rFonts w:ascii="Arial" w:hAnsi="Arial"/>
                              <w:b/>
                              <w:sz w:val="16"/>
                            </w:rPr>
                            <w:t>UNDERGRADUATE</w:t>
                          </w:r>
                          <w:r>
                            <w:rPr>
                              <w:rFonts w:ascii="Arial" w:hAnsi="Arial"/>
                              <w:b/>
                              <w:spacing w:val="-2"/>
                              <w:sz w:val="16"/>
                            </w:rPr>
                            <w:t xml:space="preserve"> </w:t>
                          </w:r>
                          <w:r>
                            <w:rPr>
                              <w:rFonts w:ascii="Arial" w:hAnsi="Arial"/>
                              <w:b/>
                              <w:sz w:val="16"/>
                            </w:rPr>
                            <w:t>AND</w:t>
                          </w:r>
                          <w:r>
                            <w:rPr>
                              <w:rFonts w:ascii="Arial" w:hAnsi="Arial"/>
                              <w:b/>
                              <w:spacing w:val="-1"/>
                              <w:sz w:val="16"/>
                            </w:rPr>
                            <w:t xml:space="preserve"> </w:t>
                          </w:r>
                          <w:r>
                            <w:rPr>
                              <w:rFonts w:ascii="Arial" w:hAnsi="Arial"/>
                              <w:b/>
                              <w:sz w:val="16"/>
                            </w:rPr>
                            <w:t>TAUGHT</w:t>
                          </w:r>
                          <w:r>
                            <w:rPr>
                              <w:rFonts w:ascii="Arial" w:hAnsi="Arial"/>
                              <w:b/>
                              <w:spacing w:val="-3"/>
                              <w:sz w:val="16"/>
                            </w:rPr>
                            <w:t xml:space="preserve"> </w:t>
                          </w:r>
                          <w:r>
                            <w:rPr>
                              <w:rFonts w:ascii="Arial" w:hAnsi="Arial"/>
                              <w:b/>
                              <w:sz w:val="16"/>
                            </w:rPr>
                            <w:t>POSTGRADUATE</w:t>
                          </w:r>
                          <w:r>
                            <w:rPr>
                              <w:rFonts w:ascii="Arial" w:hAnsi="Arial"/>
                              <w:b/>
                              <w:spacing w:val="-2"/>
                              <w:sz w:val="16"/>
                            </w:rPr>
                            <w:t xml:space="preserve"> </w:t>
                          </w:r>
                          <w:r>
                            <w:rPr>
                              <w:rFonts w:ascii="Arial" w:hAnsi="Arial"/>
                              <w:b/>
                              <w:sz w:val="16"/>
                            </w:rPr>
                            <w:t>COURSES</w:t>
                          </w:r>
                          <w:r>
                            <w:rPr>
                              <w:rFonts w:ascii="Arial" w:hAnsi="Arial"/>
                              <w:b/>
                              <w:spacing w:val="-1"/>
                              <w:sz w:val="16"/>
                            </w:rPr>
                            <w:t xml:space="preserve"> </w:t>
                          </w:r>
                          <w:r>
                            <w:rPr>
                              <w:rFonts w:ascii="Arial" w:hAnsi="Arial"/>
                              <w:b/>
                              <w:spacing w:val="-4"/>
                              <w:sz w:val="16"/>
                            </w:rPr>
                            <w:t>ONLY</w:t>
                          </w:r>
                        </w:p>
                      </w:txbxContent>
                    </wps:txbx>
                    <wps:bodyPr wrap="square" lIns="0" tIns="0" rIns="0" bIns="0" rtlCol="0">
                      <a:noAutofit/>
                    </wps:bodyPr>
                  </wps:wsp>
                </a:graphicData>
              </a:graphic>
            </wp:anchor>
          </w:drawing>
        </mc:Choice>
        <mc:Fallback>
          <w:pict>
            <v:shapetype w14:anchorId="5ED26D99" id="_x0000_t202" coordsize="21600,21600" o:spt="202" path="m,l,21600r21600,l21600,xe">
              <v:stroke joinstyle="miter"/>
              <v:path gradientshapeok="t" o:connecttype="rect"/>
            </v:shapetype>
            <v:shape id="Textbox 1" o:spid="_x0000_s1026" type="#_x0000_t202" style="position:absolute;margin-left:35pt;margin-top:35.25pt;width:330.4pt;height:10.8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" filled="f" stroked="f">
              <v:textbox inset="0,0,0,0">
                <w:txbxContent>
                  <w:p w14:paraId="38DE6838" w14:textId="77777777" w:rsidR="00E65CDC" w:rsidRDefault="00E65CDC">
                    <w:pPr>
                      <w:spacing w:before="13"/>
                      <w:ind w:left="20"/>
                      <w:rPr>
                        <w:rFonts w:ascii="Arial" w:hAnsi="Arial"/>
                        <w:b/>
                        <w:sz w:val="16"/>
                      </w:rPr>
                    </w:pPr>
                    <w:r>
                      <w:rPr>
                        <w:rFonts w:ascii="Arial" w:hAnsi="Arial"/>
                        <w:b/>
                        <w:sz w:val="16"/>
                      </w:rPr>
                      <w:t>ETHICS</w:t>
                    </w:r>
                    <w:r>
                      <w:rPr>
                        <w:rFonts w:ascii="Arial" w:hAnsi="Arial"/>
                        <w:b/>
                        <w:spacing w:val="-2"/>
                        <w:sz w:val="16"/>
                      </w:rPr>
                      <w:t xml:space="preserve"> </w:t>
                    </w:r>
                    <w:r>
                      <w:rPr>
                        <w:rFonts w:ascii="Arial" w:hAnsi="Arial"/>
                        <w:b/>
                        <w:sz w:val="16"/>
                      </w:rPr>
                      <w:t>FORM</w:t>
                    </w:r>
                    <w:r>
                      <w:rPr>
                        <w:rFonts w:ascii="Arial" w:hAnsi="Arial"/>
                        <w:b/>
                        <w:spacing w:val="-2"/>
                        <w:sz w:val="16"/>
                      </w:rPr>
                      <w:t xml:space="preserve"> </w:t>
                    </w:r>
                    <w:r>
                      <w:rPr>
                        <w:rFonts w:ascii="Arial" w:hAnsi="Arial"/>
                        <w:b/>
                        <w:sz w:val="16"/>
                      </w:rPr>
                      <w:t>–</w:t>
                    </w:r>
                    <w:r>
                      <w:rPr>
                        <w:rFonts w:ascii="Arial" w:hAnsi="Arial"/>
                        <w:b/>
                        <w:spacing w:val="-2"/>
                        <w:sz w:val="16"/>
                      </w:rPr>
                      <w:t xml:space="preserve"> </w:t>
                    </w:r>
                    <w:r>
                      <w:rPr>
                        <w:rFonts w:ascii="Arial" w:hAnsi="Arial"/>
                        <w:b/>
                        <w:sz w:val="16"/>
                      </w:rPr>
                      <w:t>UNDERGRADUATE</w:t>
                    </w:r>
                    <w:r>
                      <w:rPr>
                        <w:rFonts w:ascii="Arial" w:hAnsi="Arial"/>
                        <w:b/>
                        <w:spacing w:val="-2"/>
                        <w:sz w:val="16"/>
                      </w:rPr>
                      <w:t xml:space="preserve"> </w:t>
                    </w:r>
                    <w:r>
                      <w:rPr>
                        <w:rFonts w:ascii="Arial" w:hAnsi="Arial"/>
                        <w:b/>
                        <w:sz w:val="16"/>
                      </w:rPr>
                      <w:t>AND</w:t>
                    </w:r>
                    <w:r>
                      <w:rPr>
                        <w:rFonts w:ascii="Arial" w:hAnsi="Arial"/>
                        <w:b/>
                        <w:spacing w:val="-1"/>
                        <w:sz w:val="16"/>
                      </w:rPr>
                      <w:t xml:space="preserve"> </w:t>
                    </w:r>
                    <w:r>
                      <w:rPr>
                        <w:rFonts w:ascii="Arial" w:hAnsi="Arial"/>
                        <w:b/>
                        <w:sz w:val="16"/>
                      </w:rPr>
                      <w:t>TAUGHT</w:t>
                    </w:r>
                    <w:r>
                      <w:rPr>
                        <w:rFonts w:ascii="Arial" w:hAnsi="Arial"/>
                        <w:b/>
                        <w:spacing w:val="-3"/>
                        <w:sz w:val="16"/>
                      </w:rPr>
                      <w:t xml:space="preserve"> </w:t>
                    </w:r>
                    <w:r>
                      <w:rPr>
                        <w:rFonts w:ascii="Arial" w:hAnsi="Arial"/>
                        <w:b/>
                        <w:sz w:val="16"/>
                      </w:rPr>
                      <w:t>POSTGRADUATE</w:t>
                    </w:r>
                    <w:r>
                      <w:rPr>
                        <w:rFonts w:ascii="Arial" w:hAnsi="Arial"/>
                        <w:b/>
                        <w:spacing w:val="-2"/>
                        <w:sz w:val="16"/>
                      </w:rPr>
                      <w:t xml:space="preserve"> </w:t>
                    </w:r>
                    <w:r>
                      <w:rPr>
                        <w:rFonts w:ascii="Arial" w:hAnsi="Arial"/>
                        <w:b/>
                        <w:sz w:val="16"/>
                      </w:rPr>
                      <w:t>COURSES</w:t>
                    </w:r>
                    <w:r>
                      <w:rPr>
                        <w:rFonts w:ascii="Arial" w:hAnsi="Arial"/>
                        <w:b/>
                        <w:spacing w:val="-1"/>
                        <w:sz w:val="16"/>
                      </w:rPr>
                      <w:t xml:space="preserve"> </w:t>
                    </w:r>
                    <w:r>
                      <w:rPr>
                        <w:rFonts w:ascii="Arial" w:hAnsi="Arial"/>
                        <w:b/>
                        <w:spacing w:val="-4"/>
                        <w:sz w:val="16"/>
                      </w:rPr>
                      <w:t>ONLY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356F"/>
    <w:multiLevelType w:val="hybridMultilevel"/>
    <w:tmpl w:val="24F2D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BE74CF"/>
    <w:multiLevelType w:val="hybridMultilevel"/>
    <w:tmpl w:val="EDAA2B48"/>
    <w:lvl w:ilvl="0" w:tplc="B156CF3E">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042C5440">
      <w:numFmt w:val="bullet"/>
      <w:lvlText w:val="•"/>
      <w:lvlJc w:val="left"/>
      <w:pPr>
        <w:ind w:left="1230" w:hanging="360"/>
      </w:pPr>
      <w:rPr>
        <w:rFonts w:hint="default"/>
        <w:lang w:val="en-US" w:eastAsia="en-US" w:bidi="ar-SA"/>
      </w:rPr>
    </w:lvl>
    <w:lvl w:ilvl="2" w:tplc="867A5ABA">
      <w:numFmt w:val="bullet"/>
      <w:lvlText w:val="•"/>
      <w:lvlJc w:val="left"/>
      <w:pPr>
        <w:ind w:left="1640" w:hanging="360"/>
      </w:pPr>
      <w:rPr>
        <w:rFonts w:hint="default"/>
        <w:lang w:val="en-US" w:eastAsia="en-US" w:bidi="ar-SA"/>
      </w:rPr>
    </w:lvl>
    <w:lvl w:ilvl="3" w:tplc="1F5A028C">
      <w:numFmt w:val="bullet"/>
      <w:lvlText w:val="•"/>
      <w:lvlJc w:val="left"/>
      <w:pPr>
        <w:ind w:left="2050" w:hanging="360"/>
      </w:pPr>
      <w:rPr>
        <w:rFonts w:hint="default"/>
        <w:lang w:val="en-US" w:eastAsia="en-US" w:bidi="ar-SA"/>
      </w:rPr>
    </w:lvl>
    <w:lvl w:ilvl="4" w:tplc="196A79D2">
      <w:numFmt w:val="bullet"/>
      <w:lvlText w:val="•"/>
      <w:lvlJc w:val="left"/>
      <w:pPr>
        <w:ind w:left="2460" w:hanging="360"/>
      </w:pPr>
      <w:rPr>
        <w:rFonts w:hint="default"/>
        <w:lang w:val="en-US" w:eastAsia="en-US" w:bidi="ar-SA"/>
      </w:rPr>
    </w:lvl>
    <w:lvl w:ilvl="5" w:tplc="F08021AA">
      <w:numFmt w:val="bullet"/>
      <w:lvlText w:val="•"/>
      <w:lvlJc w:val="left"/>
      <w:pPr>
        <w:ind w:left="2870" w:hanging="360"/>
      </w:pPr>
      <w:rPr>
        <w:rFonts w:hint="default"/>
        <w:lang w:val="en-US" w:eastAsia="en-US" w:bidi="ar-SA"/>
      </w:rPr>
    </w:lvl>
    <w:lvl w:ilvl="6" w:tplc="EA7882BE">
      <w:numFmt w:val="bullet"/>
      <w:lvlText w:val="•"/>
      <w:lvlJc w:val="left"/>
      <w:pPr>
        <w:ind w:left="3280" w:hanging="360"/>
      </w:pPr>
      <w:rPr>
        <w:rFonts w:hint="default"/>
        <w:lang w:val="en-US" w:eastAsia="en-US" w:bidi="ar-SA"/>
      </w:rPr>
    </w:lvl>
    <w:lvl w:ilvl="7" w:tplc="403CCCBE">
      <w:numFmt w:val="bullet"/>
      <w:lvlText w:val="•"/>
      <w:lvlJc w:val="left"/>
      <w:pPr>
        <w:ind w:left="3690" w:hanging="360"/>
      </w:pPr>
      <w:rPr>
        <w:rFonts w:hint="default"/>
        <w:lang w:val="en-US" w:eastAsia="en-US" w:bidi="ar-SA"/>
      </w:rPr>
    </w:lvl>
    <w:lvl w:ilvl="8" w:tplc="52A2A0C4">
      <w:numFmt w:val="bullet"/>
      <w:lvlText w:val="•"/>
      <w:lvlJc w:val="left"/>
      <w:pPr>
        <w:ind w:left="4100" w:hanging="360"/>
      </w:pPr>
      <w:rPr>
        <w:rFonts w:hint="default"/>
        <w:lang w:val="en-US" w:eastAsia="en-US" w:bidi="ar-SA"/>
      </w:rPr>
    </w:lvl>
  </w:abstractNum>
  <w:abstractNum w:abstractNumId="2" w15:restartNumberingAfterBreak="0">
    <w:nsid w:val="1D2F52E5"/>
    <w:multiLevelType w:val="hybridMultilevel"/>
    <w:tmpl w:val="D45EAD36"/>
    <w:lvl w:ilvl="0" w:tplc="7082AAF2">
      <w:numFmt w:val="bullet"/>
      <w:lvlText w:val=""/>
      <w:lvlJc w:val="left"/>
      <w:pPr>
        <w:ind w:left="772" w:hanging="360"/>
      </w:pPr>
      <w:rPr>
        <w:rFonts w:ascii="Symbol" w:eastAsia="Symbol" w:hAnsi="Symbol" w:cs="Symbol" w:hint="default"/>
        <w:b w:val="0"/>
        <w:bCs w:val="0"/>
        <w:i w:val="0"/>
        <w:iCs w:val="0"/>
        <w:spacing w:val="0"/>
        <w:w w:val="100"/>
        <w:sz w:val="22"/>
        <w:szCs w:val="22"/>
        <w:lang w:val="en-US" w:eastAsia="en-US" w:bidi="ar-SA"/>
      </w:rPr>
    </w:lvl>
    <w:lvl w:ilvl="1" w:tplc="7042044A">
      <w:numFmt w:val="bullet"/>
      <w:lvlText w:val="•"/>
      <w:lvlJc w:val="left"/>
      <w:pPr>
        <w:ind w:left="1730" w:hanging="360"/>
      </w:pPr>
      <w:rPr>
        <w:rFonts w:hint="default"/>
        <w:lang w:val="en-US" w:eastAsia="en-US" w:bidi="ar-SA"/>
      </w:rPr>
    </w:lvl>
    <w:lvl w:ilvl="2" w:tplc="C68EC962">
      <w:numFmt w:val="bullet"/>
      <w:lvlText w:val="•"/>
      <w:lvlJc w:val="left"/>
      <w:pPr>
        <w:ind w:left="2681" w:hanging="360"/>
      </w:pPr>
      <w:rPr>
        <w:rFonts w:hint="default"/>
        <w:lang w:val="en-US" w:eastAsia="en-US" w:bidi="ar-SA"/>
      </w:rPr>
    </w:lvl>
    <w:lvl w:ilvl="3" w:tplc="40A8DF24">
      <w:numFmt w:val="bullet"/>
      <w:lvlText w:val="•"/>
      <w:lvlJc w:val="left"/>
      <w:pPr>
        <w:ind w:left="3631" w:hanging="360"/>
      </w:pPr>
      <w:rPr>
        <w:rFonts w:hint="default"/>
        <w:lang w:val="en-US" w:eastAsia="en-US" w:bidi="ar-SA"/>
      </w:rPr>
    </w:lvl>
    <w:lvl w:ilvl="4" w:tplc="104A3DA8">
      <w:numFmt w:val="bullet"/>
      <w:lvlText w:val="•"/>
      <w:lvlJc w:val="left"/>
      <w:pPr>
        <w:ind w:left="4582" w:hanging="360"/>
      </w:pPr>
      <w:rPr>
        <w:rFonts w:hint="default"/>
        <w:lang w:val="en-US" w:eastAsia="en-US" w:bidi="ar-SA"/>
      </w:rPr>
    </w:lvl>
    <w:lvl w:ilvl="5" w:tplc="A8265904">
      <w:numFmt w:val="bullet"/>
      <w:lvlText w:val="•"/>
      <w:lvlJc w:val="left"/>
      <w:pPr>
        <w:ind w:left="5532" w:hanging="360"/>
      </w:pPr>
      <w:rPr>
        <w:rFonts w:hint="default"/>
        <w:lang w:val="en-US" w:eastAsia="en-US" w:bidi="ar-SA"/>
      </w:rPr>
    </w:lvl>
    <w:lvl w:ilvl="6" w:tplc="6DC0C8A6">
      <w:numFmt w:val="bullet"/>
      <w:lvlText w:val="•"/>
      <w:lvlJc w:val="left"/>
      <w:pPr>
        <w:ind w:left="6483" w:hanging="360"/>
      </w:pPr>
      <w:rPr>
        <w:rFonts w:hint="default"/>
        <w:lang w:val="en-US" w:eastAsia="en-US" w:bidi="ar-SA"/>
      </w:rPr>
    </w:lvl>
    <w:lvl w:ilvl="7" w:tplc="2F5E96B2">
      <w:numFmt w:val="bullet"/>
      <w:lvlText w:val="•"/>
      <w:lvlJc w:val="left"/>
      <w:pPr>
        <w:ind w:left="7433" w:hanging="360"/>
      </w:pPr>
      <w:rPr>
        <w:rFonts w:hint="default"/>
        <w:lang w:val="en-US" w:eastAsia="en-US" w:bidi="ar-SA"/>
      </w:rPr>
    </w:lvl>
    <w:lvl w:ilvl="8" w:tplc="9FFE806A">
      <w:numFmt w:val="bullet"/>
      <w:lvlText w:val="•"/>
      <w:lvlJc w:val="left"/>
      <w:pPr>
        <w:ind w:left="8384" w:hanging="360"/>
      </w:pPr>
      <w:rPr>
        <w:rFonts w:hint="default"/>
        <w:lang w:val="en-US" w:eastAsia="en-US" w:bidi="ar-SA"/>
      </w:rPr>
    </w:lvl>
  </w:abstractNum>
  <w:abstractNum w:abstractNumId="3" w15:restartNumberingAfterBreak="0">
    <w:nsid w:val="21416CF6"/>
    <w:multiLevelType w:val="hybridMultilevel"/>
    <w:tmpl w:val="DC8CA6F2"/>
    <w:lvl w:ilvl="0" w:tplc="3E581FA0">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888E18B2">
      <w:numFmt w:val="bullet"/>
      <w:lvlText w:val="•"/>
      <w:lvlJc w:val="left"/>
      <w:pPr>
        <w:ind w:left="1230" w:hanging="360"/>
      </w:pPr>
      <w:rPr>
        <w:rFonts w:hint="default"/>
        <w:lang w:val="en-US" w:eastAsia="en-US" w:bidi="ar-SA"/>
      </w:rPr>
    </w:lvl>
    <w:lvl w:ilvl="2" w:tplc="E7565070">
      <w:numFmt w:val="bullet"/>
      <w:lvlText w:val="•"/>
      <w:lvlJc w:val="left"/>
      <w:pPr>
        <w:ind w:left="1640" w:hanging="360"/>
      </w:pPr>
      <w:rPr>
        <w:rFonts w:hint="default"/>
        <w:lang w:val="en-US" w:eastAsia="en-US" w:bidi="ar-SA"/>
      </w:rPr>
    </w:lvl>
    <w:lvl w:ilvl="3" w:tplc="42426B32">
      <w:numFmt w:val="bullet"/>
      <w:lvlText w:val="•"/>
      <w:lvlJc w:val="left"/>
      <w:pPr>
        <w:ind w:left="2050" w:hanging="360"/>
      </w:pPr>
      <w:rPr>
        <w:rFonts w:hint="default"/>
        <w:lang w:val="en-US" w:eastAsia="en-US" w:bidi="ar-SA"/>
      </w:rPr>
    </w:lvl>
    <w:lvl w:ilvl="4" w:tplc="D05272E6">
      <w:numFmt w:val="bullet"/>
      <w:lvlText w:val="•"/>
      <w:lvlJc w:val="left"/>
      <w:pPr>
        <w:ind w:left="2460" w:hanging="360"/>
      </w:pPr>
      <w:rPr>
        <w:rFonts w:hint="default"/>
        <w:lang w:val="en-US" w:eastAsia="en-US" w:bidi="ar-SA"/>
      </w:rPr>
    </w:lvl>
    <w:lvl w:ilvl="5" w:tplc="3CA611BE">
      <w:numFmt w:val="bullet"/>
      <w:lvlText w:val="•"/>
      <w:lvlJc w:val="left"/>
      <w:pPr>
        <w:ind w:left="2870" w:hanging="360"/>
      </w:pPr>
      <w:rPr>
        <w:rFonts w:hint="default"/>
        <w:lang w:val="en-US" w:eastAsia="en-US" w:bidi="ar-SA"/>
      </w:rPr>
    </w:lvl>
    <w:lvl w:ilvl="6" w:tplc="FF6C5FA6">
      <w:numFmt w:val="bullet"/>
      <w:lvlText w:val="•"/>
      <w:lvlJc w:val="left"/>
      <w:pPr>
        <w:ind w:left="3280" w:hanging="360"/>
      </w:pPr>
      <w:rPr>
        <w:rFonts w:hint="default"/>
        <w:lang w:val="en-US" w:eastAsia="en-US" w:bidi="ar-SA"/>
      </w:rPr>
    </w:lvl>
    <w:lvl w:ilvl="7" w:tplc="DAC09122">
      <w:numFmt w:val="bullet"/>
      <w:lvlText w:val="•"/>
      <w:lvlJc w:val="left"/>
      <w:pPr>
        <w:ind w:left="3690" w:hanging="360"/>
      </w:pPr>
      <w:rPr>
        <w:rFonts w:hint="default"/>
        <w:lang w:val="en-US" w:eastAsia="en-US" w:bidi="ar-SA"/>
      </w:rPr>
    </w:lvl>
    <w:lvl w:ilvl="8" w:tplc="540603D2">
      <w:numFmt w:val="bullet"/>
      <w:lvlText w:val="•"/>
      <w:lvlJc w:val="left"/>
      <w:pPr>
        <w:ind w:left="4100" w:hanging="360"/>
      </w:pPr>
      <w:rPr>
        <w:rFonts w:hint="default"/>
        <w:lang w:val="en-US" w:eastAsia="en-US" w:bidi="ar-SA"/>
      </w:rPr>
    </w:lvl>
  </w:abstractNum>
  <w:abstractNum w:abstractNumId="4" w15:restartNumberingAfterBreak="0">
    <w:nsid w:val="244828AB"/>
    <w:multiLevelType w:val="hybridMultilevel"/>
    <w:tmpl w:val="D1949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283FBB"/>
    <w:multiLevelType w:val="hybridMultilevel"/>
    <w:tmpl w:val="688641B6"/>
    <w:lvl w:ilvl="0" w:tplc="47B45B66">
      <w:start w:val="1"/>
      <w:numFmt w:val="lowerLetter"/>
      <w:lvlText w:val="(%1)"/>
      <w:lvlJc w:val="left"/>
      <w:pPr>
        <w:ind w:left="1544" w:hanging="300"/>
      </w:pPr>
      <w:rPr>
        <w:rFonts w:ascii="Arial" w:eastAsia="Arial" w:hAnsi="Arial" w:cs="Arial" w:hint="default"/>
        <w:b w:val="0"/>
        <w:bCs w:val="0"/>
        <w:i/>
        <w:iCs/>
        <w:spacing w:val="-1"/>
        <w:w w:val="100"/>
        <w:sz w:val="20"/>
        <w:szCs w:val="20"/>
        <w:lang w:val="en-US" w:eastAsia="en-US" w:bidi="ar-SA"/>
      </w:rPr>
    </w:lvl>
    <w:lvl w:ilvl="1" w:tplc="E54876D6">
      <w:numFmt w:val="bullet"/>
      <w:lvlText w:val="•"/>
      <w:lvlJc w:val="left"/>
      <w:pPr>
        <w:ind w:left="2175" w:hanging="300"/>
      </w:pPr>
      <w:rPr>
        <w:rFonts w:hint="default"/>
        <w:lang w:val="en-US" w:eastAsia="en-US" w:bidi="ar-SA"/>
      </w:rPr>
    </w:lvl>
    <w:lvl w:ilvl="2" w:tplc="68CE0E3A">
      <w:numFmt w:val="bullet"/>
      <w:lvlText w:val="•"/>
      <w:lvlJc w:val="left"/>
      <w:pPr>
        <w:ind w:left="2811" w:hanging="300"/>
      </w:pPr>
      <w:rPr>
        <w:rFonts w:hint="default"/>
        <w:lang w:val="en-US" w:eastAsia="en-US" w:bidi="ar-SA"/>
      </w:rPr>
    </w:lvl>
    <w:lvl w:ilvl="3" w:tplc="3692D338">
      <w:numFmt w:val="bullet"/>
      <w:lvlText w:val="•"/>
      <w:lvlJc w:val="left"/>
      <w:pPr>
        <w:ind w:left="3446" w:hanging="300"/>
      </w:pPr>
      <w:rPr>
        <w:rFonts w:hint="default"/>
        <w:lang w:val="en-US" w:eastAsia="en-US" w:bidi="ar-SA"/>
      </w:rPr>
    </w:lvl>
    <w:lvl w:ilvl="4" w:tplc="B83EA412">
      <w:numFmt w:val="bullet"/>
      <w:lvlText w:val="•"/>
      <w:lvlJc w:val="left"/>
      <w:pPr>
        <w:ind w:left="4082" w:hanging="300"/>
      </w:pPr>
      <w:rPr>
        <w:rFonts w:hint="default"/>
        <w:lang w:val="en-US" w:eastAsia="en-US" w:bidi="ar-SA"/>
      </w:rPr>
    </w:lvl>
    <w:lvl w:ilvl="5" w:tplc="B0DED452">
      <w:numFmt w:val="bullet"/>
      <w:lvlText w:val="•"/>
      <w:lvlJc w:val="left"/>
      <w:pPr>
        <w:ind w:left="4717" w:hanging="300"/>
      </w:pPr>
      <w:rPr>
        <w:rFonts w:hint="default"/>
        <w:lang w:val="en-US" w:eastAsia="en-US" w:bidi="ar-SA"/>
      </w:rPr>
    </w:lvl>
    <w:lvl w:ilvl="6" w:tplc="CD7A5412">
      <w:numFmt w:val="bullet"/>
      <w:lvlText w:val="•"/>
      <w:lvlJc w:val="left"/>
      <w:pPr>
        <w:ind w:left="5353" w:hanging="300"/>
      </w:pPr>
      <w:rPr>
        <w:rFonts w:hint="default"/>
        <w:lang w:val="en-US" w:eastAsia="en-US" w:bidi="ar-SA"/>
      </w:rPr>
    </w:lvl>
    <w:lvl w:ilvl="7" w:tplc="C33A2E4C">
      <w:numFmt w:val="bullet"/>
      <w:lvlText w:val="•"/>
      <w:lvlJc w:val="left"/>
      <w:pPr>
        <w:ind w:left="5988" w:hanging="300"/>
      </w:pPr>
      <w:rPr>
        <w:rFonts w:hint="default"/>
        <w:lang w:val="en-US" w:eastAsia="en-US" w:bidi="ar-SA"/>
      </w:rPr>
    </w:lvl>
    <w:lvl w:ilvl="8" w:tplc="6D34C738">
      <w:numFmt w:val="bullet"/>
      <w:lvlText w:val="•"/>
      <w:lvlJc w:val="left"/>
      <w:pPr>
        <w:ind w:left="6624" w:hanging="300"/>
      </w:pPr>
      <w:rPr>
        <w:rFonts w:hint="default"/>
        <w:lang w:val="en-US" w:eastAsia="en-US" w:bidi="ar-SA"/>
      </w:rPr>
    </w:lvl>
  </w:abstractNum>
  <w:abstractNum w:abstractNumId="6" w15:restartNumberingAfterBreak="0">
    <w:nsid w:val="39535CEE"/>
    <w:multiLevelType w:val="hybridMultilevel"/>
    <w:tmpl w:val="CB74C41A"/>
    <w:lvl w:ilvl="0" w:tplc="9EEAE18E">
      <w:numFmt w:val="bullet"/>
      <w:lvlText w:val=""/>
      <w:lvlJc w:val="left"/>
      <w:pPr>
        <w:ind w:left="772" w:hanging="360"/>
      </w:pPr>
      <w:rPr>
        <w:rFonts w:ascii="Symbol" w:eastAsia="Symbol" w:hAnsi="Symbol" w:cs="Symbol" w:hint="default"/>
        <w:b w:val="0"/>
        <w:bCs w:val="0"/>
        <w:i w:val="0"/>
        <w:iCs w:val="0"/>
        <w:spacing w:val="0"/>
        <w:w w:val="100"/>
        <w:sz w:val="22"/>
        <w:szCs w:val="22"/>
        <w:lang w:val="en-US" w:eastAsia="en-US" w:bidi="ar-SA"/>
      </w:rPr>
    </w:lvl>
    <w:lvl w:ilvl="1" w:tplc="8AFA0E38">
      <w:numFmt w:val="bullet"/>
      <w:lvlText w:val="•"/>
      <w:lvlJc w:val="left"/>
      <w:pPr>
        <w:ind w:left="1730" w:hanging="360"/>
      </w:pPr>
      <w:rPr>
        <w:rFonts w:hint="default"/>
        <w:lang w:val="en-US" w:eastAsia="en-US" w:bidi="ar-SA"/>
      </w:rPr>
    </w:lvl>
    <w:lvl w:ilvl="2" w:tplc="F45C08DE">
      <w:numFmt w:val="bullet"/>
      <w:lvlText w:val="•"/>
      <w:lvlJc w:val="left"/>
      <w:pPr>
        <w:ind w:left="2681" w:hanging="360"/>
      </w:pPr>
      <w:rPr>
        <w:rFonts w:hint="default"/>
        <w:lang w:val="en-US" w:eastAsia="en-US" w:bidi="ar-SA"/>
      </w:rPr>
    </w:lvl>
    <w:lvl w:ilvl="3" w:tplc="6CC8A64C">
      <w:numFmt w:val="bullet"/>
      <w:lvlText w:val="•"/>
      <w:lvlJc w:val="left"/>
      <w:pPr>
        <w:ind w:left="3632" w:hanging="360"/>
      </w:pPr>
      <w:rPr>
        <w:rFonts w:hint="default"/>
        <w:lang w:val="en-US" w:eastAsia="en-US" w:bidi="ar-SA"/>
      </w:rPr>
    </w:lvl>
    <w:lvl w:ilvl="4" w:tplc="621A0FA2">
      <w:numFmt w:val="bullet"/>
      <w:lvlText w:val="•"/>
      <w:lvlJc w:val="left"/>
      <w:pPr>
        <w:ind w:left="4583" w:hanging="360"/>
      </w:pPr>
      <w:rPr>
        <w:rFonts w:hint="default"/>
        <w:lang w:val="en-US" w:eastAsia="en-US" w:bidi="ar-SA"/>
      </w:rPr>
    </w:lvl>
    <w:lvl w:ilvl="5" w:tplc="0E2865F8">
      <w:numFmt w:val="bullet"/>
      <w:lvlText w:val="•"/>
      <w:lvlJc w:val="left"/>
      <w:pPr>
        <w:ind w:left="5534" w:hanging="360"/>
      </w:pPr>
      <w:rPr>
        <w:rFonts w:hint="default"/>
        <w:lang w:val="en-US" w:eastAsia="en-US" w:bidi="ar-SA"/>
      </w:rPr>
    </w:lvl>
    <w:lvl w:ilvl="6" w:tplc="74ECF05A">
      <w:numFmt w:val="bullet"/>
      <w:lvlText w:val="•"/>
      <w:lvlJc w:val="left"/>
      <w:pPr>
        <w:ind w:left="6484" w:hanging="360"/>
      </w:pPr>
      <w:rPr>
        <w:rFonts w:hint="default"/>
        <w:lang w:val="en-US" w:eastAsia="en-US" w:bidi="ar-SA"/>
      </w:rPr>
    </w:lvl>
    <w:lvl w:ilvl="7" w:tplc="69E873A4">
      <w:numFmt w:val="bullet"/>
      <w:lvlText w:val="•"/>
      <w:lvlJc w:val="left"/>
      <w:pPr>
        <w:ind w:left="7435" w:hanging="360"/>
      </w:pPr>
      <w:rPr>
        <w:rFonts w:hint="default"/>
        <w:lang w:val="en-US" w:eastAsia="en-US" w:bidi="ar-SA"/>
      </w:rPr>
    </w:lvl>
    <w:lvl w:ilvl="8" w:tplc="D23E2CB4">
      <w:numFmt w:val="bullet"/>
      <w:lvlText w:val="•"/>
      <w:lvlJc w:val="left"/>
      <w:pPr>
        <w:ind w:left="8386" w:hanging="360"/>
      </w:pPr>
      <w:rPr>
        <w:rFonts w:hint="default"/>
        <w:lang w:val="en-US" w:eastAsia="en-US" w:bidi="ar-SA"/>
      </w:rPr>
    </w:lvl>
  </w:abstractNum>
  <w:abstractNum w:abstractNumId="7" w15:restartNumberingAfterBreak="0">
    <w:nsid w:val="46D21754"/>
    <w:multiLevelType w:val="hybridMultilevel"/>
    <w:tmpl w:val="37D07CE2"/>
    <w:lvl w:ilvl="0" w:tplc="78C452F6">
      <w:numFmt w:val="bullet"/>
      <w:lvlText w:val=""/>
      <w:lvlJc w:val="left"/>
      <w:pPr>
        <w:ind w:left="772" w:hanging="360"/>
      </w:pPr>
      <w:rPr>
        <w:rFonts w:ascii="Symbol" w:eastAsia="Symbol" w:hAnsi="Symbol" w:cs="Symbol" w:hint="default"/>
        <w:b w:val="0"/>
        <w:bCs w:val="0"/>
        <w:i w:val="0"/>
        <w:iCs w:val="0"/>
        <w:spacing w:val="0"/>
        <w:w w:val="100"/>
        <w:sz w:val="22"/>
        <w:szCs w:val="22"/>
        <w:lang w:val="en-US" w:eastAsia="en-US" w:bidi="ar-SA"/>
      </w:rPr>
    </w:lvl>
    <w:lvl w:ilvl="1" w:tplc="2132D13E">
      <w:numFmt w:val="bullet"/>
      <w:lvlText w:val="•"/>
      <w:lvlJc w:val="left"/>
      <w:pPr>
        <w:ind w:left="1730" w:hanging="360"/>
      </w:pPr>
      <w:rPr>
        <w:rFonts w:hint="default"/>
        <w:lang w:val="en-US" w:eastAsia="en-US" w:bidi="ar-SA"/>
      </w:rPr>
    </w:lvl>
    <w:lvl w:ilvl="2" w:tplc="B994D4BA">
      <w:numFmt w:val="bullet"/>
      <w:lvlText w:val="•"/>
      <w:lvlJc w:val="left"/>
      <w:pPr>
        <w:ind w:left="2681" w:hanging="360"/>
      </w:pPr>
      <w:rPr>
        <w:rFonts w:hint="default"/>
        <w:lang w:val="en-US" w:eastAsia="en-US" w:bidi="ar-SA"/>
      </w:rPr>
    </w:lvl>
    <w:lvl w:ilvl="3" w:tplc="97762628">
      <w:numFmt w:val="bullet"/>
      <w:lvlText w:val="•"/>
      <w:lvlJc w:val="left"/>
      <w:pPr>
        <w:ind w:left="3631" w:hanging="360"/>
      </w:pPr>
      <w:rPr>
        <w:rFonts w:hint="default"/>
        <w:lang w:val="en-US" w:eastAsia="en-US" w:bidi="ar-SA"/>
      </w:rPr>
    </w:lvl>
    <w:lvl w:ilvl="4" w:tplc="1AAE0284">
      <w:numFmt w:val="bullet"/>
      <w:lvlText w:val="•"/>
      <w:lvlJc w:val="left"/>
      <w:pPr>
        <w:ind w:left="4582" w:hanging="360"/>
      </w:pPr>
      <w:rPr>
        <w:rFonts w:hint="default"/>
        <w:lang w:val="en-US" w:eastAsia="en-US" w:bidi="ar-SA"/>
      </w:rPr>
    </w:lvl>
    <w:lvl w:ilvl="5" w:tplc="D68A2EAE">
      <w:numFmt w:val="bullet"/>
      <w:lvlText w:val="•"/>
      <w:lvlJc w:val="left"/>
      <w:pPr>
        <w:ind w:left="5532" w:hanging="360"/>
      </w:pPr>
      <w:rPr>
        <w:rFonts w:hint="default"/>
        <w:lang w:val="en-US" w:eastAsia="en-US" w:bidi="ar-SA"/>
      </w:rPr>
    </w:lvl>
    <w:lvl w:ilvl="6" w:tplc="1BAE25E4">
      <w:numFmt w:val="bullet"/>
      <w:lvlText w:val="•"/>
      <w:lvlJc w:val="left"/>
      <w:pPr>
        <w:ind w:left="6483" w:hanging="360"/>
      </w:pPr>
      <w:rPr>
        <w:rFonts w:hint="default"/>
        <w:lang w:val="en-US" w:eastAsia="en-US" w:bidi="ar-SA"/>
      </w:rPr>
    </w:lvl>
    <w:lvl w:ilvl="7" w:tplc="F5DA740A">
      <w:numFmt w:val="bullet"/>
      <w:lvlText w:val="•"/>
      <w:lvlJc w:val="left"/>
      <w:pPr>
        <w:ind w:left="7433" w:hanging="360"/>
      </w:pPr>
      <w:rPr>
        <w:rFonts w:hint="default"/>
        <w:lang w:val="en-US" w:eastAsia="en-US" w:bidi="ar-SA"/>
      </w:rPr>
    </w:lvl>
    <w:lvl w:ilvl="8" w:tplc="36640702">
      <w:numFmt w:val="bullet"/>
      <w:lvlText w:val="•"/>
      <w:lvlJc w:val="left"/>
      <w:pPr>
        <w:ind w:left="8384" w:hanging="360"/>
      </w:pPr>
      <w:rPr>
        <w:rFonts w:hint="default"/>
        <w:lang w:val="en-US" w:eastAsia="en-US" w:bidi="ar-SA"/>
      </w:rPr>
    </w:lvl>
  </w:abstractNum>
  <w:abstractNum w:abstractNumId="8" w15:restartNumberingAfterBreak="0">
    <w:nsid w:val="6C22303C"/>
    <w:multiLevelType w:val="hybridMultilevel"/>
    <w:tmpl w:val="313C3EFC"/>
    <w:lvl w:ilvl="0" w:tplc="D5CCA146">
      <w:numFmt w:val="bullet"/>
      <w:lvlText w:val=""/>
      <w:lvlJc w:val="left"/>
      <w:pPr>
        <w:ind w:left="772" w:hanging="360"/>
      </w:pPr>
      <w:rPr>
        <w:rFonts w:ascii="Symbol" w:eastAsia="Symbol" w:hAnsi="Symbol" w:cs="Symbol" w:hint="default"/>
        <w:b w:val="0"/>
        <w:bCs w:val="0"/>
        <w:i w:val="0"/>
        <w:iCs w:val="0"/>
        <w:spacing w:val="0"/>
        <w:w w:val="100"/>
        <w:sz w:val="22"/>
        <w:szCs w:val="22"/>
        <w:lang w:val="en-US" w:eastAsia="en-US" w:bidi="ar-SA"/>
      </w:rPr>
    </w:lvl>
    <w:lvl w:ilvl="1" w:tplc="72A0F2DE">
      <w:numFmt w:val="bullet"/>
      <w:lvlText w:val="•"/>
      <w:lvlJc w:val="left"/>
      <w:pPr>
        <w:ind w:left="1730" w:hanging="360"/>
      </w:pPr>
      <w:rPr>
        <w:rFonts w:hint="default"/>
        <w:lang w:val="en-US" w:eastAsia="en-US" w:bidi="ar-SA"/>
      </w:rPr>
    </w:lvl>
    <w:lvl w:ilvl="2" w:tplc="E70AFA06">
      <w:numFmt w:val="bullet"/>
      <w:lvlText w:val="•"/>
      <w:lvlJc w:val="left"/>
      <w:pPr>
        <w:ind w:left="2681" w:hanging="360"/>
      </w:pPr>
      <w:rPr>
        <w:rFonts w:hint="default"/>
        <w:lang w:val="en-US" w:eastAsia="en-US" w:bidi="ar-SA"/>
      </w:rPr>
    </w:lvl>
    <w:lvl w:ilvl="3" w:tplc="82627678">
      <w:numFmt w:val="bullet"/>
      <w:lvlText w:val="•"/>
      <w:lvlJc w:val="left"/>
      <w:pPr>
        <w:ind w:left="3632" w:hanging="360"/>
      </w:pPr>
      <w:rPr>
        <w:rFonts w:hint="default"/>
        <w:lang w:val="en-US" w:eastAsia="en-US" w:bidi="ar-SA"/>
      </w:rPr>
    </w:lvl>
    <w:lvl w:ilvl="4" w:tplc="46C8D3F6">
      <w:numFmt w:val="bullet"/>
      <w:lvlText w:val="•"/>
      <w:lvlJc w:val="left"/>
      <w:pPr>
        <w:ind w:left="4583" w:hanging="360"/>
      </w:pPr>
      <w:rPr>
        <w:rFonts w:hint="default"/>
        <w:lang w:val="en-US" w:eastAsia="en-US" w:bidi="ar-SA"/>
      </w:rPr>
    </w:lvl>
    <w:lvl w:ilvl="5" w:tplc="1A989ADC">
      <w:numFmt w:val="bullet"/>
      <w:lvlText w:val="•"/>
      <w:lvlJc w:val="left"/>
      <w:pPr>
        <w:ind w:left="5534" w:hanging="360"/>
      </w:pPr>
      <w:rPr>
        <w:rFonts w:hint="default"/>
        <w:lang w:val="en-US" w:eastAsia="en-US" w:bidi="ar-SA"/>
      </w:rPr>
    </w:lvl>
    <w:lvl w:ilvl="6" w:tplc="4EFA1C9A">
      <w:numFmt w:val="bullet"/>
      <w:lvlText w:val="•"/>
      <w:lvlJc w:val="left"/>
      <w:pPr>
        <w:ind w:left="6484" w:hanging="360"/>
      </w:pPr>
      <w:rPr>
        <w:rFonts w:hint="default"/>
        <w:lang w:val="en-US" w:eastAsia="en-US" w:bidi="ar-SA"/>
      </w:rPr>
    </w:lvl>
    <w:lvl w:ilvl="7" w:tplc="83B8CFD6">
      <w:numFmt w:val="bullet"/>
      <w:lvlText w:val="•"/>
      <w:lvlJc w:val="left"/>
      <w:pPr>
        <w:ind w:left="7435" w:hanging="360"/>
      </w:pPr>
      <w:rPr>
        <w:rFonts w:hint="default"/>
        <w:lang w:val="en-US" w:eastAsia="en-US" w:bidi="ar-SA"/>
      </w:rPr>
    </w:lvl>
    <w:lvl w:ilvl="8" w:tplc="FF7A7B80">
      <w:numFmt w:val="bullet"/>
      <w:lvlText w:val="•"/>
      <w:lvlJc w:val="left"/>
      <w:pPr>
        <w:ind w:left="8386" w:hanging="360"/>
      </w:pPr>
      <w:rPr>
        <w:rFonts w:hint="default"/>
        <w:lang w:val="en-US" w:eastAsia="en-US" w:bidi="ar-SA"/>
      </w:rPr>
    </w:lvl>
  </w:abstractNum>
  <w:abstractNum w:abstractNumId="9" w15:restartNumberingAfterBreak="0">
    <w:nsid w:val="6CD9109D"/>
    <w:multiLevelType w:val="hybridMultilevel"/>
    <w:tmpl w:val="1466D8D0"/>
    <w:lvl w:ilvl="0" w:tplc="2AB82DE2">
      <w:numFmt w:val="bullet"/>
      <w:lvlText w:val=""/>
      <w:lvlJc w:val="left"/>
      <w:pPr>
        <w:ind w:left="830" w:hanging="360"/>
      </w:pPr>
      <w:rPr>
        <w:rFonts w:ascii="Symbol" w:eastAsia="Symbol" w:hAnsi="Symbol" w:cs="Symbol" w:hint="default"/>
        <w:b w:val="0"/>
        <w:bCs w:val="0"/>
        <w:i w:val="0"/>
        <w:iCs w:val="0"/>
        <w:spacing w:val="0"/>
        <w:w w:val="100"/>
        <w:sz w:val="22"/>
        <w:szCs w:val="22"/>
        <w:lang w:val="en-US" w:eastAsia="en-US" w:bidi="ar-SA"/>
      </w:rPr>
    </w:lvl>
    <w:lvl w:ilvl="1" w:tplc="B06231CC">
      <w:numFmt w:val="bullet"/>
      <w:lvlText w:val="•"/>
      <w:lvlJc w:val="left"/>
      <w:pPr>
        <w:ind w:left="1254" w:hanging="360"/>
      </w:pPr>
      <w:rPr>
        <w:rFonts w:hint="default"/>
        <w:lang w:val="en-US" w:eastAsia="en-US" w:bidi="ar-SA"/>
      </w:rPr>
    </w:lvl>
    <w:lvl w:ilvl="2" w:tplc="E83E259E">
      <w:numFmt w:val="bullet"/>
      <w:lvlText w:val="•"/>
      <w:lvlJc w:val="left"/>
      <w:pPr>
        <w:ind w:left="1668" w:hanging="360"/>
      </w:pPr>
      <w:rPr>
        <w:rFonts w:hint="default"/>
        <w:lang w:val="en-US" w:eastAsia="en-US" w:bidi="ar-SA"/>
      </w:rPr>
    </w:lvl>
    <w:lvl w:ilvl="3" w:tplc="8F647360">
      <w:numFmt w:val="bullet"/>
      <w:lvlText w:val="•"/>
      <w:lvlJc w:val="left"/>
      <w:pPr>
        <w:ind w:left="2082" w:hanging="360"/>
      </w:pPr>
      <w:rPr>
        <w:rFonts w:hint="default"/>
        <w:lang w:val="en-US" w:eastAsia="en-US" w:bidi="ar-SA"/>
      </w:rPr>
    </w:lvl>
    <w:lvl w:ilvl="4" w:tplc="B10A4878">
      <w:numFmt w:val="bullet"/>
      <w:lvlText w:val="•"/>
      <w:lvlJc w:val="left"/>
      <w:pPr>
        <w:ind w:left="2496" w:hanging="360"/>
      </w:pPr>
      <w:rPr>
        <w:rFonts w:hint="default"/>
        <w:lang w:val="en-US" w:eastAsia="en-US" w:bidi="ar-SA"/>
      </w:rPr>
    </w:lvl>
    <w:lvl w:ilvl="5" w:tplc="89006988">
      <w:numFmt w:val="bullet"/>
      <w:lvlText w:val="•"/>
      <w:lvlJc w:val="left"/>
      <w:pPr>
        <w:ind w:left="2911" w:hanging="360"/>
      </w:pPr>
      <w:rPr>
        <w:rFonts w:hint="default"/>
        <w:lang w:val="en-US" w:eastAsia="en-US" w:bidi="ar-SA"/>
      </w:rPr>
    </w:lvl>
    <w:lvl w:ilvl="6" w:tplc="E1180FD8">
      <w:numFmt w:val="bullet"/>
      <w:lvlText w:val="•"/>
      <w:lvlJc w:val="left"/>
      <w:pPr>
        <w:ind w:left="3325" w:hanging="360"/>
      </w:pPr>
      <w:rPr>
        <w:rFonts w:hint="default"/>
        <w:lang w:val="en-US" w:eastAsia="en-US" w:bidi="ar-SA"/>
      </w:rPr>
    </w:lvl>
    <w:lvl w:ilvl="7" w:tplc="457655F6">
      <w:numFmt w:val="bullet"/>
      <w:lvlText w:val="•"/>
      <w:lvlJc w:val="left"/>
      <w:pPr>
        <w:ind w:left="3739" w:hanging="360"/>
      </w:pPr>
      <w:rPr>
        <w:rFonts w:hint="default"/>
        <w:lang w:val="en-US" w:eastAsia="en-US" w:bidi="ar-SA"/>
      </w:rPr>
    </w:lvl>
    <w:lvl w:ilvl="8" w:tplc="23EC66E8">
      <w:numFmt w:val="bullet"/>
      <w:lvlText w:val="•"/>
      <w:lvlJc w:val="left"/>
      <w:pPr>
        <w:ind w:left="4153" w:hanging="360"/>
      </w:pPr>
      <w:rPr>
        <w:rFonts w:hint="default"/>
        <w:lang w:val="en-US" w:eastAsia="en-US" w:bidi="ar-SA"/>
      </w:rPr>
    </w:lvl>
  </w:abstractNum>
  <w:abstractNum w:abstractNumId="10" w15:restartNumberingAfterBreak="0">
    <w:nsid w:val="6DE23B47"/>
    <w:multiLevelType w:val="hybridMultilevel"/>
    <w:tmpl w:val="B5DEB31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6E61BB8"/>
    <w:multiLevelType w:val="multilevel"/>
    <w:tmpl w:val="44945AA4"/>
    <w:lvl w:ilvl="0">
      <w:start w:val="1"/>
      <w:numFmt w:val="decimal"/>
      <w:lvlText w:val="%1"/>
      <w:lvlJc w:val="left"/>
      <w:pPr>
        <w:ind w:left="363" w:hanging="363"/>
      </w:pPr>
      <w:rPr>
        <w:rFonts w:hint="default"/>
      </w:rPr>
    </w:lvl>
    <w:lvl w:ilvl="1">
      <w:start w:val="1"/>
      <w:numFmt w:val="decimal"/>
      <w:lvlText w:val="%1.%2"/>
      <w:lvlJc w:val="left"/>
      <w:pPr>
        <w:ind w:left="363" w:hanging="36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F3B4759"/>
    <w:multiLevelType w:val="hybridMultilevel"/>
    <w:tmpl w:val="AA923BEE"/>
    <w:lvl w:ilvl="0" w:tplc="A958185A">
      <w:numFmt w:val="bullet"/>
      <w:lvlText w:val=""/>
      <w:lvlJc w:val="left"/>
      <w:pPr>
        <w:ind w:left="830" w:hanging="360"/>
      </w:pPr>
      <w:rPr>
        <w:rFonts w:ascii="Symbol" w:eastAsia="Symbol" w:hAnsi="Symbol" w:cs="Symbol" w:hint="default"/>
        <w:b w:val="0"/>
        <w:bCs w:val="0"/>
        <w:i w:val="0"/>
        <w:iCs w:val="0"/>
        <w:spacing w:val="0"/>
        <w:w w:val="100"/>
        <w:sz w:val="22"/>
        <w:szCs w:val="22"/>
        <w:lang w:val="en-US" w:eastAsia="en-US" w:bidi="ar-SA"/>
      </w:rPr>
    </w:lvl>
    <w:lvl w:ilvl="1" w:tplc="90184D16">
      <w:numFmt w:val="bullet"/>
      <w:lvlText w:val="•"/>
      <w:lvlJc w:val="left"/>
      <w:pPr>
        <w:ind w:left="1254" w:hanging="360"/>
      </w:pPr>
      <w:rPr>
        <w:rFonts w:hint="default"/>
        <w:lang w:val="en-US" w:eastAsia="en-US" w:bidi="ar-SA"/>
      </w:rPr>
    </w:lvl>
    <w:lvl w:ilvl="2" w:tplc="D4E034E0">
      <w:numFmt w:val="bullet"/>
      <w:lvlText w:val="•"/>
      <w:lvlJc w:val="left"/>
      <w:pPr>
        <w:ind w:left="1668" w:hanging="360"/>
      </w:pPr>
      <w:rPr>
        <w:rFonts w:hint="default"/>
        <w:lang w:val="en-US" w:eastAsia="en-US" w:bidi="ar-SA"/>
      </w:rPr>
    </w:lvl>
    <w:lvl w:ilvl="3" w:tplc="C69AA92E">
      <w:numFmt w:val="bullet"/>
      <w:lvlText w:val="•"/>
      <w:lvlJc w:val="left"/>
      <w:pPr>
        <w:ind w:left="2082" w:hanging="360"/>
      </w:pPr>
      <w:rPr>
        <w:rFonts w:hint="default"/>
        <w:lang w:val="en-US" w:eastAsia="en-US" w:bidi="ar-SA"/>
      </w:rPr>
    </w:lvl>
    <w:lvl w:ilvl="4" w:tplc="EC228A06">
      <w:numFmt w:val="bullet"/>
      <w:lvlText w:val="•"/>
      <w:lvlJc w:val="left"/>
      <w:pPr>
        <w:ind w:left="2496" w:hanging="360"/>
      </w:pPr>
      <w:rPr>
        <w:rFonts w:hint="default"/>
        <w:lang w:val="en-US" w:eastAsia="en-US" w:bidi="ar-SA"/>
      </w:rPr>
    </w:lvl>
    <w:lvl w:ilvl="5" w:tplc="69DA64AA">
      <w:numFmt w:val="bullet"/>
      <w:lvlText w:val="•"/>
      <w:lvlJc w:val="left"/>
      <w:pPr>
        <w:ind w:left="2911" w:hanging="360"/>
      </w:pPr>
      <w:rPr>
        <w:rFonts w:hint="default"/>
        <w:lang w:val="en-US" w:eastAsia="en-US" w:bidi="ar-SA"/>
      </w:rPr>
    </w:lvl>
    <w:lvl w:ilvl="6" w:tplc="59544956">
      <w:numFmt w:val="bullet"/>
      <w:lvlText w:val="•"/>
      <w:lvlJc w:val="left"/>
      <w:pPr>
        <w:ind w:left="3325" w:hanging="360"/>
      </w:pPr>
      <w:rPr>
        <w:rFonts w:hint="default"/>
        <w:lang w:val="en-US" w:eastAsia="en-US" w:bidi="ar-SA"/>
      </w:rPr>
    </w:lvl>
    <w:lvl w:ilvl="7" w:tplc="CAE09E88">
      <w:numFmt w:val="bullet"/>
      <w:lvlText w:val="•"/>
      <w:lvlJc w:val="left"/>
      <w:pPr>
        <w:ind w:left="3739" w:hanging="360"/>
      </w:pPr>
      <w:rPr>
        <w:rFonts w:hint="default"/>
        <w:lang w:val="en-US" w:eastAsia="en-US" w:bidi="ar-SA"/>
      </w:rPr>
    </w:lvl>
    <w:lvl w:ilvl="8" w:tplc="3B5ECF12">
      <w:numFmt w:val="bullet"/>
      <w:lvlText w:val="•"/>
      <w:lvlJc w:val="left"/>
      <w:pPr>
        <w:ind w:left="4153" w:hanging="360"/>
      </w:pPr>
      <w:rPr>
        <w:rFonts w:hint="default"/>
        <w:lang w:val="en-US" w:eastAsia="en-US" w:bidi="ar-SA"/>
      </w:rPr>
    </w:lvl>
  </w:abstractNum>
  <w:num w:numId="1" w16cid:durableId="389230959">
    <w:abstractNumId w:val="10"/>
  </w:num>
  <w:num w:numId="2" w16cid:durableId="355496980">
    <w:abstractNumId w:val="0"/>
  </w:num>
  <w:num w:numId="3" w16cid:durableId="1713117440">
    <w:abstractNumId w:val="11"/>
  </w:num>
  <w:num w:numId="4" w16cid:durableId="1233738972">
    <w:abstractNumId w:val="4"/>
  </w:num>
  <w:num w:numId="5" w16cid:durableId="1950777296">
    <w:abstractNumId w:val="5"/>
  </w:num>
  <w:num w:numId="6" w16cid:durableId="1315985981">
    <w:abstractNumId w:val="3"/>
  </w:num>
  <w:num w:numId="7" w16cid:durableId="1399015623">
    <w:abstractNumId w:val="9"/>
  </w:num>
  <w:num w:numId="8" w16cid:durableId="1341470198">
    <w:abstractNumId w:val="1"/>
  </w:num>
  <w:num w:numId="9" w16cid:durableId="1115097726">
    <w:abstractNumId w:val="12"/>
  </w:num>
  <w:num w:numId="10" w16cid:durableId="8681857">
    <w:abstractNumId w:val="7"/>
  </w:num>
  <w:num w:numId="11" w16cid:durableId="2045985746">
    <w:abstractNumId w:val="2"/>
  </w:num>
  <w:num w:numId="12" w16cid:durableId="618606651">
    <w:abstractNumId w:val="8"/>
  </w:num>
  <w:num w:numId="13" w16cid:durableId="7179726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drawingGridHorizontalSpacing w:val="241"/>
  <w:drawingGridVerticalSpacing w:val="164"/>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EwNDS3MDQ0MjE2NTNW0lEKTi0uzszPAykwqQUAIwQbbCwAAAA="/>
  </w:docVars>
  <w:rsids>
    <w:rsidRoot w:val="00C22EA8"/>
    <w:rsid w:val="00002D4E"/>
    <w:rsid w:val="00003254"/>
    <w:rsid w:val="00005873"/>
    <w:rsid w:val="000067E3"/>
    <w:rsid w:val="00017576"/>
    <w:rsid w:val="00022E40"/>
    <w:rsid w:val="00026C8C"/>
    <w:rsid w:val="00031463"/>
    <w:rsid w:val="00041EDD"/>
    <w:rsid w:val="00042708"/>
    <w:rsid w:val="00046B82"/>
    <w:rsid w:val="0004771C"/>
    <w:rsid w:val="00050FFA"/>
    <w:rsid w:val="00052375"/>
    <w:rsid w:val="00054C4D"/>
    <w:rsid w:val="00056C23"/>
    <w:rsid w:val="00057E5C"/>
    <w:rsid w:val="00063171"/>
    <w:rsid w:val="00070200"/>
    <w:rsid w:val="0007370A"/>
    <w:rsid w:val="00073D0A"/>
    <w:rsid w:val="000745CA"/>
    <w:rsid w:val="00075356"/>
    <w:rsid w:val="00075A9D"/>
    <w:rsid w:val="00080513"/>
    <w:rsid w:val="000821D4"/>
    <w:rsid w:val="00082C6E"/>
    <w:rsid w:val="00083AC4"/>
    <w:rsid w:val="00093879"/>
    <w:rsid w:val="00095B3E"/>
    <w:rsid w:val="000A1732"/>
    <w:rsid w:val="000B40F3"/>
    <w:rsid w:val="000B652B"/>
    <w:rsid w:val="000B7586"/>
    <w:rsid w:val="000B78FA"/>
    <w:rsid w:val="000B7C03"/>
    <w:rsid w:val="000C23AD"/>
    <w:rsid w:val="000C5601"/>
    <w:rsid w:val="000C6540"/>
    <w:rsid w:val="000D47B2"/>
    <w:rsid w:val="000E5268"/>
    <w:rsid w:val="000E63BB"/>
    <w:rsid w:val="000E6632"/>
    <w:rsid w:val="000E6E0F"/>
    <w:rsid w:val="000F40F2"/>
    <w:rsid w:val="00101169"/>
    <w:rsid w:val="001015E4"/>
    <w:rsid w:val="00103469"/>
    <w:rsid w:val="00105680"/>
    <w:rsid w:val="00106EA9"/>
    <w:rsid w:val="00111AD4"/>
    <w:rsid w:val="00116608"/>
    <w:rsid w:val="0012009C"/>
    <w:rsid w:val="001209BA"/>
    <w:rsid w:val="0012127D"/>
    <w:rsid w:val="001250D1"/>
    <w:rsid w:val="00125ECD"/>
    <w:rsid w:val="00144E31"/>
    <w:rsid w:val="00151993"/>
    <w:rsid w:val="001545B0"/>
    <w:rsid w:val="001579A2"/>
    <w:rsid w:val="001608DA"/>
    <w:rsid w:val="001653DF"/>
    <w:rsid w:val="00165B5D"/>
    <w:rsid w:val="00167797"/>
    <w:rsid w:val="00170A2E"/>
    <w:rsid w:val="00171031"/>
    <w:rsid w:val="00172946"/>
    <w:rsid w:val="0017400E"/>
    <w:rsid w:val="0018283E"/>
    <w:rsid w:val="00182B7F"/>
    <w:rsid w:val="001869E2"/>
    <w:rsid w:val="00190CBE"/>
    <w:rsid w:val="0019544D"/>
    <w:rsid w:val="001A4460"/>
    <w:rsid w:val="001B044A"/>
    <w:rsid w:val="001B16A9"/>
    <w:rsid w:val="001B7969"/>
    <w:rsid w:val="001B7CBB"/>
    <w:rsid w:val="001E08D4"/>
    <w:rsid w:val="001E2813"/>
    <w:rsid w:val="001F1EB3"/>
    <w:rsid w:val="001F2B79"/>
    <w:rsid w:val="001F2ED9"/>
    <w:rsid w:val="001F5261"/>
    <w:rsid w:val="002044F9"/>
    <w:rsid w:val="00207A6E"/>
    <w:rsid w:val="00217F4B"/>
    <w:rsid w:val="00222001"/>
    <w:rsid w:val="00227650"/>
    <w:rsid w:val="002309EB"/>
    <w:rsid w:val="0023285F"/>
    <w:rsid w:val="00232B71"/>
    <w:rsid w:val="0023663B"/>
    <w:rsid w:val="002366F9"/>
    <w:rsid w:val="00237A58"/>
    <w:rsid w:val="002411BA"/>
    <w:rsid w:val="00247362"/>
    <w:rsid w:val="0024787F"/>
    <w:rsid w:val="00252A35"/>
    <w:rsid w:val="00255462"/>
    <w:rsid w:val="0026042E"/>
    <w:rsid w:val="002628FC"/>
    <w:rsid w:val="002647AE"/>
    <w:rsid w:val="00266C99"/>
    <w:rsid w:val="002704B8"/>
    <w:rsid w:val="0027233F"/>
    <w:rsid w:val="00277ADD"/>
    <w:rsid w:val="00284611"/>
    <w:rsid w:val="00285D39"/>
    <w:rsid w:val="00286302"/>
    <w:rsid w:val="00291DDF"/>
    <w:rsid w:val="002939D9"/>
    <w:rsid w:val="00297091"/>
    <w:rsid w:val="002973A3"/>
    <w:rsid w:val="002A36C9"/>
    <w:rsid w:val="002A5742"/>
    <w:rsid w:val="002B0341"/>
    <w:rsid w:val="002B0CC7"/>
    <w:rsid w:val="002B43E2"/>
    <w:rsid w:val="002B4668"/>
    <w:rsid w:val="002B66EA"/>
    <w:rsid w:val="002B78D2"/>
    <w:rsid w:val="002B790E"/>
    <w:rsid w:val="002C0002"/>
    <w:rsid w:val="002C4694"/>
    <w:rsid w:val="002C4A89"/>
    <w:rsid w:val="002C4F16"/>
    <w:rsid w:val="002C7177"/>
    <w:rsid w:val="002D1075"/>
    <w:rsid w:val="002D6392"/>
    <w:rsid w:val="002D79E6"/>
    <w:rsid w:val="002E1052"/>
    <w:rsid w:val="002E1FC8"/>
    <w:rsid w:val="002F1383"/>
    <w:rsid w:val="002F272A"/>
    <w:rsid w:val="002F28BC"/>
    <w:rsid w:val="002F383C"/>
    <w:rsid w:val="002F3C92"/>
    <w:rsid w:val="002F6913"/>
    <w:rsid w:val="00300D14"/>
    <w:rsid w:val="0030318C"/>
    <w:rsid w:val="003071AD"/>
    <w:rsid w:val="003104DC"/>
    <w:rsid w:val="0031577F"/>
    <w:rsid w:val="00316186"/>
    <w:rsid w:val="00330A43"/>
    <w:rsid w:val="00332D73"/>
    <w:rsid w:val="003337F3"/>
    <w:rsid w:val="00336AF6"/>
    <w:rsid w:val="00336D71"/>
    <w:rsid w:val="00337FB6"/>
    <w:rsid w:val="0034069F"/>
    <w:rsid w:val="003407BD"/>
    <w:rsid w:val="00345B45"/>
    <w:rsid w:val="003477A7"/>
    <w:rsid w:val="0035357E"/>
    <w:rsid w:val="00354363"/>
    <w:rsid w:val="00355D12"/>
    <w:rsid w:val="003571BC"/>
    <w:rsid w:val="003670C4"/>
    <w:rsid w:val="00376C4D"/>
    <w:rsid w:val="00387991"/>
    <w:rsid w:val="00392AAD"/>
    <w:rsid w:val="00395EB1"/>
    <w:rsid w:val="003975BE"/>
    <w:rsid w:val="003A064E"/>
    <w:rsid w:val="003A6689"/>
    <w:rsid w:val="003B2939"/>
    <w:rsid w:val="003B3627"/>
    <w:rsid w:val="003B7A08"/>
    <w:rsid w:val="003C1BAB"/>
    <w:rsid w:val="003C4E29"/>
    <w:rsid w:val="003C7866"/>
    <w:rsid w:val="003E0FA0"/>
    <w:rsid w:val="003E1C81"/>
    <w:rsid w:val="003E577D"/>
    <w:rsid w:val="003E58A3"/>
    <w:rsid w:val="003F68D6"/>
    <w:rsid w:val="0040296D"/>
    <w:rsid w:val="00412DF9"/>
    <w:rsid w:val="00412F04"/>
    <w:rsid w:val="0042093D"/>
    <w:rsid w:val="00424707"/>
    <w:rsid w:val="004272FC"/>
    <w:rsid w:val="00427747"/>
    <w:rsid w:val="00431674"/>
    <w:rsid w:val="004319AA"/>
    <w:rsid w:val="004324A1"/>
    <w:rsid w:val="00443093"/>
    <w:rsid w:val="00446D6C"/>
    <w:rsid w:val="004479BB"/>
    <w:rsid w:val="00456F77"/>
    <w:rsid w:val="00466023"/>
    <w:rsid w:val="00470757"/>
    <w:rsid w:val="0047084A"/>
    <w:rsid w:val="00470F8E"/>
    <w:rsid w:val="004747A7"/>
    <w:rsid w:val="004764DD"/>
    <w:rsid w:val="0047733B"/>
    <w:rsid w:val="0047781D"/>
    <w:rsid w:val="0048520C"/>
    <w:rsid w:val="00491D6E"/>
    <w:rsid w:val="00495B1E"/>
    <w:rsid w:val="004970D8"/>
    <w:rsid w:val="004A297C"/>
    <w:rsid w:val="004B0608"/>
    <w:rsid w:val="004B38AA"/>
    <w:rsid w:val="004B52AB"/>
    <w:rsid w:val="004B7C68"/>
    <w:rsid w:val="004C118C"/>
    <w:rsid w:val="004C7B3B"/>
    <w:rsid w:val="004C7F19"/>
    <w:rsid w:val="004D0D5D"/>
    <w:rsid w:val="004D4DB3"/>
    <w:rsid w:val="004D7952"/>
    <w:rsid w:val="004E09B2"/>
    <w:rsid w:val="004E0E6D"/>
    <w:rsid w:val="004F01EF"/>
    <w:rsid w:val="004F389C"/>
    <w:rsid w:val="00506A1C"/>
    <w:rsid w:val="005219BB"/>
    <w:rsid w:val="00531DD4"/>
    <w:rsid w:val="00532B46"/>
    <w:rsid w:val="00542AF3"/>
    <w:rsid w:val="00545531"/>
    <w:rsid w:val="00545E81"/>
    <w:rsid w:val="005465DF"/>
    <w:rsid w:val="005507AE"/>
    <w:rsid w:val="0055320A"/>
    <w:rsid w:val="0055724F"/>
    <w:rsid w:val="00562E53"/>
    <w:rsid w:val="00570F2E"/>
    <w:rsid w:val="00573260"/>
    <w:rsid w:val="005762E0"/>
    <w:rsid w:val="0057631D"/>
    <w:rsid w:val="005818C2"/>
    <w:rsid w:val="00587886"/>
    <w:rsid w:val="00590067"/>
    <w:rsid w:val="00591226"/>
    <w:rsid w:val="00593B88"/>
    <w:rsid w:val="005A0451"/>
    <w:rsid w:val="005B394D"/>
    <w:rsid w:val="005B4AFB"/>
    <w:rsid w:val="005B6ADE"/>
    <w:rsid w:val="005B7920"/>
    <w:rsid w:val="005C3307"/>
    <w:rsid w:val="005C389F"/>
    <w:rsid w:val="005D311B"/>
    <w:rsid w:val="005E4587"/>
    <w:rsid w:val="005E4858"/>
    <w:rsid w:val="005E6D4C"/>
    <w:rsid w:val="005E77A1"/>
    <w:rsid w:val="005F0ED0"/>
    <w:rsid w:val="006001DF"/>
    <w:rsid w:val="00604420"/>
    <w:rsid w:val="00610AFB"/>
    <w:rsid w:val="006163F9"/>
    <w:rsid w:val="00617F3C"/>
    <w:rsid w:val="00624276"/>
    <w:rsid w:val="006312F2"/>
    <w:rsid w:val="006345DE"/>
    <w:rsid w:val="0063529A"/>
    <w:rsid w:val="00635975"/>
    <w:rsid w:val="00635F33"/>
    <w:rsid w:val="00637662"/>
    <w:rsid w:val="006414A5"/>
    <w:rsid w:val="00646AD1"/>
    <w:rsid w:val="0064796E"/>
    <w:rsid w:val="006509D4"/>
    <w:rsid w:val="00655631"/>
    <w:rsid w:val="00661CC8"/>
    <w:rsid w:val="00666785"/>
    <w:rsid w:val="0067035E"/>
    <w:rsid w:val="00674EAE"/>
    <w:rsid w:val="00675307"/>
    <w:rsid w:val="00675A4E"/>
    <w:rsid w:val="006802E3"/>
    <w:rsid w:val="0068053D"/>
    <w:rsid w:val="00690772"/>
    <w:rsid w:val="00695B23"/>
    <w:rsid w:val="00695CE3"/>
    <w:rsid w:val="006A2325"/>
    <w:rsid w:val="006A4BFE"/>
    <w:rsid w:val="006A65E7"/>
    <w:rsid w:val="006A69AB"/>
    <w:rsid w:val="006A6AFC"/>
    <w:rsid w:val="006A7243"/>
    <w:rsid w:val="006B3B51"/>
    <w:rsid w:val="006B4DB6"/>
    <w:rsid w:val="006B6007"/>
    <w:rsid w:val="006C46ED"/>
    <w:rsid w:val="006D0904"/>
    <w:rsid w:val="006D1E14"/>
    <w:rsid w:val="006E18AC"/>
    <w:rsid w:val="006E35BC"/>
    <w:rsid w:val="006E3C24"/>
    <w:rsid w:val="006E6EDE"/>
    <w:rsid w:val="006F4251"/>
    <w:rsid w:val="006F7B7E"/>
    <w:rsid w:val="00702CE9"/>
    <w:rsid w:val="00702EC5"/>
    <w:rsid w:val="00711D8A"/>
    <w:rsid w:val="00716CD4"/>
    <w:rsid w:val="007178F3"/>
    <w:rsid w:val="00717F3C"/>
    <w:rsid w:val="00721B41"/>
    <w:rsid w:val="00730469"/>
    <w:rsid w:val="00730FD8"/>
    <w:rsid w:val="00731E3B"/>
    <w:rsid w:val="007327CA"/>
    <w:rsid w:val="00733787"/>
    <w:rsid w:val="007359D0"/>
    <w:rsid w:val="00735BE3"/>
    <w:rsid w:val="00737285"/>
    <w:rsid w:val="007454D6"/>
    <w:rsid w:val="007460A3"/>
    <w:rsid w:val="00747A00"/>
    <w:rsid w:val="00751E9A"/>
    <w:rsid w:val="00753CAE"/>
    <w:rsid w:val="00755033"/>
    <w:rsid w:val="00755074"/>
    <w:rsid w:val="007553BB"/>
    <w:rsid w:val="007554CC"/>
    <w:rsid w:val="00755907"/>
    <w:rsid w:val="0075599C"/>
    <w:rsid w:val="007615F1"/>
    <w:rsid w:val="00762798"/>
    <w:rsid w:val="007700A3"/>
    <w:rsid w:val="00772BB8"/>
    <w:rsid w:val="00776CDE"/>
    <w:rsid w:val="00781B56"/>
    <w:rsid w:val="00781EC5"/>
    <w:rsid w:val="00790791"/>
    <w:rsid w:val="00795679"/>
    <w:rsid w:val="00795C5E"/>
    <w:rsid w:val="007A0D12"/>
    <w:rsid w:val="007A4A5E"/>
    <w:rsid w:val="007A5006"/>
    <w:rsid w:val="007B0736"/>
    <w:rsid w:val="007B2FDA"/>
    <w:rsid w:val="007B4104"/>
    <w:rsid w:val="007B5C87"/>
    <w:rsid w:val="007B6807"/>
    <w:rsid w:val="007B6FD6"/>
    <w:rsid w:val="007C1346"/>
    <w:rsid w:val="007C2A8C"/>
    <w:rsid w:val="007D0757"/>
    <w:rsid w:val="007D1F14"/>
    <w:rsid w:val="007D72EA"/>
    <w:rsid w:val="007D74EF"/>
    <w:rsid w:val="007E4783"/>
    <w:rsid w:val="007F1DBF"/>
    <w:rsid w:val="007F2E52"/>
    <w:rsid w:val="007F4F48"/>
    <w:rsid w:val="0080354A"/>
    <w:rsid w:val="00805FBD"/>
    <w:rsid w:val="008154F0"/>
    <w:rsid w:val="008168E3"/>
    <w:rsid w:val="00816C2C"/>
    <w:rsid w:val="00823627"/>
    <w:rsid w:val="008241B6"/>
    <w:rsid w:val="0082755C"/>
    <w:rsid w:val="00833DCE"/>
    <w:rsid w:val="00840840"/>
    <w:rsid w:val="00844DE3"/>
    <w:rsid w:val="0084583A"/>
    <w:rsid w:val="00845BFD"/>
    <w:rsid w:val="00852F56"/>
    <w:rsid w:val="008651A6"/>
    <w:rsid w:val="0087114F"/>
    <w:rsid w:val="0087132F"/>
    <w:rsid w:val="008717F7"/>
    <w:rsid w:val="00872139"/>
    <w:rsid w:val="008721ED"/>
    <w:rsid w:val="00881766"/>
    <w:rsid w:val="00881A99"/>
    <w:rsid w:val="0088261E"/>
    <w:rsid w:val="00883B86"/>
    <w:rsid w:val="008942AE"/>
    <w:rsid w:val="0089614A"/>
    <w:rsid w:val="00897AAC"/>
    <w:rsid w:val="008A0C2F"/>
    <w:rsid w:val="008A2BC7"/>
    <w:rsid w:val="008A405E"/>
    <w:rsid w:val="008B1C22"/>
    <w:rsid w:val="008C6829"/>
    <w:rsid w:val="008C6C77"/>
    <w:rsid w:val="008C79E8"/>
    <w:rsid w:val="008D0DE9"/>
    <w:rsid w:val="008D1AB3"/>
    <w:rsid w:val="008D2E23"/>
    <w:rsid w:val="008D3FBF"/>
    <w:rsid w:val="008D6ADA"/>
    <w:rsid w:val="008E1311"/>
    <w:rsid w:val="008E71C5"/>
    <w:rsid w:val="008F1FC5"/>
    <w:rsid w:val="008F462B"/>
    <w:rsid w:val="008F6086"/>
    <w:rsid w:val="00903151"/>
    <w:rsid w:val="009040D6"/>
    <w:rsid w:val="009041F3"/>
    <w:rsid w:val="009106D8"/>
    <w:rsid w:val="009122CD"/>
    <w:rsid w:val="0091449C"/>
    <w:rsid w:val="00915CCF"/>
    <w:rsid w:val="00916982"/>
    <w:rsid w:val="00916F47"/>
    <w:rsid w:val="00920BF5"/>
    <w:rsid w:val="009228A9"/>
    <w:rsid w:val="00924456"/>
    <w:rsid w:val="0092722E"/>
    <w:rsid w:val="00931D83"/>
    <w:rsid w:val="00931E4A"/>
    <w:rsid w:val="00945372"/>
    <w:rsid w:val="00946913"/>
    <w:rsid w:val="00946C45"/>
    <w:rsid w:val="00947DC0"/>
    <w:rsid w:val="009518B1"/>
    <w:rsid w:val="009556E1"/>
    <w:rsid w:val="00961789"/>
    <w:rsid w:val="00962341"/>
    <w:rsid w:val="009642E3"/>
    <w:rsid w:val="00982505"/>
    <w:rsid w:val="00997DFC"/>
    <w:rsid w:val="009A36A5"/>
    <w:rsid w:val="009A574E"/>
    <w:rsid w:val="009B44E9"/>
    <w:rsid w:val="009B6206"/>
    <w:rsid w:val="009B6A5A"/>
    <w:rsid w:val="009C3109"/>
    <w:rsid w:val="009C6C13"/>
    <w:rsid w:val="009C77D5"/>
    <w:rsid w:val="009D3763"/>
    <w:rsid w:val="009D4A3D"/>
    <w:rsid w:val="009D5571"/>
    <w:rsid w:val="009E1224"/>
    <w:rsid w:val="009E6ACE"/>
    <w:rsid w:val="009F23C2"/>
    <w:rsid w:val="00A037A2"/>
    <w:rsid w:val="00A07BAA"/>
    <w:rsid w:val="00A110B2"/>
    <w:rsid w:val="00A20AA7"/>
    <w:rsid w:val="00A254B2"/>
    <w:rsid w:val="00A26FF3"/>
    <w:rsid w:val="00A316B1"/>
    <w:rsid w:val="00A42023"/>
    <w:rsid w:val="00A42AD2"/>
    <w:rsid w:val="00A44E96"/>
    <w:rsid w:val="00A52883"/>
    <w:rsid w:val="00A55045"/>
    <w:rsid w:val="00A555E1"/>
    <w:rsid w:val="00A63CE8"/>
    <w:rsid w:val="00A644D5"/>
    <w:rsid w:val="00A64ECF"/>
    <w:rsid w:val="00A714A8"/>
    <w:rsid w:val="00A729ED"/>
    <w:rsid w:val="00A7485C"/>
    <w:rsid w:val="00A75E50"/>
    <w:rsid w:val="00A77DB7"/>
    <w:rsid w:val="00A80EDE"/>
    <w:rsid w:val="00A8422C"/>
    <w:rsid w:val="00A84FF6"/>
    <w:rsid w:val="00A85A2E"/>
    <w:rsid w:val="00A8625D"/>
    <w:rsid w:val="00A90F30"/>
    <w:rsid w:val="00A91345"/>
    <w:rsid w:val="00A92E99"/>
    <w:rsid w:val="00A93845"/>
    <w:rsid w:val="00A945BF"/>
    <w:rsid w:val="00A95FAE"/>
    <w:rsid w:val="00A966B4"/>
    <w:rsid w:val="00AA0FE0"/>
    <w:rsid w:val="00AA3400"/>
    <w:rsid w:val="00AA64D8"/>
    <w:rsid w:val="00AB1C80"/>
    <w:rsid w:val="00AB322B"/>
    <w:rsid w:val="00AB5AED"/>
    <w:rsid w:val="00AB5BBC"/>
    <w:rsid w:val="00AB77DA"/>
    <w:rsid w:val="00AC464B"/>
    <w:rsid w:val="00AC674B"/>
    <w:rsid w:val="00AC6C37"/>
    <w:rsid w:val="00AD17C0"/>
    <w:rsid w:val="00AD20D2"/>
    <w:rsid w:val="00AD327A"/>
    <w:rsid w:val="00AD448C"/>
    <w:rsid w:val="00AD57A5"/>
    <w:rsid w:val="00AD58D1"/>
    <w:rsid w:val="00AE0E53"/>
    <w:rsid w:val="00AE1692"/>
    <w:rsid w:val="00AE4C0F"/>
    <w:rsid w:val="00AE715C"/>
    <w:rsid w:val="00AE7948"/>
    <w:rsid w:val="00AF08D9"/>
    <w:rsid w:val="00AF408A"/>
    <w:rsid w:val="00AF7D38"/>
    <w:rsid w:val="00B00B30"/>
    <w:rsid w:val="00B05254"/>
    <w:rsid w:val="00B067AC"/>
    <w:rsid w:val="00B12CED"/>
    <w:rsid w:val="00B2702C"/>
    <w:rsid w:val="00B3350E"/>
    <w:rsid w:val="00B40703"/>
    <w:rsid w:val="00B45F10"/>
    <w:rsid w:val="00B50A74"/>
    <w:rsid w:val="00B512CD"/>
    <w:rsid w:val="00B516E4"/>
    <w:rsid w:val="00B616F8"/>
    <w:rsid w:val="00B62518"/>
    <w:rsid w:val="00B64C46"/>
    <w:rsid w:val="00B66FBB"/>
    <w:rsid w:val="00B67E65"/>
    <w:rsid w:val="00B70518"/>
    <w:rsid w:val="00B726A6"/>
    <w:rsid w:val="00B80321"/>
    <w:rsid w:val="00B82FC8"/>
    <w:rsid w:val="00B947D4"/>
    <w:rsid w:val="00B9693B"/>
    <w:rsid w:val="00B97836"/>
    <w:rsid w:val="00BA07B7"/>
    <w:rsid w:val="00BA16C0"/>
    <w:rsid w:val="00BA40EF"/>
    <w:rsid w:val="00BA4161"/>
    <w:rsid w:val="00BA49A0"/>
    <w:rsid w:val="00BA7BC1"/>
    <w:rsid w:val="00BB67A0"/>
    <w:rsid w:val="00BB6D81"/>
    <w:rsid w:val="00BC0CA9"/>
    <w:rsid w:val="00BC69F4"/>
    <w:rsid w:val="00BD1EED"/>
    <w:rsid w:val="00BD58DC"/>
    <w:rsid w:val="00BD5DBD"/>
    <w:rsid w:val="00BD7BC5"/>
    <w:rsid w:val="00BE377F"/>
    <w:rsid w:val="00BE5F57"/>
    <w:rsid w:val="00BF139B"/>
    <w:rsid w:val="00BF552F"/>
    <w:rsid w:val="00BF6C20"/>
    <w:rsid w:val="00BF7989"/>
    <w:rsid w:val="00C00B7D"/>
    <w:rsid w:val="00C02537"/>
    <w:rsid w:val="00C04466"/>
    <w:rsid w:val="00C04474"/>
    <w:rsid w:val="00C11301"/>
    <w:rsid w:val="00C113FB"/>
    <w:rsid w:val="00C153EB"/>
    <w:rsid w:val="00C22EA8"/>
    <w:rsid w:val="00C23D49"/>
    <w:rsid w:val="00C24558"/>
    <w:rsid w:val="00C26275"/>
    <w:rsid w:val="00C27119"/>
    <w:rsid w:val="00C30D38"/>
    <w:rsid w:val="00C320F7"/>
    <w:rsid w:val="00C37C33"/>
    <w:rsid w:val="00C43456"/>
    <w:rsid w:val="00C44FB9"/>
    <w:rsid w:val="00C45B6A"/>
    <w:rsid w:val="00C51F35"/>
    <w:rsid w:val="00C52318"/>
    <w:rsid w:val="00C53853"/>
    <w:rsid w:val="00C61651"/>
    <w:rsid w:val="00C6271F"/>
    <w:rsid w:val="00C759FE"/>
    <w:rsid w:val="00C80690"/>
    <w:rsid w:val="00C81726"/>
    <w:rsid w:val="00C83DC3"/>
    <w:rsid w:val="00C9581F"/>
    <w:rsid w:val="00C96374"/>
    <w:rsid w:val="00CA1AAC"/>
    <w:rsid w:val="00CA468E"/>
    <w:rsid w:val="00CB7CD1"/>
    <w:rsid w:val="00CD1AE2"/>
    <w:rsid w:val="00CD257A"/>
    <w:rsid w:val="00CD575A"/>
    <w:rsid w:val="00CD7731"/>
    <w:rsid w:val="00CD7E06"/>
    <w:rsid w:val="00CE01CC"/>
    <w:rsid w:val="00CE0D9F"/>
    <w:rsid w:val="00CE17FE"/>
    <w:rsid w:val="00CE1ABB"/>
    <w:rsid w:val="00CE2C04"/>
    <w:rsid w:val="00CE7A1C"/>
    <w:rsid w:val="00CF46E5"/>
    <w:rsid w:val="00CF51C5"/>
    <w:rsid w:val="00D07962"/>
    <w:rsid w:val="00D167F1"/>
    <w:rsid w:val="00D21F2E"/>
    <w:rsid w:val="00D2367E"/>
    <w:rsid w:val="00D23C43"/>
    <w:rsid w:val="00D25D45"/>
    <w:rsid w:val="00D27954"/>
    <w:rsid w:val="00D325F5"/>
    <w:rsid w:val="00D33EE0"/>
    <w:rsid w:val="00D4367B"/>
    <w:rsid w:val="00D46B08"/>
    <w:rsid w:val="00D71149"/>
    <w:rsid w:val="00D71974"/>
    <w:rsid w:val="00D7284F"/>
    <w:rsid w:val="00D74014"/>
    <w:rsid w:val="00D77DCA"/>
    <w:rsid w:val="00D84CF2"/>
    <w:rsid w:val="00D9621B"/>
    <w:rsid w:val="00DA12A2"/>
    <w:rsid w:val="00DA2440"/>
    <w:rsid w:val="00DA5015"/>
    <w:rsid w:val="00DA5C62"/>
    <w:rsid w:val="00DA60A8"/>
    <w:rsid w:val="00DA70A0"/>
    <w:rsid w:val="00DB1D54"/>
    <w:rsid w:val="00DB1E95"/>
    <w:rsid w:val="00DB3B9A"/>
    <w:rsid w:val="00DB5E01"/>
    <w:rsid w:val="00DB7CE1"/>
    <w:rsid w:val="00DC41D4"/>
    <w:rsid w:val="00DD113A"/>
    <w:rsid w:val="00DD14E8"/>
    <w:rsid w:val="00DD1AFF"/>
    <w:rsid w:val="00DD330A"/>
    <w:rsid w:val="00DD342D"/>
    <w:rsid w:val="00DD382D"/>
    <w:rsid w:val="00DE000B"/>
    <w:rsid w:val="00DE0327"/>
    <w:rsid w:val="00DE4177"/>
    <w:rsid w:val="00DE76CD"/>
    <w:rsid w:val="00DF2054"/>
    <w:rsid w:val="00DF2287"/>
    <w:rsid w:val="00DF28B0"/>
    <w:rsid w:val="00DF55F9"/>
    <w:rsid w:val="00E02410"/>
    <w:rsid w:val="00E10344"/>
    <w:rsid w:val="00E15555"/>
    <w:rsid w:val="00E158B4"/>
    <w:rsid w:val="00E15A76"/>
    <w:rsid w:val="00E16EDD"/>
    <w:rsid w:val="00E208D7"/>
    <w:rsid w:val="00E26696"/>
    <w:rsid w:val="00E34259"/>
    <w:rsid w:val="00E36D1F"/>
    <w:rsid w:val="00E4061F"/>
    <w:rsid w:val="00E424F9"/>
    <w:rsid w:val="00E65CDC"/>
    <w:rsid w:val="00E7186B"/>
    <w:rsid w:val="00E73043"/>
    <w:rsid w:val="00E7665A"/>
    <w:rsid w:val="00E771F6"/>
    <w:rsid w:val="00E8254E"/>
    <w:rsid w:val="00E831C0"/>
    <w:rsid w:val="00E836EE"/>
    <w:rsid w:val="00E86BDF"/>
    <w:rsid w:val="00E90616"/>
    <w:rsid w:val="00E91428"/>
    <w:rsid w:val="00EA1E6A"/>
    <w:rsid w:val="00EA5024"/>
    <w:rsid w:val="00EB16F0"/>
    <w:rsid w:val="00EB1EE6"/>
    <w:rsid w:val="00EB4E08"/>
    <w:rsid w:val="00EB512F"/>
    <w:rsid w:val="00EC129C"/>
    <w:rsid w:val="00EC147B"/>
    <w:rsid w:val="00EC2FDF"/>
    <w:rsid w:val="00EC4143"/>
    <w:rsid w:val="00EC4BA4"/>
    <w:rsid w:val="00EC5136"/>
    <w:rsid w:val="00EC6147"/>
    <w:rsid w:val="00EC7C75"/>
    <w:rsid w:val="00ED16C9"/>
    <w:rsid w:val="00ED6D47"/>
    <w:rsid w:val="00EE01D2"/>
    <w:rsid w:val="00EE1BEE"/>
    <w:rsid w:val="00EE47E3"/>
    <w:rsid w:val="00EE5B90"/>
    <w:rsid w:val="00EF38A1"/>
    <w:rsid w:val="00EF682E"/>
    <w:rsid w:val="00F01270"/>
    <w:rsid w:val="00F02E9E"/>
    <w:rsid w:val="00F05CA2"/>
    <w:rsid w:val="00F0721D"/>
    <w:rsid w:val="00F074B8"/>
    <w:rsid w:val="00F11769"/>
    <w:rsid w:val="00F1389C"/>
    <w:rsid w:val="00F144FB"/>
    <w:rsid w:val="00F20451"/>
    <w:rsid w:val="00F2350B"/>
    <w:rsid w:val="00F308C5"/>
    <w:rsid w:val="00F36F95"/>
    <w:rsid w:val="00F42E5B"/>
    <w:rsid w:val="00F478EC"/>
    <w:rsid w:val="00F504CD"/>
    <w:rsid w:val="00F50E4A"/>
    <w:rsid w:val="00F51B46"/>
    <w:rsid w:val="00F53433"/>
    <w:rsid w:val="00F62812"/>
    <w:rsid w:val="00F632CF"/>
    <w:rsid w:val="00F64042"/>
    <w:rsid w:val="00F653FB"/>
    <w:rsid w:val="00F663CD"/>
    <w:rsid w:val="00F70DEA"/>
    <w:rsid w:val="00F71D49"/>
    <w:rsid w:val="00F73F90"/>
    <w:rsid w:val="00F748E1"/>
    <w:rsid w:val="00F75D0B"/>
    <w:rsid w:val="00F75F6A"/>
    <w:rsid w:val="00F77953"/>
    <w:rsid w:val="00F8028B"/>
    <w:rsid w:val="00F81141"/>
    <w:rsid w:val="00F848F5"/>
    <w:rsid w:val="00F873E6"/>
    <w:rsid w:val="00F90ED4"/>
    <w:rsid w:val="00FB1578"/>
    <w:rsid w:val="00FB2952"/>
    <w:rsid w:val="00FB5305"/>
    <w:rsid w:val="00FB6367"/>
    <w:rsid w:val="00FC0133"/>
    <w:rsid w:val="00FC0DD6"/>
    <w:rsid w:val="00FC1800"/>
    <w:rsid w:val="00FC3943"/>
    <w:rsid w:val="00FC4B7E"/>
    <w:rsid w:val="00FD1719"/>
    <w:rsid w:val="00FD4906"/>
    <w:rsid w:val="00FD4DFF"/>
    <w:rsid w:val="00FE4238"/>
    <w:rsid w:val="00FE6C08"/>
    <w:rsid w:val="00FE7389"/>
    <w:rsid w:val="00FF1A71"/>
    <w:rsid w:val="00FF1B0F"/>
    <w:rsid w:val="00FF4B6E"/>
    <w:rsid w:val="00FF521A"/>
    <w:rsid w:val="00FF5A79"/>
    <w:rsid w:val="00FF604C"/>
    <w:rsid w:val="00FF6365"/>
  </w:rsids>
  <m:mathPr>
    <m:mathFont m:val="Cambria Math"/>
    <m:brkBin m:val="before"/>
    <m:brkBinSub m:val="--"/>
    <m:smallFrac m:val="0"/>
    <m:dispDef/>
    <m:lMargin m:val="0"/>
    <m:rMargin m:val="0"/>
    <m:defJc m:val="centerGroup"/>
    <m:wrapIndent m:val="1440"/>
    <m:intLim m:val="subSup"/>
    <m:naryLim m:val="undOvr"/>
  </m:mathPr>
  <w:themeFontLang w:val="en-IN" w:eastAsia="zh-CN" w:bidi="as-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0AF8C"/>
  <w15:chartTrackingRefBased/>
  <w15:docId w15:val="{06D1897E-596D-403B-9372-59429FD17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9E6"/>
    <w:rPr>
      <w:rFonts w:ascii="Times New Roman" w:hAnsi="Times New Roman"/>
      <w:color w:val="000000" w:themeColor="text1"/>
      <w:lang w:val="en-GB"/>
    </w:rPr>
  </w:style>
  <w:style w:type="paragraph" w:styleId="Heading1">
    <w:name w:val="heading 1"/>
    <w:basedOn w:val="Normal"/>
    <w:next w:val="Normal"/>
    <w:link w:val="Heading1Char"/>
    <w:uiPriority w:val="1"/>
    <w:qFormat/>
    <w:rsid w:val="00C22EA8"/>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C22EA8"/>
    <w:pPr>
      <w:keepNext/>
      <w:keepLines/>
      <w:spacing w:before="160" w:after="80"/>
      <w:outlineLvl w:val="1"/>
    </w:pPr>
    <w:rPr>
      <w:rFonts w:eastAsiaTheme="majorEastAsia" w:cstheme="majorBidi"/>
      <w:b/>
      <w:i/>
      <w:szCs w:val="32"/>
    </w:rPr>
  </w:style>
  <w:style w:type="paragraph" w:styleId="Heading3">
    <w:name w:val="heading 3"/>
    <w:basedOn w:val="Normal"/>
    <w:next w:val="Normal"/>
    <w:link w:val="Heading3Char"/>
    <w:uiPriority w:val="9"/>
    <w:unhideWhenUsed/>
    <w:qFormat/>
    <w:rsid w:val="006A69AB"/>
    <w:pPr>
      <w:keepNext/>
      <w:keepLines/>
      <w:spacing w:before="160" w:after="80"/>
      <w:outlineLvl w:val="2"/>
    </w:pPr>
    <w:rPr>
      <w:rFonts w:eastAsiaTheme="majorEastAsia" w:cstheme="majorBidi"/>
      <w:b/>
      <w:i/>
      <w:color w:val="auto"/>
      <w:szCs w:val="28"/>
    </w:rPr>
  </w:style>
  <w:style w:type="paragraph" w:styleId="Heading4">
    <w:name w:val="heading 4"/>
    <w:basedOn w:val="Normal"/>
    <w:next w:val="Normal"/>
    <w:link w:val="Heading4Char"/>
    <w:uiPriority w:val="9"/>
    <w:semiHidden/>
    <w:unhideWhenUsed/>
    <w:qFormat/>
    <w:rsid w:val="00C22EA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22EA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22EA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22EA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22EA8"/>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22EA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22EA8"/>
    <w:rPr>
      <w:rFonts w:ascii="Times New Roman" w:eastAsiaTheme="majorEastAsia" w:hAnsi="Times New Roman" w:cstheme="majorBidi"/>
      <w:b/>
      <w:color w:val="000000" w:themeColor="text1"/>
      <w:szCs w:val="40"/>
      <w:lang w:val="en-GB"/>
    </w:rPr>
  </w:style>
  <w:style w:type="character" w:customStyle="1" w:styleId="Heading2Char">
    <w:name w:val="Heading 2 Char"/>
    <w:basedOn w:val="DefaultParagraphFont"/>
    <w:link w:val="Heading2"/>
    <w:uiPriority w:val="9"/>
    <w:rsid w:val="00C22EA8"/>
    <w:rPr>
      <w:rFonts w:ascii="Times New Roman" w:eastAsiaTheme="majorEastAsia" w:hAnsi="Times New Roman" w:cstheme="majorBidi"/>
      <w:b/>
      <w:i/>
      <w:color w:val="000000" w:themeColor="text1"/>
      <w:szCs w:val="32"/>
      <w:lang w:val="en-GB"/>
    </w:rPr>
  </w:style>
  <w:style w:type="character" w:customStyle="1" w:styleId="Heading3Char">
    <w:name w:val="Heading 3 Char"/>
    <w:basedOn w:val="DefaultParagraphFont"/>
    <w:link w:val="Heading3"/>
    <w:uiPriority w:val="9"/>
    <w:rsid w:val="006A69AB"/>
    <w:rPr>
      <w:rFonts w:ascii="Times New Roman" w:eastAsiaTheme="majorEastAsia" w:hAnsi="Times New Roman" w:cstheme="majorBidi"/>
      <w:b/>
      <w:i/>
      <w:szCs w:val="28"/>
      <w:lang w:val="en-GB"/>
    </w:rPr>
  </w:style>
  <w:style w:type="character" w:customStyle="1" w:styleId="Heading4Char">
    <w:name w:val="Heading 4 Char"/>
    <w:basedOn w:val="DefaultParagraphFont"/>
    <w:link w:val="Heading4"/>
    <w:uiPriority w:val="9"/>
    <w:semiHidden/>
    <w:rsid w:val="00C22EA8"/>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22EA8"/>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C22EA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22EA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22EA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22EA8"/>
    <w:rPr>
      <w:rFonts w:eastAsiaTheme="majorEastAsia" w:cstheme="majorBidi"/>
      <w:color w:val="272727" w:themeColor="text1" w:themeTint="D8"/>
      <w:lang w:val="en-GB"/>
    </w:rPr>
  </w:style>
  <w:style w:type="paragraph" w:styleId="Title">
    <w:name w:val="Title"/>
    <w:basedOn w:val="Normal"/>
    <w:next w:val="Normal"/>
    <w:link w:val="TitleChar"/>
    <w:uiPriority w:val="1"/>
    <w:qFormat/>
    <w:rsid w:val="00C22EA8"/>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
    <w:rsid w:val="00C22EA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22EA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2EA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22E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22EA8"/>
    <w:rPr>
      <w:rFonts w:ascii="Times New Roman" w:hAnsi="Times New Roman"/>
      <w:i/>
      <w:iCs/>
      <w:color w:val="404040" w:themeColor="text1" w:themeTint="BF"/>
      <w:lang w:val="en-GB"/>
    </w:rPr>
  </w:style>
  <w:style w:type="paragraph" w:styleId="ListParagraph">
    <w:name w:val="List Paragraph"/>
    <w:basedOn w:val="Normal"/>
    <w:uiPriority w:val="1"/>
    <w:qFormat/>
    <w:rsid w:val="00C22EA8"/>
    <w:pPr>
      <w:ind w:left="720"/>
      <w:contextualSpacing/>
    </w:pPr>
  </w:style>
  <w:style w:type="character" w:styleId="IntenseEmphasis">
    <w:name w:val="Intense Emphasis"/>
    <w:basedOn w:val="DefaultParagraphFont"/>
    <w:uiPriority w:val="21"/>
    <w:qFormat/>
    <w:rsid w:val="00C22EA8"/>
    <w:rPr>
      <w:i/>
      <w:iCs/>
      <w:color w:val="2F5496" w:themeColor="accent1" w:themeShade="BF"/>
    </w:rPr>
  </w:style>
  <w:style w:type="paragraph" w:styleId="IntenseQuote">
    <w:name w:val="Intense Quote"/>
    <w:basedOn w:val="Normal"/>
    <w:next w:val="Normal"/>
    <w:link w:val="IntenseQuoteChar"/>
    <w:uiPriority w:val="30"/>
    <w:qFormat/>
    <w:rsid w:val="00C22E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2EA8"/>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C22EA8"/>
    <w:rPr>
      <w:b/>
      <w:bCs/>
      <w:smallCaps/>
      <w:color w:val="2F5496" w:themeColor="accent1" w:themeShade="BF"/>
      <w:spacing w:val="5"/>
    </w:rPr>
  </w:style>
  <w:style w:type="paragraph" w:styleId="NormalWeb">
    <w:name w:val="Normal (Web)"/>
    <w:basedOn w:val="Normal"/>
    <w:uiPriority w:val="99"/>
    <w:unhideWhenUsed/>
    <w:rsid w:val="00266C99"/>
    <w:rPr>
      <w:rFonts w:cs="Times New Roman"/>
    </w:rPr>
  </w:style>
  <w:style w:type="character" w:styleId="Hyperlink">
    <w:name w:val="Hyperlink"/>
    <w:basedOn w:val="DefaultParagraphFont"/>
    <w:uiPriority w:val="99"/>
    <w:unhideWhenUsed/>
    <w:rsid w:val="007E4783"/>
    <w:rPr>
      <w:color w:val="0563C1" w:themeColor="hyperlink"/>
      <w:u w:val="single"/>
    </w:rPr>
  </w:style>
  <w:style w:type="character" w:customStyle="1" w:styleId="UnresolvedMention1">
    <w:name w:val="Unresolved Mention1"/>
    <w:basedOn w:val="DefaultParagraphFont"/>
    <w:uiPriority w:val="99"/>
    <w:semiHidden/>
    <w:unhideWhenUsed/>
    <w:rsid w:val="007E4783"/>
    <w:rPr>
      <w:color w:val="605E5C"/>
      <w:shd w:val="clear" w:color="auto" w:fill="E1DFDD"/>
    </w:rPr>
  </w:style>
  <w:style w:type="paragraph" w:styleId="Header">
    <w:name w:val="header"/>
    <w:basedOn w:val="Normal"/>
    <w:link w:val="HeaderChar"/>
    <w:uiPriority w:val="99"/>
    <w:unhideWhenUsed/>
    <w:rsid w:val="00B726A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726A6"/>
    <w:rPr>
      <w:rFonts w:ascii="Times New Roman" w:hAnsi="Times New Roman"/>
      <w:color w:val="000000" w:themeColor="text1"/>
      <w:lang w:val="en-GB"/>
    </w:rPr>
  </w:style>
  <w:style w:type="paragraph" w:styleId="Footer">
    <w:name w:val="footer"/>
    <w:basedOn w:val="Normal"/>
    <w:link w:val="FooterChar"/>
    <w:uiPriority w:val="99"/>
    <w:unhideWhenUsed/>
    <w:rsid w:val="00B726A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726A6"/>
    <w:rPr>
      <w:rFonts w:ascii="Times New Roman" w:hAnsi="Times New Roman"/>
      <w:color w:val="000000" w:themeColor="text1"/>
      <w:lang w:val="en-GB"/>
    </w:rPr>
  </w:style>
  <w:style w:type="paragraph" w:styleId="Caption">
    <w:name w:val="caption"/>
    <w:basedOn w:val="Normal"/>
    <w:next w:val="Normal"/>
    <w:uiPriority w:val="35"/>
    <w:unhideWhenUsed/>
    <w:qFormat/>
    <w:rsid w:val="001A4460"/>
    <w:pPr>
      <w:spacing w:before="0" w:after="200" w:line="240" w:lineRule="auto"/>
    </w:pPr>
    <w:rPr>
      <w:b/>
      <w:i/>
      <w:iCs/>
      <w:color w:val="auto"/>
      <w:szCs w:val="18"/>
    </w:rPr>
  </w:style>
  <w:style w:type="paragraph" w:styleId="TOCHeading">
    <w:name w:val="TOC Heading"/>
    <w:basedOn w:val="Heading1"/>
    <w:next w:val="Normal"/>
    <w:uiPriority w:val="39"/>
    <w:unhideWhenUsed/>
    <w:qFormat/>
    <w:rsid w:val="003477A7"/>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3477A7"/>
    <w:pPr>
      <w:spacing w:after="100"/>
    </w:pPr>
  </w:style>
  <w:style w:type="paragraph" w:styleId="TOC2">
    <w:name w:val="toc 2"/>
    <w:basedOn w:val="Normal"/>
    <w:next w:val="Normal"/>
    <w:autoRedefine/>
    <w:uiPriority w:val="39"/>
    <w:unhideWhenUsed/>
    <w:rsid w:val="003477A7"/>
    <w:pPr>
      <w:spacing w:after="100"/>
      <w:ind w:left="240"/>
    </w:pPr>
  </w:style>
  <w:style w:type="table" w:styleId="TableGrid">
    <w:name w:val="Table Grid"/>
    <w:basedOn w:val="TableNormal"/>
    <w:uiPriority w:val="39"/>
    <w:rsid w:val="00CE7A1C"/>
    <w:pPr>
      <w:spacing w:before="0" w:after="0" w:line="240" w:lineRule="auto"/>
      <w:jc w:val="left"/>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93845"/>
    <w:rPr>
      <w:b/>
      <w:bCs/>
    </w:rPr>
  </w:style>
  <w:style w:type="character" w:styleId="Emphasis">
    <w:name w:val="Emphasis"/>
    <w:basedOn w:val="DefaultParagraphFont"/>
    <w:uiPriority w:val="20"/>
    <w:qFormat/>
    <w:rsid w:val="00A93845"/>
    <w:rPr>
      <w:i/>
      <w:iCs/>
    </w:rPr>
  </w:style>
  <w:style w:type="table" w:styleId="TableGridLight">
    <w:name w:val="Grid Table Light"/>
    <w:basedOn w:val="TableNormal"/>
    <w:uiPriority w:val="40"/>
    <w:rsid w:val="00F5343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ntents">
    <w:name w:val="contents"/>
    <w:basedOn w:val="DefaultParagraphFont"/>
    <w:rsid w:val="00690772"/>
  </w:style>
  <w:style w:type="paragraph" w:styleId="TableofFigures">
    <w:name w:val="table of figures"/>
    <w:basedOn w:val="Normal"/>
    <w:next w:val="Normal"/>
    <w:uiPriority w:val="99"/>
    <w:unhideWhenUsed/>
    <w:rsid w:val="0091449C"/>
    <w:pPr>
      <w:spacing w:after="0"/>
    </w:pPr>
  </w:style>
  <w:style w:type="paragraph" w:styleId="TOC3">
    <w:name w:val="toc 3"/>
    <w:basedOn w:val="Normal"/>
    <w:next w:val="Normal"/>
    <w:autoRedefine/>
    <w:uiPriority w:val="39"/>
    <w:unhideWhenUsed/>
    <w:rsid w:val="006A65E7"/>
    <w:pPr>
      <w:spacing w:after="100"/>
      <w:ind w:left="480"/>
    </w:pPr>
  </w:style>
  <w:style w:type="character" w:styleId="CommentReference">
    <w:name w:val="annotation reference"/>
    <w:basedOn w:val="DefaultParagraphFont"/>
    <w:uiPriority w:val="99"/>
    <w:semiHidden/>
    <w:unhideWhenUsed/>
    <w:rsid w:val="00AF08D9"/>
    <w:rPr>
      <w:sz w:val="16"/>
      <w:szCs w:val="16"/>
    </w:rPr>
  </w:style>
  <w:style w:type="paragraph" w:styleId="CommentText">
    <w:name w:val="annotation text"/>
    <w:basedOn w:val="Normal"/>
    <w:link w:val="CommentTextChar"/>
    <w:uiPriority w:val="99"/>
    <w:semiHidden/>
    <w:unhideWhenUsed/>
    <w:rsid w:val="00AF08D9"/>
    <w:pPr>
      <w:spacing w:line="240" w:lineRule="auto"/>
    </w:pPr>
    <w:rPr>
      <w:sz w:val="20"/>
      <w:szCs w:val="20"/>
    </w:rPr>
  </w:style>
  <w:style w:type="character" w:customStyle="1" w:styleId="CommentTextChar">
    <w:name w:val="Comment Text Char"/>
    <w:basedOn w:val="DefaultParagraphFont"/>
    <w:link w:val="CommentText"/>
    <w:uiPriority w:val="99"/>
    <w:semiHidden/>
    <w:rsid w:val="00AF08D9"/>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AF08D9"/>
    <w:rPr>
      <w:b/>
      <w:bCs/>
    </w:rPr>
  </w:style>
  <w:style w:type="character" w:customStyle="1" w:styleId="CommentSubjectChar">
    <w:name w:val="Comment Subject Char"/>
    <w:basedOn w:val="CommentTextChar"/>
    <w:link w:val="CommentSubject"/>
    <w:uiPriority w:val="99"/>
    <w:semiHidden/>
    <w:rsid w:val="00AF08D9"/>
    <w:rPr>
      <w:rFonts w:ascii="Times New Roman" w:hAnsi="Times New Roman"/>
      <w:b/>
      <w:bCs/>
      <w:color w:val="000000" w:themeColor="text1"/>
      <w:sz w:val="20"/>
      <w:szCs w:val="20"/>
      <w:lang w:val="en-GB"/>
    </w:rPr>
  </w:style>
  <w:style w:type="paragraph" w:styleId="BalloonText">
    <w:name w:val="Balloon Text"/>
    <w:basedOn w:val="Normal"/>
    <w:link w:val="BalloonTextChar"/>
    <w:uiPriority w:val="99"/>
    <w:semiHidden/>
    <w:unhideWhenUsed/>
    <w:rsid w:val="00AA64D8"/>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64D8"/>
    <w:rPr>
      <w:rFonts w:ascii="Segoe UI" w:hAnsi="Segoe UI" w:cs="Segoe UI"/>
      <w:color w:val="000000" w:themeColor="text1"/>
      <w:sz w:val="18"/>
      <w:szCs w:val="18"/>
      <w:lang w:val="en-GB"/>
    </w:rPr>
  </w:style>
  <w:style w:type="paragraph" w:styleId="BodyText">
    <w:name w:val="Body Text"/>
    <w:basedOn w:val="Normal"/>
    <w:link w:val="BodyTextChar"/>
    <w:uiPriority w:val="1"/>
    <w:qFormat/>
    <w:rsid w:val="00E65CDC"/>
    <w:pPr>
      <w:widowControl w:val="0"/>
      <w:autoSpaceDE w:val="0"/>
      <w:autoSpaceDN w:val="0"/>
      <w:spacing w:before="0" w:after="0" w:line="240" w:lineRule="auto"/>
      <w:jc w:val="left"/>
    </w:pPr>
    <w:rPr>
      <w:rFonts w:ascii="Arial MT" w:eastAsia="Arial MT" w:hAnsi="Arial MT" w:cs="Arial MT"/>
      <w:color w:val="auto"/>
      <w:kern w:val="0"/>
      <w:sz w:val="22"/>
      <w:szCs w:val="22"/>
      <w:lang w:val="en-US"/>
      <w14:ligatures w14:val="none"/>
    </w:rPr>
  </w:style>
  <w:style w:type="character" w:customStyle="1" w:styleId="BodyTextChar">
    <w:name w:val="Body Text Char"/>
    <w:basedOn w:val="DefaultParagraphFont"/>
    <w:link w:val="BodyText"/>
    <w:uiPriority w:val="1"/>
    <w:rsid w:val="00E65CDC"/>
    <w:rPr>
      <w:rFonts w:ascii="Arial MT" w:eastAsia="Arial MT" w:hAnsi="Arial MT" w:cs="Arial MT"/>
      <w:kern w:val="0"/>
      <w:sz w:val="22"/>
      <w:szCs w:val="22"/>
      <w:lang w:val="en-US"/>
      <w14:ligatures w14:val="none"/>
    </w:rPr>
  </w:style>
  <w:style w:type="paragraph" w:customStyle="1" w:styleId="TableParagraph">
    <w:name w:val="Table Paragraph"/>
    <w:basedOn w:val="Normal"/>
    <w:uiPriority w:val="1"/>
    <w:qFormat/>
    <w:rsid w:val="00E65CDC"/>
    <w:pPr>
      <w:widowControl w:val="0"/>
      <w:autoSpaceDE w:val="0"/>
      <w:autoSpaceDN w:val="0"/>
      <w:spacing w:before="0" w:after="0" w:line="240" w:lineRule="auto"/>
      <w:jc w:val="left"/>
    </w:pPr>
    <w:rPr>
      <w:rFonts w:ascii="Arial MT" w:eastAsia="Arial MT" w:hAnsi="Arial MT" w:cs="Arial MT"/>
      <w:color w:val="auto"/>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197108">
      <w:bodyDiv w:val="1"/>
      <w:marLeft w:val="0"/>
      <w:marRight w:val="0"/>
      <w:marTop w:val="0"/>
      <w:marBottom w:val="0"/>
      <w:divBdr>
        <w:top w:val="none" w:sz="0" w:space="0" w:color="auto"/>
        <w:left w:val="none" w:sz="0" w:space="0" w:color="auto"/>
        <w:bottom w:val="none" w:sz="0" w:space="0" w:color="auto"/>
        <w:right w:val="none" w:sz="0" w:space="0" w:color="auto"/>
      </w:divBdr>
    </w:div>
    <w:div w:id="552423266">
      <w:bodyDiv w:val="1"/>
      <w:marLeft w:val="0"/>
      <w:marRight w:val="0"/>
      <w:marTop w:val="0"/>
      <w:marBottom w:val="0"/>
      <w:divBdr>
        <w:top w:val="none" w:sz="0" w:space="0" w:color="auto"/>
        <w:left w:val="none" w:sz="0" w:space="0" w:color="auto"/>
        <w:bottom w:val="none" w:sz="0" w:space="0" w:color="auto"/>
        <w:right w:val="none" w:sz="0" w:space="0" w:color="auto"/>
      </w:divBdr>
    </w:div>
    <w:div w:id="650141117">
      <w:bodyDiv w:val="1"/>
      <w:marLeft w:val="0"/>
      <w:marRight w:val="0"/>
      <w:marTop w:val="0"/>
      <w:marBottom w:val="0"/>
      <w:divBdr>
        <w:top w:val="none" w:sz="0" w:space="0" w:color="auto"/>
        <w:left w:val="none" w:sz="0" w:space="0" w:color="auto"/>
        <w:bottom w:val="none" w:sz="0" w:space="0" w:color="auto"/>
        <w:right w:val="none" w:sz="0" w:space="0" w:color="auto"/>
      </w:divBdr>
    </w:div>
    <w:div w:id="848256457">
      <w:bodyDiv w:val="1"/>
      <w:marLeft w:val="0"/>
      <w:marRight w:val="0"/>
      <w:marTop w:val="0"/>
      <w:marBottom w:val="0"/>
      <w:divBdr>
        <w:top w:val="none" w:sz="0" w:space="0" w:color="auto"/>
        <w:left w:val="none" w:sz="0" w:space="0" w:color="auto"/>
        <w:bottom w:val="none" w:sz="0" w:space="0" w:color="auto"/>
        <w:right w:val="none" w:sz="0" w:space="0" w:color="auto"/>
      </w:divBdr>
    </w:div>
    <w:div w:id="921062292">
      <w:bodyDiv w:val="1"/>
      <w:marLeft w:val="0"/>
      <w:marRight w:val="0"/>
      <w:marTop w:val="0"/>
      <w:marBottom w:val="0"/>
      <w:divBdr>
        <w:top w:val="none" w:sz="0" w:space="0" w:color="auto"/>
        <w:left w:val="none" w:sz="0" w:space="0" w:color="auto"/>
        <w:bottom w:val="none" w:sz="0" w:space="0" w:color="auto"/>
        <w:right w:val="none" w:sz="0" w:space="0" w:color="auto"/>
      </w:divBdr>
    </w:div>
    <w:div w:id="1085570052">
      <w:bodyDiv w:val="1"/>
      <w:marLeft w:val="0"/>
      <w:marRight w:val="0"/>
      <w:marTop w:val="0"/>
      <w:marBottom w:val="0"/>
      <w:divBdr>
        <w:top w:val="none" w:sz="0" w:space="0" w:color="auto"/>
        <w:left w:val="none" w:sz="0" w:space="0" w:color="auto"/>
        <w:bottom w:val="none" w:sz="0" w:space="0" w:color="auto"/>
        <w:right w:val="none" w:sz="0" w:space="0" w:color="auto"/>
      </w:divBdr>
      <w:divsChild>
        <w:div w:id="1002783887">
          <w:marLeft w:val="0"/>
          <w:marRight w:val="0"/>
          <w:marTop w:val="0"/>
          <w:marBottom w:val="0"/>
          <w:divBdr>
            <w:top w:val="none" w:sz="0" w:space="0" w:color="auto"/>
            <w:left w:val="none" w:sz="0" w:space="0" w:color="auto"/>
            <w:bottom w:val="none" w:sz="0" w:space="0" w:color="auto"/>
            <w:right w:val="none" w:sz="0" w:space="0" w:color="auto"/>
          </w:divBdr>
          <w:divsChild>
            <w:div w:id="793138060">
              <w:marLeft w:val="0"/>
              <w:marRight w:val="0"/>
              <w:marTop w:val="0"/>
              <w:marBottom w:val="0"/>
              <w:divBdr>
                <w:top w:val="none" w:sz="0" w:space="0" w:color="auto"/>
                <w:left w:val="none" w:sz="0" w:space="0" w:color="auto"/>
                <w:bottom w:val="none" w:sz="0" w:space="0" w:color="auto"/>
                <w:right w:val="none" w:sz="0" w:space="0" w:color="auto"/>
              </w:divBdr>
              <w:divsChild>
                <w:div w:id="1674259610">
                  <w:marLeft w:val="0"/>
                  <w:marRight w:val="0"/>
                  <w:marTop w:val="0"/>
                  <w:marBottom w:val="0"/>
                  <w:divBdr>
                    <w:top w:val="none" w:sz="0" w:space="0" w:color="auto"/>
                    <w:left w:val="none" w:sz="0" w:space="0" w:color="auto"/>
                    <w:bottom w:val="none" w:sz="0" w:space="0" w:color="auto"/>
                    <w:right w:val="none" w:sz="0" w:space="0" w:color="auto"/>
                  </w:divBdr>
                  <w:divsChild>
                    <w:div w:id="1531331478">
                      <w:marLeft w:val="0"/>
                      <w:marRight w:val="0"/>
                      <w:marTop w:val="0"/>
                      <w:marBottom w:val="0"/>
                      <w:divBdr>
                        <w:top w:val="none" w:sz="0" w:space="0" w:color="auto"/>
                        <w:left w:val="none" w:sz="0" w:space="0" w:color="auto"/>
                        <w:bottom w:val="none" w:sz="0" w:space="0" w:color="auto"/>
                        <w:right w:val="none" w:sz="0" w:space="0" w:color="auto"/>
                      </w:divBdr>
                      <w:divsChild>
                        <w:div w:id="98109810">
                          <w:marLeft w:val="0"/>
                          <w:marRight w:val="0"/>
                          <w:marTop w:val="0"/>
                          <w:marBottom w:val="0"/>
                          <w:divBdr>
                            <w:top w:val="none" w:sz="0" w:space="0" w:color="auto"/>
                            <w:left w:val="none" w:sz="0" w:space="0" w:color="auto"/>
                            <w:bottom w:val="none" w:sz="0" w:space="0" w:color="auto"/>
                            <w:right w:val="none" w:sz="0" w:space="0" w:color="auto"/>
                          </w:divBdr>
                          <w:divsChild>
                            <w:div w:id="172840162">
                              <w:marLeft w:val="0"/>
                              <w:marRight w:val="0"/>
                              <w:marTop w:val="0"/>
                              <w:marBottom w:val="0"/>
                              <w:divBdr>
                                <w:top w:val="none" w:sz="0" w:space="0" w:color="auto"/>
                                <w:left w:val="none" w:sz="0" w:space="0" w:color="auto"/>
                                <w:bottom w:val="none" w:sz="0" w:space="0" w:color="auto"/>
                                <w:right w:val="none" w:sz="0" w:space="0" w:color="auto"/>
                              </w:divBdr>
                              <w:divsChild>
                                <w:div w:id="1216046711">
                                  <w:marLeft w:val="0"/>
                                  <w:marRight w:val="0"/>
                                  <w:marTop w:val="0"/>
                                  <w:marBottom w:val="0"/>
                                  <w:divBdr>
                                    <w:top w:val="none" w:sz="0" w:space="0" w:color="auto"/>
                                    <w:left w:val="none" w:sz="0" w:space="0" w:color="auto"/>
                                    <w:bottom w:val="none" w:sz="0" w:space="0" w:color="auto"/>
                                    <w:right w:val="none" w:sz="0" w:space="0" w:color="auto"/>
                                  </w:divBdr>
                                  <w:divsChild>
                                    <w:div w:id="91875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1810674">
      <w:bodyDiv w:val="1"/>
      <w:marLeft w:val="0"/>
      <w:marRight w:val="0"/>
      <w:marTop w:val="0"/>
      <w:marBottom w:val="0"/>
      <w:divBdr>
        <w:top w:val="none" w:sz="0" w:space="0" w:color="auto"/>
        <w:left w:val="none" w:sz="0" w:space="0" w:color="auto"/>
        <w:bottom w:val="none" w:sz="0" w:space="0" w:color="auto"/>
        <w:right w:val="none" w:sz="0" w:space="0" w:color="auto"/>
      </w:divBdr>
      <w:divsChild>
        <w:div w:id="1902398571">
          <w:marLeft w:val="0"/>
          <w:marRight w:val="0"/>
          <w:marTop w:val="0"/>
          <w:marBottom w:val="0"/>
          <w:divBdr>
            <w:top w:val="none" w:sz="0" w:space="0" w:color="auto"/>
            <w:left w:val="none" w:sz="0" w:space="0" w:color="auto"/>
            <w:bottom w:val="none" w:sz="0" w:space="0" w:color="auto"/>
            <w:right w:val="none" w:sz="0" w:space="0" w:color="auto"/>
          </w:divBdr>
          <w:divsChild>
            <w:div w:id="1989280654">
              <w:marLeft w:val="0"/>
              <w:marRight w:val="0"/>
              <w:marTop w:val="0"/>
              <w:marBottom w:val="0"/>
              <w:divBdr>
                <w:top w:val="none" w:sz="0" w:space="0" w:color="auto"/>
                <w:left w:val="none" w:sz="0" w:space="0" w:color="auto"/>
                <w:bottom w:val="none" w:sz="0" w:space="0" w:color="auto"/>
                <w:right w:val="none" w:sz="0" w:space="0" w:color="auto"/>
              </w:divBdr>
              <w:divsChild>
                <w:div w:id="85421397">
                  <w:marLeft w:val="0"/>
                  <w:marRight w:val="0"/>
                  <w:marTop w:val="0"/>
                  <w:marBottom w:val="0"/>
                  <w:divBdr>
                    <w:top w:val="none" w:sz="0" w:space="0" w:color="auto"/>
                    <w:left w:val="none" w:sz="0" w:space="0" w:color="auto"/>
                    <w:bottom w:val="none" w:sz="0" w:space="0" w:color="auto"/>
                    <w:right w:val="none" w:sz="0" w:space="0" w:color="auto"/>
                  </w:divBdr>
                  <w:divsChild>
                    <w:div w:id="511266595">
                      <w:marLeft w:val="0"/>
                      <w:marRight w:val="0"/>
                      <w:marTop w:val="0"/>
                      <w:marBottom w:val="0"/>
                      <w:divBdr>
                        <w:top w:val="none" w:sz="0" w:space="0" w:color="auto"/>
                        <w:left w:val="none" w:sz="0" w:space="0" w:color="auto"/>
                        <w:bottom w:val="none" w:sz="0" w:space="0" w:color="auto"/>
                        <w:right w:val="none" w:sz="0" w:space="0" w:color="auto"/>
                      </w:divBdr>
                      <w:divsChild>
                        <w:div w:id="473791117">
                          <w:marLeft w:val="0"/>
                          <w:marRight w:val="0"/>
                          <w:marTop w:val="0"/>
                          <w:marBottom w:val="0"/>
                          <w:divBdr>
                            <w:top w:val="none" w:sz="0" w:space="0" w:color="auto"/>
                            <w:left w:val="none" w:sz="0" w:space="0" w:color="auto"/>
                            <w:bottom w:val="none" w:sz="0" w:space="0" w:color="auto"/>
                            <w:right w:val="none" w:sz="0" w:space="0" w:color="auto"/>
                          </w:divBdr>
                          <w:divsChild>
                            <w:div w:id="1221015583">
                              <w:marLeft w:val="0"/>
                              <w:marRight w:val="0"/>
                              <w:marTop w:val="0"/>
                              <w:marBottom w:val="0"/>
                              <w:divBdr>
                                <w:top w:val="none" w:sz="0" w:space="0" w:color="auto"/>
                                <w:left w:val="none" w:sz="0" w:space="0" w:color="auto"/>
                                <w:bottom w:val="none" w:sz="0" w:space="0" w:color="auto"/>
                                <w:right w:val="none" w:sz="0" w:space="0" w:color="auto"/>
                              </w:divBdr>
                              <w:divsChild>
                                <w:div w:id="1558273973">
                                  <w:marLeft w:val="0"/>
                                  <w:marRight w:val="0"/>
                                  <w:marTop w:val="0"/>
                                  <w:marBottom w:val="0"/>
                                  <w:divBdr>
                                    <w:top w:val="none" w:sz="0" w:space="0" w:color="auto"/>
                                    <w:left w:val="none" w:sz="0" w:space="0" w:color="auto"/>
                                    <w:bottom w:val="none" w:sz="0" w:space="0" w:color="auto"/>
                                    <w:right w:val="none" w:sz="0" w:space="0" w:color="auto"/>
                                  </w:divBdr>
                                  <w:divsChild>
                                    <w:div w:id="176954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8436350">
      <w:bodyDiv w:val="1"/>
      <w:marLeft w:val="0"/>
      <w:marRight w:val="0"/>
      <w:marTop w:val="0"/>
      <w:marBottom w:val="0"/>
      <w:divBdr>
        <w:top w:val="none" w:sz="0" w:space="0" w:color="auto"/>
        <w:left w:val="none" w:sz="0" w:space="0" w:color="auto"/>
        <w:bottom w:val="none" w:sz="0" w:space="0" w:color="auto"/>
        <w:right w:val="none" w:sz="0" w:space="0" w:color="auto"/>
      </w:divBdr>
    </w:div>
    <w:div w:id="1602182823">
      <w:bodyDiv w:val="1"/>
      <w:marLeft w:val="0"/>
      <w:marRight w:val="0"/>
      <w:marTop w:val="0"/>
      <w:marBottom w:val="0"/>
      <w:divBdr>
        <w:top w:val="none" w:sz="0" w:space="0" w:color="auto"/>
        <w:left w:val="none" w:sz="0" w:space="0" w:color="auto"/>
        <w:bottom w:val="none" w:sz="0" w:space="0" w:color="auto"/>
        <w:right w:val="none" w:sz="0" w:space="0" w:color="auto"/>
      </w:divBdr>
      <w:divsChild>
        <w:div w:id="1384526994">
          <w:marLeft w:val="0"/>
          <w:marRight w:val="0"/>
          <w:marTop w:val="0"/>
          <w:marBottom w:val="0"/>
          <w:divBdr>
            <w:top w:val="none" w:sz="0" w:space="0" w:color="auto"/>
            <w:left w:val="none" w:sz="0" w:space="0" w:color="auto"/>
            <w:bottom w:val="none" w:sz="0" w:space="0" w:color="auto"/>
            <w:right w:val="none" w:sz="0" w:space="0" w:color="auto"/>
          </w:divBdr>
        </w:div>
      </w:divsChild>
    </w:div>
    <w:div w:id="1758482219">
      <w:bodyDiv w:val="1"/>
      <w:marLeft w:val="0"/>
      <w:marRight w:val="0"/>
      <w:marTop w:val="0"/>
      <w:marBottom w:val="0"/>
      <w:divBdr>
        <w:top w:val="none" w:sz="0" w:space="0" w:color="auto"/>
        <w:left w:val="none" w:sz="0" w:space="0" w:color="auto"/>
        <w:bottom w:val="none" w:sz="0" w:space="0" w:color="auto"/>
        <w:right w:val="none" w:sz="0" w:space="0" w:color="auto"/>
      </w:divBdr>
    </w:div>
    <w:div w:id="1840610167">
      <w:bodyDiv w:val="1"/>
      <w:marLeft w:val="0"/>
      <w:marRight w:val="0"/>
      <w:marTop w:val="0"/>
      <w:marBottom w:val="0"/>
      <w:divBdr>
        <w:top w:val="none" w:sz="0" w:space="0" w:color="auto"/>
        <w:left w:val="none" w:sz="0" w:space="0" w:color="auto"/>
        <w:bottom w:val="none" w:sz="0" w:space="0" w:color="auto"/>
        <w:right w:val="none" w:sz="0" w:space="0" w:color="auto"/>
      </w:divBdr>
    </w:div>
    <w:div w:id="1963803208">
      <w:bodyDiv w:val="1"/>
      <w:marLeft w:val="0"/>
      <w:marRight w:val="0"/>
      <w:marTop w:val="0"/>
      <w:marBottom w:val="0"/>
      <w:divBdr>
        <w:top w:val="none" w:sz="0" w:space="0" w:color="auto"/>
        <w:left w:val="none" w:sz="0" w:space="0" w:color="auto"/>
        <w:bottom w:val="none" w:sz="0" w:space="0" w:color="auto"/>
        <w:right w:val="none" w:sz="0" w:space="0" w:color="auto"/>
      </w:divBdr>
      <w:divsChild>
        <w:div w:id="1876775481">
          <w:marLeft w:val="0"/>
          <w:marRight w:val="0"/>
          <w:marTop w:val="0"/>
          <w:marBottom w:val="0"/>
          <w:divBdr>
            <w:top w:val="none" w:sz="0" w:space="0" w:color="auto"/>
            <w:left w:val="none" w:sz="0" w:space="0" w:color="auto"/>
            <w:bottom w:val="none" w:sz="0" w:space="0" w:color="auto"/>
            <w:right w:val="none" w:sz="0" w:space="0" w:color="auto"/>
          </w:divBdr>
          <w:divsChild>
            <w:div w:id="774405725">
              <w:marLeft w:val="0"/>
              <w:marRight w:val="0"/>
              <w:marTop w:val="0"/>
              <w:marBottom w:val="0"/>
              <w:divBdr>
                <w:top w:val="none" w:sz="0" w:space="0" w:color="auto"/>
                <w:left w:val="none" w:sz="0" w:space="0" w:color="auto"/>
                <w:bottom w:val="none" w:sz="0" w:space="0" w:color="auto"/>
                <w:right w:val="none" w:sz="0" w:space="0" w:color="auto"/>
              </w:divBdr>
              <w:divsChild>
                <w:div w:id="2040279151">
                  <w:marLeft w:val="0"/>
                  <w:marRight w:val="0"/>
                  <w:marTop w:val="0"/>
                  <w:marBottom w:val="0"/>
                  <w:divBdr>
                    <w:top w:val="none" w:sz="0" w:space="0" w:color="auto"/>
                    <w:left w:val="none" w:sz="0" w:space="0" w:color="auto"/>
                    <w:bottom w:val="none" w:sz="0" w:space="0" w:color="auto"/>
                    <w:right w:val="none" w:sz="0" w:space="0" w:color="auto"/>
                  </w:divBdr>
                  <w:divsChild>
                    <w:div w:id="1833374694">
                      <w:marLeft w:val="0"/>
                      <w:marRight w:val="0"/>
                      <w:marTop w:val="0"/>
                      <w:marBottom w:val="0"/>
                      <w:divBdr>
                        <w:top w:val="none" w:sz="0" w:space="0" w:color="auto"/>
                        <w:left w:val="none" w:sz="0" w:space="0" w:color="auto"/>
                        <w:bottom w:val="none" w:sz="0" w:space="0" w:color="auto"/>
                        <w:right w:val="none" w:sz="0" w:space="0" w:color="auto"/>
                      </w:divBdr>
                      <w:divsChild>
                        <w:div w:id="389380201">
                          <w:marLeft w:val="0"/>
                          <w:marRight w:val="0"/>
                          <w:marTop w:val="0"/>
                          <w:marBottom w:val="0"/>
                          <w:divBdr>
                            <w:top w:val="none" w:sz="0" w:space="0" w:color="auto"/>
                            <w:left w:val="none" w:sz="0" w:space="0" w:color="auto"/>
                            <w:bottom w:val="none" w:sz="0" w:space="0" w:color="auto"/>
                            <w:right w:val="none" w:sz="0" w:space="0" w:color="auto"/>
                          </w:divBdr>
                          <w:divsChild>
                            <w:div w:id="622423138">
                              <w:marLeft w:val="0"/>
                              <w:marRight w:val="0"/>
                              <w:marTop w:val="0"/>
                              <w:marBottom w:val="0"/>
                              <w:divBdr>
                                <w:top w:val="none" w:sz="0" w:space="0" w:color="auto"/>
                                <w:left w:val="none" w:sz="0" w:space="0" w:color="auto"/>
                                <w:bottom w:val="none" w:sz="0" w:space="0" w:color="auto"/>
                                <w:right w:val="none" w:sz="0" w:space="0" w:color="auto"/>
                              </w:divBdr>
                              <w:divsChild>
                                <w:div w:id="863323135">
                                  <w:marLeft w:val="0"/>
                                  <w:marRight w:val="0"/>
                                  <w:marTop w:val="0"/>
                                  <w:marBottom w:val="0"/>
                                  <w:divBdr>
                                    <w:top w:val="none" w:sz="0" w:space="0" w:color="auto"/>
                                    <w:left w:val="none" w:sz="0" w:space="0" w:color="auto"/>
                                    <w:bottom w:val="none" w:sz="0" w:space="0" w:color="auto"/>
                                    <w:right w:val="none" w:sz="0" w:space="0" w:color="auto"/>
                                  </w:divBdr>
                                  <w:divsChild>
                                    <w:div w:id="105758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611631">
      <w:bodyDiv w:val="1"/>
      <w:marLeft w:val="0"/>
      <w:marRight w:val="0"/>
      <w:marTop w:val="0"/>
      <w:marBottom w:val="0"/>
      <w:divBdr>
        <w:top w:val="none" w:sz="0" w:space="0" w:color="auto"/>
        <w:left w:val="none" w:sz="0" w:space="0" w:color="auto"/>
        <w:bottom w:val="none" w:sz="0" w:space="0" w:color="auto"/>
        <w:right w:val="none" w:sz="0" w:space="0" w:color="auto"/>
      </w:divBdr>
    </w:div>
    <w:div w:id="2119064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s://www.gov.uk/government/statistics/food-chain-productivity/total-factor-productivity-of-the-united-kingdom-food-chain-2023-final-release" TargetMode="External" /><Relationship Id="rId26" Type="http://schemas.openxmlformats.org/officeDocument/2006/relationships/header" Target="header1.xml" /><Relationship Id="rId3" Type="http://schemas.openxmlformats.org/officeDocument/2006/relationships/styles" Target="styles.xml" /><Relationship Id="rId21" Type="http://schemas.openxmlformats.org/officeDocument/2006/relationships/hyperlink" Target="https://www.gov.uk/government/statistics/united-kingdom-food-security-report-2024/united-kingdom-food-security-report-2024-theme-3-food-supply-chain-resilience"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gov.uk/government/statistics/united-kingdom-food-security-report-2024/united-kingdom-food-security-report-2024-theme-3-food-supply-chain-resilience" TargetMode="External" /><Relationship Id="rId25"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www.gov.uk/government/statistics/united-kingdom-food-security-report-2024/united-kingdom-food-security-report-2024-theme-1-global-food-availability" TargetMode="External" /><Relationship Id="rId20" Type="http://schemas.openxmlformats.org/officeDocument/2006/relationships/hyperlink" Target="https://www.gov.uk/government/statistics/uk-trade-in-food-feed-and-drink-2025-provisional/uk-trade-in-food-feed-and-drink-2025-provisional"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statista.com/statistics/315929/food-feed-and-drink-export-share-in-the-united-kingdom-uk" TargetMode="External" /><Relationship Id="rId5" Type="http://schemas.openxmlformats.org/officeDocument/2006/relationships/webSettings" Target="webSettings.xml" /><Relationship Id="rId15" Type="http://schemas.openxmlformats.org/officeDocument/2006/relationships/hyperlink" Target="https://www.gov.uk/government/statistics/united-kingdom-food-security-report-2024/united-kingdom-food-security-report-2024-theme-2-uk-food-supply-sources" TargetMode="External" /><Relationship Id="rId23" Type="http://schemas.openxmlformats.org/officeDocument/2006/relationships/hyperlink" Target="https://www.ons.gov.uk/businessindustryandtrade/manufacturingandproductionindustry/bulletins/ukmanufacturerssalesbyproductprodcom/2025" TargetMode="External" /><Relationship Id="rId28"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hyperlink" Target="https://www.gov.uk/government/statistics/united-kingdom-food-security-digest-2025/united-kingdom-food-security-digest-2025"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assets.kpmg.com/content/dam/kpmgsites/uk/pdf/2025/08/global-food-resilience.pdf" TargetMode="External" /><Relationship Id="rId27"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C1691-AD42-4FA1-B3DE-AD53FDDBA67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21731</Words>
  <Characters>123868</Characters>
  <Application>Microsoft Office Word</Application>
  <DocSecurity>0</DocSecurity>
  <Lines>1032</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Patel Dhrumil</cp:lastModifiedBy>
  <cp:revision>2</cp:revision>
  <dcterms:created xsi:type="dcterms:W3CDTF">2026-09-25T12:54:00Z</dcterms:created>
  <dcterms:modified xsi:type="dcterms:W3CDTF">2026-09-25T12:54:00Z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03bda7ff-e82a-433d-bf1a-1a76dc132def</vt:lpwstr>
  </property>
</Properties>
</file>